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theme/themeOverride1.xml" ContentType="application/vnd.openxmlformats-officedocument.themeOverride+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theme/themeOverride2.xml" ContentType="application/vnd.openxmlformats-officedocument.themeOverride+xml"/>
  <Override PartName="/word/charts/chart49.xml" ContentType="application/vnd.openxmlformats-officedocument.drawingml.chart+xml"/>
  <Override PartName="/word/theme/themeOverride3.xml" ContentType="application/vnd.openxmlformats-officedocument.themeOverride+xml"/>
  <Override PartName="/word/charts/chart50.xml" ContentType="application/vnd.openxmlformats-officedocument.drawingml.chart+xml"/>
  <Override PartName="/word/theme/themeOverride4.xml" ContentType="application/vnd.openxmlformats-officedocument.themeOverride+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theme/themeOverride5.xml" ContentType="application/vnd.openxmlformats-officedocument.themeOverride+xml"/>
  <Override PartName="/word/charts/chart57.xml" ContentType="application/vnd.openxmlformats-officedocument.drawingml.chart+xml"/>
  <Override PartName="/word/theme/themeOverride6.xml" ContentType="application/vnd.openxmlformats-officedocument.themeOverride+xml"/>
  <Override PartName="/word/charts/chart58.xml" ContentType="application/vnd.openxmlformats-officedocument.drawingml.chart+xml"/>
  <Override PartName="/word/theme/themeOverride7.xml" ContentType="application/vnd.openxmlformats-officedocument.themeOverride+xml"/>
  <Override PartName="/word/charts/chart59.xml" ContentType="application/vnd.openxmlformats-officedocument.drawingml.chart+xml"/>
  <Override PartName="/word/charts/chart60.xml" ContentType="application/vnd.openxmlformats-officedocument.drawingml.chart+xml"/>
  <Override PartName="/word/theme/themeOverride8.xml" ContentType="application/vnd.openxmlformats-officedocument.themeOverride+xml"/>
  <Override PartName="/word/charts/chart61.xml" ContentType="application/vnd.openxmlformats-officedocument.drawingml.chart+xml"/>
  <Override PartName="/word/theme/themeOverride9.xml" ContentType="application/vnd.openxmlformats-officedocument.themeOverride+xml"/>
  <Override PartName="/word/charts/chart62.xml" ContentType="application/vnd.openxmlformats-officedocument.drawingml.chart+xml"/>
  <Override PartName="/word/theme/themeOverride10.xml" ContentType="application/vnd.openxmlformats-officedocument.themeOverride+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charts/chart66.xml" ContentType="application/vnd.openxmlformats-officedocument.drawingml.chart+xml"/>
  <Override PartName="/word/charts/chart67.xml" ContentType="application/vnd.openxmlformats-officedocument.drawingml.chart+xml"/>
  <Override PartName="/word/charts/chart68.xml" ContentType="application/vnd.openxmlformats-officedocument.drawingml.chart+xml"/>
  <Override PartName="/word/charts/chart69.xml" ContentType="application/vnd.openxmlformats-officedocument.drawingml.chart+xml"/>
  <Override PartName="/word/charts/chart70.xml" ContentType="application/vnd.openxmlformats-officedocument.drawingml.chart+xml"/>
  <Override PartName="/word/charts/chart71.xml" ContentType="application/vnd.openxmlformats-officedocument.drawingml.chart+xml"/>
  <Override PartName="/word/theme/themeOverride11.xml" ContentType="application/vnd.openxmlformats-officedocument.themeOverride+xml"/>
  <Override PartName="/word/charts/chart72.xml" ContentType="application/vnd.openxmlformats-officedocument.drawingml.chart+xml"/>
  <Override PartName="/word/theme/themeOverride12.xml" ContentType="application/vnd.openxmlformats-officedocument.themeOverride+xml"/>
  <Override PartName="/word/charts/chart73.xml" ContentType="application/vnd.openxmlformats-officedocument.drawingml.chart+xml"/>
  <Override PartName="/word/theme/themeOverride13.xml" ContentType="application/vnd.openxmlformats-officedocument.themeOverride+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charts/chart74.xml" ContentType="application/vnd.openxmlformats-officedocument.drawingml.chart+xml"/>
  <Override PartName="/word/charts/chart75.xml" ContentType="application/vnd.openxmlformats-officedocument.drawingml.chart+xml"/>
  <Override PartName="/word/drawings/drawing1.xml" ContentType="application/vnd.openxmlformats-officedocument.drawingml.chartshapes+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footer13.xml" ContentType="application/vnd.openxmlformats-officedocument.wordprocessingml.footer+xml"/>
  <Override PartName="/word/charts/chart76.xml" ContentType="application/vnd.openxmlformats-officedocument.drawingml.chart+xml"/>
  <Override PartName="/word/theme/themeOverride14.xml" ContentType="application/vnd.openxmlformats-officedocument.themeOverride+xml"/>
  <Override PartName="/word/charts/chart77.xml" ContentType="application/vnd.openxmlformats-officedocument.drawingml.chart+xml"/>
  <Override PartName="/word/charts/chart78.xml" ContentType="application/vnd.openxmlformats-officedocument.drawingml.chart+xml"/>
  <Override PartName="/word/charts/chart79.xml" ContentType="application/vnd.openxmlformats-officedocument.drawingml.chart+xml"/>
  <Override PartName="/word/header17.xml" ContentType="application/vnd.openxmlformats-officedocument.wordprocessingml.header+xml"/>
  <Override PartName="/word/footer14.xml" ContentType="application/vnd.openxmlformats-officedocument.wordprocessingml.footer+xml"/>
  <Override PartName="/word/header18.xml" ContentType="application/vnd.openxmlformats-officedocument.wordprocessingml.header+xml"/>
  <Override PartName="/word/footer15.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3E24" w:rsidRDefault="00C40D3F" w:rsidP="0025522E">
      <w:bookmarkStart w:id="0" w:name="xgraphic"/>
      <w:bookmarkStart w:id="1" w:name="_GoBack"/>
      <w:bookmarkEnd w:id="1"/>
      <w:r>
        <w:rPr>
          <w:noProof/>
          <w:lang w:eastAsia="sk-SK"/>
        </w:rPr>
        <w:pict w14:anchorId="43A602BF">
          <v:line id="Line 72" o:spid="_x0000_s1026" style="position:absolute;left:0;text-align:left;flip:x;z-index:-251658240;visibility:visible" from="-16.55pt,-97.2pt" to="-16.5pt,6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" strokecolor="#29527b"/>
        </w:pict>
      </w:r>
    </w:p>
    <w:p w:rsidR="00203E24" w:rsidRDefault="00203E24" w:rsidP="00203E24">
      <w:pPr>
        <w:pStyle w:val="Normaltext"/>
      </w:pPr>
    </w:p>
    <w:p w:rsidR="00203E24" w:rsidRDefault="00203E24" w:rsidP="00203E24">
      <w:pPr>
        <w:pStyle w:val="Normaltext"/>
      </w:pPr>
    </w:p>
    <w:p w:rsidR="00203E24" w:rsidRDefault="00203E24" w:rsidP="00203E24">
      <w:pPr>
        <w:pStyle w:val="Normaltext"/>
      </w:pPr>
    </w:p>
    <w:p w:rsidR="00203E24" w:rsidRDefault="00203E24" w:rsidP="00203E24">
      <w:pPr>
        <w:pStyle w:val="Normaltext"/>
      </w:pPr>
    </w:p>
    <w:p w:rsidR="00203E24" w:rsidRDefault="00203E24" w:rsidP="00203E24">
      <w:pPr>
        <w:pStyle w:val="Normaltext"/>
      </w:pPr>
    </w:p>
    <w:p w:rsidR="00203E24" w:rsidRDefault="00B91A6F" w:rsidP="00B91A6F">
      <w:pPr>
        <w:pStyle w:val="Normaltext"/>
        <w:tabs>
          <w:tab w:val="left" w:pos="1590"/>
        </w:tabs>
      </w:pPr>
      <w:r>
        <w:tab/>
      </w:r>
    </w:p>
    <w:p w:rsidR="00203E24" w:rsidRDefault="00203E24" w:rsidP="00203E24">
      <w:pPr>
        <w:pStyle w:val="Normaltext"/>
      </w:pPr>
    </w:p>
    <w:bookmarkEnd w:id="0"/>
    <w:p w:rsidR="00966386" w:rsidRPr="00760137" w:rsidRDefault="007A093A" w:rsidP="00966386">
      <w:pPr>
        <w:pStyle w:val="TitleCover"/>
        <w:rPr>
          <w:smallCaps/>
        </w:rPr>
      </w:pPr>
      <w:r>
        <w:rPr>
          <w:smallCaps/>
        </w:rPr>
        <w:t>Komparatívna analýza systémov spoplatnenia</w:t>
      </w:r>
      <w:r w:rsidR="00993F8D">
        <w:rPr>
          <w:smallCaps/>
        </w:rPr>
        <w:t xml:space="preserve"> ETC</w:t>
      </w:r>
    </w:p>
    <w:p w:rsidR="0000695C" w:rsidRPr="00ED17DB" w:rsidRDefault="0000695C" w:rsidP="00387E32">
      <w:pPr>
        <w:pStyle w:val="Podtitul"/>
        <w:rPr>
          <w:smallCaps/>
        </w:rPr>
      </w:pPr>
    </w:p>
    <w:p w:rsidR="0000695C" w:rsidRPr="0000695C" w:rsidRDefault="0000695C" w:rsidP="0000695C">
      <w:pPr>
        <w:pStyle w:val="Normaltext"/>
      </w:pPr>
    </w:p>
    <w:p w:rsidR="0000695C" w:rsidRPr="0000695C" w:rsidRDefault="0000695C" w:rsidP="0000695C">
      <w:pPr>
        <w:pStyle w:val="Normaltext"/>
      </w:pPr>
    </w:p>
    <w:p w:rsidR="0000695C" w:rsidRPr="0000695C" w:rsidRDefault="0000695C" w:rsidP="0000695C">
      <w:pPr>
        <w:pStyle w:val="Normaltext"/>
      </w:pPr>
    </w:p>
    <w:p w:rsidR="0000695C" w:rsidRDefault="0000695C" w:rsidP="0000695C">
      <w:pPr>
        <w:pStyle w:val="Normaltext"/>
      </w:pPr>
    </w:p>
    <w:p w:rsidR="00383B2C" w:rsidRDefault="00383B2C" w:rsidP="0000695C">
      <w:pPr>
        <w:pStyle w:val="Normaltext"/>
      </w:pPr>
    </w:p>
    <w:p w:rsidR="00383B2C" w:rsidRPr="00760137" w:rsidRDefault="00597E79" w:rsidP="004D28EE">
      <w:pPr>
        <w:pStyle w:val="Nadpis9"/>
        <w:rPr>
          <w:smallCaps/>
        </w:rPr>
      </w:pPr>
      <w:r>
        <w:rPr>
          <w:smallCaps/>
        </w:rPr>
        <w:t>Záverečná</w:t>
      </w:r>
      <w:r w:rsidR="006707D1">
        <w:rPr>
          <w:smallCaps/>
        </w:rPr>
        <w:t xml:space="preserve"> správa</w:t>
      </w:r>
    </w:p>
    <w:p w:rsidR="00B80251" w:rsidRPr="0000695C" w:rsidRDefault="00B80251" w:rsidP="0000695C">
      <w:pPr>
        <w:pStyle w:val="Normaltext"/>
      </w:pPr>
    </w:p>
    <w:tbl>
      <w:tblPr>
        <w:tblpPr w:leftFromText="142" w:rightFromText="142" w:vertAnchor="page" w:horzAnchor="margin" w:tblpY="12991"/>
        <w:tblW w:w="7655" w:type="dxa"/>
        <w:tblLook w:val="01E0" w:firstRow="1" w:lastRow="1" w:firstColumn="1" w:lastColumn="1" w:noHBand="0" w:noVBand="0"/>
      </w:tblPr>
      <w:tblGrid>
        <w:gridCol w:w="2126"/>
        <w:gridCol w:w="5529"/>
      </w:tblGrid>
      <w:tr w:rsidR="00135588" w:rsidTr="00135588">
        <w:tc>
          <w:tcPr>
            <w:tcW w:w="2126" w:type="dxa"/>
            <w:shd w:val="clear" w:color="auto" w:fill="auto"/>
          </w:tcPr>
          <w:p w:rsidR="00135588" w:rsidRPr="00033EE7" w:rsidRDefault="00135588" w:rsidP="00135588">
            <w:pPr>
              <w:pStyle w:val="Basicinfo"/>
              <w:keepNext w:val="0"/>
              <w:spacing w:before="40" w:after="120" w:line="240" w:lineRule="auto"/>
              <w:rPr>
                <w:kern w:val="24"/>
              </w:rPr>
            </w:pPr>
            <w:r w:rsidRPr="00033EE7">
              <w:rPr>
                <w:kern w:val="24"/>
              </w:rPr>
              <w:t>Číslo projektu:</w:t>
            </w:r>
          </w:p>
        </w:tc>
        <w:tc>
          <w:tcPr>
            <w:tcW w:w="5529" w:type="dxa"/>
            <w:shd w:val="clear" w:color="auto" w:fill="auto"/>
          </w:tcPr>
          <w:p w:rsidR="00135588" w:rsidRPr="006707D1" w:rsidRDefault="007A093A" w:rsidP="00135588">
            <w:pPr>
              <w:pStyle w:val="Podtitul"/>
              <w:spacing w:before="0"/>
              <w:rPr>
                <w:highlight w:val="yellow"/>
              </w:rPr>
            </w:pPr>
            <w:r>
              <w:rPr>
                <w:sz w:val="24"/>
              </w:rPr>
              <w:t>VÚD 312</w:t>
            </w:r>
            <w:r w:rsidR="00135588" w:rsidRPr="00654E4F">
              <w:rPr>
                <w:sz w:val="24"/>
              </w:rPr>
              <w:t>/100</w:t>
            </w:r>
            <w:r>
              <w:rPr>
                <w:sz w:val="24"/>
              </w:rPr>
              <w:t>, obj. č. 4500164836</w:t>
            </w:r>
          </w:p>
        </w:tc>
      </w:tr>
      <w:tr w:rsidR="00135588" w:rsidTr="00135588">
        <w:tc>
          <w:tcPr>
            <w:tcW w:w="2126" w:type="dxa"/>
            <w:shd w:val="clear" w:color="auto" w:fill="auto"/>
          </w:tcPr>
          <w:p w:rsidR="00135588" w:rsidRPr="00033EE7" w:rsidRDefault="00135588" w:rsidP="00135588">
            <w:pPr>
              <w:pStyle w:val="Basicinfo"/>
              <w:keepNext w:val="0"/>
              <w:spacing w:before="40" w:after="120" w:line="240" w:lineRule="auto"/>
              <w:rPr>
                <w:kern w:val="24"/>
              </w:rPr>
            </w:pPr>
            <w:r w:rsidRPr="00033EE7">
              <w:rPr>
                <w:kern w:val="24"/>
              </w:rPr>
              <w:t>Odberateľ:</w:t>
            </w:r>
          </w:p>
        </w:tc>
        <w:tc>
          <w:tcPr>
            <w:tcW w:w="5529" w:type="dxa"/>
            <w:shd w:val="clear" w:color="auto" w:fill="auto"/>
          </w:tcPr>
          <w:p w:rsidR="00135588" w:rsidRPr="00033EE7" w:rsidRDefault="007A093A" w:rsidP="00135588">
            <w:pPr>
              <w:pStyle w:val="Basicinfo"/>
              <w:keepNext w:val="0"/>
              <w:spacing w:before="40" w:after="120" w:line="240" w:lineRule="auto"/>
              <w:rPr>
                <w:kern w:val="24"/>
              </w:rPr>
            </w:pPr>
            <w:r>
              <w:rPr>
                <w:kern w:val="24"/>
              </w:rPr>
              <w:t>Národná diaľničná spoločnosť, a.s.</w:t>
            </w:r>
          </w:p>
        </w:tc>
      </w:tr>
      <w:tr w:rsidR="00135588" w:rsidTr="00135588">
        <w:tc>
          <w:tcPr>
            <w:tcW w:w="2126" w:type="dxa"/>
            <w:shd w:val="clear" w:color="auto" w:fill="auto"/>
          </w:tcPr>
          <w:p w:rsidR="00135588" w:rsidRPr="00033EE7" w:rsidRDefault="00135588" w:rsidP="00135588">
            <w:pPr>
              <w:pStyle w:val="Basicinfo"/>
              <w:keepNext w:val="0"/>
              <w:spacing w:before="40" w:after="120" w:line="240" w:lineRule="auto"/>
              <w:rPr>
                <w:kern w:val="24"/>
              </w:rPr>
            </w:pPr>
            <w:r w:rsidRPr="00033EE7">
              <w:rPr>
                <w:kern w:val="24"/>
              </w:rPr>
              <w:t>Dátum publikovania:</w:t>
            </w:r>
          </w:p>
        </w:tc>
        <w:tc>
          <w:tcPr>
            <w:tcW w:w="5529" w:type="dxa"/>
            <w:shd w:val="clear" w:color="auto" w:fill="auto"/>
          </w:tcPr>
          <w:p w:rsidR="00135588" w:rsidRPr="00033EE7" w:rsidRDefault="00597E79" w:rsidP="007A093A">
            <w:pPr>
              <w:pStyle w:val="Basicinfo"/>
              <w:keepNext w:val="0"/>
              <w:spacing w:before="40" w:after="120" w:line="240" w:lineRule="auto"/>
              <w:rPr>
                <w:kern w:val="24"/>
              </w:rPr>
            </w:pPr>
            <w:r>
              <w:rPr>
                <w:kern w:val="24"/>
              </w:rPr>
              <w:t>marec</w:t>
            </w:r>
            <w:r w:rsidR="004720DE">
              <w:rPr>
                <w:kern w:val="24"/>
              </w:rPr>
              <w:t xml:space="preserve"> 20</w:t>
            </w:r>
            <w:r w:rsidR="007A093A">
              <w:rPr>
                <w:kern w:val="24"/>
              </w:rPr>
              <w:t>20</w:t>
            </w:r>
          </w:p>
        </w:tc>
      </w:tr>
      <w:tr w:rsidR="00135588" w:rsidTr="00135588">
        <w:tc>
          <w:tcPr>
            <w:tcW w:w="2126" w:type="dxa"/>
            <w:shd w:val="clear" w:color="auto" w:fill="auto"/>
          </w:tcPr>
          <w:p w:rsidR="00135588" w:rsidRPr="00033EE7" w:rsidRDefault="00135588" w:rsidP="00135588">
            <w:pPr>
              <w:pStyle w:val="Basicinfo"/>
              <w:keepNext w:val="0"/>
              <w:spacing w:before="40" w:after="120" w:line="240" w:lineRule="auto"/>
              <w:rPr>
                <w:kern w:val="24"/>
              </w:rPr>
            </w:pPr>
            <w:r w:rsidRPr="00033EE7">
              <w:rPr>
                <w:kern w:val="24"/>
              </w:rPr>
              <w:t>Generálny riaditeľ:</w:t>
            </w:r>
          </w:p>
        </w:tc>
        <w:tc>
          <w:tcPr>
            <w:tcW w:w="5529" w:type="dxa"/>
            <w:shd w:val="clear" w:color="auto" w:fill="auto"/>
          </w:tcPr>
          <w:p w:rsidR="00135588" w:rsidRPr="00033EE7" w:rsidRDefault="00135588" w:rsidP="00135588">
            <w:pPr>
              <w:pStyle w:val="Basicinfo"/>
              <w:keepNext w:val="0"/>
              <w:spacing w:before="40" w:after="120" w:line="240" w:lineRule="auto"/>
              <w:rPr>
                <w:kern w:val="24"/>
              </w:rPr>
            </w:pPr>
            <w:r>
              <w:rPr>
                <w:kern w:val="24"/>
              </w:rPr>
              <w:t>Ing. Ľubomír Palčák</w:t>
            </w:r>
          </w:p>
        </w:tc>
      </w:tr>
      <w:tr w:rsidR="00135588" w:rsidTr="00135588">
        <w:tc>
          <w:tcPr>
            <w:tcW w:w="2126" w:type="dxa"/>
            <w:shd w:val="clear" w:color="auto" w:fill="auto"/>
          </w:tcPr>
          <w:p w:rsidR="00135588" w:rsidRPr="00033EE7" w:rsidRDefault="00135588" w:rsidP="00135588">
            <w:pPr>
              <w:pStyle w:val="Basicinfo"/>
              <w:keepNext w:val="0"/>
              <w:spacing w:before="40" w:after="120" w:line="240" w:lineRule="auto"/>
              <w:rPr>
                <w:kern w:val="24"/>
              </w:rPr>
            </w:pPr>
            <w:r w:rsidRPr="00033EE7">
              <w:rPr>
                <w:kern w:val="24"/>
              </w:rPr>
              <w:t>Zodpovedný riešiteľ:</w:t>
            </w:r>
          </w:p>
        </w:tc>
        <w:tc>
          <w:tcPr>
            <w:tcW w:w="5529" w:type="dxa"/>
            <w:shd w:val="clear" w:color="auto" w:fill="auto"/>
          </w:tcPr>
          <w:p w:rsidR="00135588" w:rsidRPr="00033EE7" w:rsidRDefault="00135588" w:rsidP="00135588">
            <w:pPr>
              <w:pStyle w:val="Basicinfo"/>
              <w:keepNext w:val="0"/>
              <w:spacing w:before="40" w:after="120" w:line="240" w:lineRule="auto"/>
              <w:rPr>
                <w:kern w:val="24"/>
              </w:rPr>
            </w:pPr>
            <w:r>
              <w:rPr>
                <w:kern w:val="24"/>
              </w:rPr>
              <w:t xml:space="preserve">Ing. </w:t>
            </w:r>
            <w:r w:rsidR="007A093A">
              <w:rPr>
                <w:kern w:val="24"/>
              </w:rPr>
              <w:t>Ľubomír Palčák</w:t>
            </w:r>
          </w:p>
        </w:tc>
      </w:tr>
    </w:tbl>
    <w:p w:rsidR="0000695C" w:rsidRPr="0000695C" w:rsidRDefault="00135588" w:rsidP="0000695C">
      <w:pPr>
        <w:pStyle w:val="Normaltext"/>
      </w:pPr>
      <w:r>
        <w:rPr>
          <w:noProof/>
          <w:lang w:eastAsia="sk-SK"/>
        </w:rPr>
        <w:drawing>
          <wp:anchor distT="0" distB="0" distL="114300" distR="114300" simplePos="0" relativeHeight="251657216" behindDoc="1" locked="0" layoutInCell="1" allowOverlap="1">
            <wp:simplePos x="0" y="0"/>
            <wp:positionH relativeFrom="page">
              <wp:posOffset>335915</wp:posOffset>
            </wp:positionH>
            <wp:positionV relativeFrom="page">
              <wp:posOffset>8964295</wp:posOffset>
            </wp:positionV>
            <wp:extent cx="1080135" cy="1080135"/>
            <wp:effectExtent l="0" t="0" r="0" b="0"/>
            <wp:wrapNone/>
            <wp:docPr id="99" name="Obrázok 99" descr="certznak 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ertznak 900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0135" cy="1080135"/>
                    </a:xfrm>
                    <a:prstGeom prst="rect">
                      <a:avLst/>
                    </a:prstGeom>
                    <a:noFill/>
                    <a:ln>
                      <a:noFill/>
                    </a:ln>
                  </pic:spPr>
                </pic:pic>
              </a:graphicData>
            </a:graphic>
          </wp:anchor>
        </w:drawing>
      </w:r>
    </w:p>
    <w:p w:rsidR="00135588" w:rsidRDefault="00135588" w:rsidP="00151CA6">
      <w:pPr>
        <w:pStyle w:val="Nadpis8"/>
        <w:sectPr w:rsidR="00135588" w:rsidSect="00135588">
          <w:headerReference w:type="even" r:id="rId9"/>
          <w:headerReference w:type="default" r:id="rId10"/>
          <w:footerReference w:type="even" r:id="rId11"/>
          <w:headerReference w:type="first" r:id="rId12"/>
          <w:footerReference w:type="first" r:id="rId13"/>
          <w:pgSz w:w="11907" w:h="16840" w:code="9"/>
          <w:pgMar w:top="2552" w:right="1418" w:bottom="1134" w:left="2835" w:header="567" w:footer="567" w:gutter="0"/>
          <w:pgNumType w:start="1"/>
          <w:cols w:space="240"/>
          <w:docGrid w:linePitch="299"/>
        </w:sectPr>
      </w:pPr>
      <w:bookmarkStart w:id="2" w:name="_Toc82934898"/>
      <w:bookmarkStart w:id="3" w:name="_Toc82934968"/>
    </w:p>
    <w:p w:rsidR="00CC4533" w:rsidRDefault="00CC4533" w:rsidP="00CC4533">
      <w:pPr>
        <w:pStyle w:val="Nadpis8"/>
      </w:pPr>
      <w:bookmarkStart w:id="4" w:name="_Toc99168468"/>
      <w:bookmarkStart w:id="5" w:name="_Toc36664356"/>
      <w:bookmarkEnd w:id="2"/>
      <w:bookmarkEnd w:id="3"/>
      <w:r>
        <w:lastRenderedPageBreak/>
        <w:t>Obsah</w:t>
      </w:r>
      <w:bookmarkEnd w:id="4"/>
      <w:bookmarkEnd w:id="5"/>
    </w:p>
    <w:p w:rsidR="00552C02" w:rsidRDefault="00AE5B8A">
      <w:pPr>
        <w:pStyle w:val="Obsah8"/>
        <w:rPr>
          <w:rFonts w:asciiTheme="minorHAnsi" w:eastAsiaTheme="minorEastAsia" w:hAnsiTheme="minorHAnsi" w:cstheme="minorBidi"/>
          <w:b w:val="0"/>
          <w:caps w:val="0"/>
          <w:noProof/>
          <w:color w:val="auto"/>
          <w:lang w:eastAsia="sk-SK"/>
        </w:rPr>
      </w:pPr>
      <w:r>
        <w:rPr>
          <w:b w:val="0"/>
          <w:caps w:val="0"/>
        </w:rPr>
        <w:fldChar w:fldCharType="begin"/>
      </w:r>
      <w:r w:rsidR="00E2040A">
        <w:instrText xml:space="preserve"> TOC \o "1-1" \h \z \t "Nadpis 2;2;Nadpis 3;3;Nadpis 4;4;Nadpis 8;8" </w:instrText>
      </w:r>
      <w:r>
        <w:rPr>
          <w:b w:val="0"/>
          <w:caps w:val="0"/>
        </w:rPr>
        <w:fldChar w:fldCharType="separate"/>
      </w:r>
      <w:hyperlink w:anchor="_Toc36664356" w:history="1">
        <w:r w:rsidR="00552C02" w:rsidRPr="002F75E3">
          <w:rPr>
            <w:rStyle w:val="Hypertextovprepojenie"/>
            <w:noProof/>
          </w:rPr>
          <w:t>Obsah</w:t>
        </w:r>
        <w:r w:rsidR="00552C02">
          <w:rPr>
            <w:noProof/>
            <w:webHidden/>
          </w:rPr>
          <w:tab/>
        </w:r>
        <w:r w:rsidR="00552C02">
          <w:rPr>
            <w:noProof/>
            <w:webHidden/>
          </w:rPr>
          <w:fldChar w:fldCharType="begin"/>
        </w:r>
        <w:r w:rsidR="00552C02">
          <w:rPr>
            <w:noProof/>
            <w:webHidden/>
          </w:rPr>
          <w:instrText xml:space="preserve"> PAGEREF _Toc36664356 \h </w:instrText>
        </w:r>
        <w:r w:rsidR="00552C02">
          <w:rPr>
            <w:noProof/>
            <w:webHidden/>
          </w:rPr>
        </w:r>
        <w:r w:rsidR="00552C02">
          <w:rPr>
            <w:noProof/>
            <w:webHidden/>
          </w:rPr>
          <w:fldChar w:fldCharType="separate"/>
        </w:r>
        <w:r w:rsidR="00552C02">
          <w:rPr>
            <w:noProof/>
            <w:webHidden/>
          </w:rPr>
          <w:t>II</w:t>
        </w:r>
        <w:r w:rsidR="00552C02">
          <w:rPr>
            <w:noProof/>
            <w:webHidden/>
          </w:rPr>
          <w:fldChar w:fldCharType="end"/>
        </w:r>
      </w:hyperlink>
    </w:p>
    <w:p w:rsidR="00552C02" w:rsidRDefault="00C40D3F">
      <w:pPr>
        <w:pStyle w:val="Obsah8"/>
        <w:rPr>
          <w:rFonts w:asciiTheme="minorHAnsi" w:eastAsiaTheme="minorEastAsia" w:hAnsiTheme="minorHAnsi" w:cstheme="minorBidi"/>
          <w:b w:val="0"/>
          <w:caps w:val="0"/>
          <w:noProof/>
          <w:color w:val="auto"/>
          <w:lang w:eastAsia="sk-SK"/>
        </w:rPr>
      </w:pPr>
      <w:hyperlink w:anchor="_Toc36664357" w:history="1">
        <w:r w:rsidR="00552C02" w:rsidRPr="002F75E3">
          <w:rPr>
            <w:rStyle w:val="Hypertextovprepojenie"/>
            <w:rFonts w:cstheme="minorHAnsi"/>
            <w:noProof/>
          </w:rPr>
          <w:t>Zoznam tabuliek</w:t>
        </w:r>
        <w:r w:rsidR="00552C02">
          <w:rPr>
            <w:noProof/>
            <w:webHidden/>
          </w:rPr>
          <w:tab/>
        </w:r>
        <w:r w:rsidR="00552C02">
          <w:rPr>
            <w:noProof/>
            <w:webHidden/>
          </w:rPr>
          <w:fldChar w:fldCharType="begin"/>
        </w:r>
        <w:r w:rsidR="00552C02">
          <w:rPr>
            <w:noProof/>
            <w:webHidden/>
          </w:rPr>
          <w:instrText xml:space="preserve"> PAGEREF _Toc36664357 \h </w:instrText>
        </w:r>
        <w:r w:rsidR="00552C02">
          <w:rPr>
            <w:noProof/>
            <w:webHidden/>
          </w:rPr>
        </w:r>
        <w:r w:rsidR="00552C02">
          <w:rPr>
            <w:noProof/>
            <w:webHidden/>
          </w:rPr>
          <w:fldChar w:fldCharType="separate"/>
        </w:r>
        <w:r w:rsidR="00552C02">
          <w:rPr>
            <w:noProof/>
            <w:webHidden/>
          </w:rPr>
          <w:t>V</w:t>
        </w:r>
        <w:r w:rsidR="00552C02">
          <w:rPr>
            <w:noProof/>
            <w:webHidden/>
          </w:rPr>
          <w:fldChar w:fldCharType="end"/>
        </w:r>
      </w:hyperlink>
    </w:p>
    <w:p w:rsidR="00552C02" w:rsidRDefault="00C40D3F">
      <w:pPr>
        <w:pStyle w:val="Obsah8"/>
        <w:rPr>
          <w:rFonts w:asciiTheme="minorHAnsi" w:eastAsiaTheme="minorEastAsia" w:hAnsiTheme="minorHAnsi" w:cstheme="minorBidi"/>
          <w:b w:val="0"/>
          <w:caps w:val="0"/>
          <w:noProof/>
          <w:color w:val="auto"/>
          <w:lang w:eastAsia="sk-SK"/>
        </w:rPr>
      </w:pPr>
      <w:hyperlink w:anchor="_Toc36664358" w:history="1">
        <w:r w:rsidR="00552C02" w:rsidRPr="002F75E3">
          <w:rPr>
            <w:rStyle w:val="Hypertextovprepojenie"/>
            <w:rFonts w:cstheme="minorHAnsi"/>
            <w:noProof/>
          </w:rPr>
          <w:t>zoznam obrázkov</w:t>
        </w:r>
        <w:r w:rsidR="00552C02">
          <w:rPr>
            <w:noProof/>
            <w:webHidden/>
          </w:rPr>
          <w:tab/>
        </w:r>
        <w:r w:rsidR="00552C02">
          <w:rPr>
            <w:noProof/>
            <w:webHidden/>
          </w:rPr>
          <w:fldChar w:fldCharType="begin"/>
        </w:r>
        <w:r w:rsidR="00552C02">
          <w:rPr>
            <w:noProof/>
            <w:webHidden/>
          </w:rPr>
          <w:instrText xml:space="preserve"> PAGEREF _Toc36664358 \h </w:instrText>
        </w:r>
        <w:r w:rsidR="00552C02">
          <w:rPr>
            <w:noProof/>
            <w:webHidden/>
          </w:rPr>
        </w:r>
        <w:r w:rsidR="00552C02">
          <w:rPr>
            <w:noProof/>
            <w:webHidden/>
          </w:rPr>
          <w:fldChar w:fldCharType="separate"/>
        </w:r>
        <w:r w:rsidR="00552C02">
          <w:rPr>
            <w:noProof/>
            <w:webHidden/>
          </w:rPr>
          <w:t>VIII</w:t>
        </w:r>
        <w:r w:rsidR="00552C02">
          <w:rPr>
            <w:noProof/>
            <w:webHidden/>
          </w:rPr>
          <w:fldChar w:fldCharType="end"/>
        </w:r>
      </w:hyperlink>
    </w:p>
    <w:p w:rsidR="00552C02" w:rsidRDefault="00C40D3F">
      <w:pPr>
        <w:pStyle w:val="Obsah8"/>
        <w:rPr>
          <w:rFonts w:asciiTheme="minorHAnsi" w:eastAsiaTheme="minorEastAsia" w:hAnsiTheme="minorHAnsi" w:cstheme="minorBidi"/>
          <w:b w:val="0"/>
          <w:caps w:val="0"/>
          <w:noProof/>
          <w:color w:val="auto"/>
          <w:lang w:eastAsia="sk-SK"/>
        </w:rPr>
      </w:pPr>
      <w:hyperlink w:anchor="_Toc36664359" w:history="1">
        <w:r w:rsidR="00552C02" w:rsidRPr="002F75E3">
          <w:rPr>
            <w:rStyle w:val="Hypertextovprepojenie"/>
            <w:noProof/>
          </w:rPr>
          <w:t>zoznam skratiek</w:t>
        </w:r>
        <w:r w:rsidR="00552C02">
          <w:rPr>
            <w:noProof/>
            <w:webHidden/>
          </w:rPr>
          <w:tab/>
        </w:r>
        <w:r w:rsidR="00552C02">
          <w:rPr>
            <w:noProof/>
            <w:webHidden/>
          </w:rPr>
          <w:fldChar w:fldCharType="begin"/>
        </w:r>
        <w:r w:rsidR="00552C02">
          <w:rPr>
            <w:noProof/>
            <w:webHidden/>
          </w:rPr>
          <w:instrText xml:space="preserve"> PAGEREF _Toc36664359 \h </w:instrText>
        </w:r>
        <w:r w:rsidR="00552C02">
          <w:rPr>
            <w:noProof/>
            <w:webHidden/>
          </w:rPr>
        </w:r>
        <w:r w:rsidR="00552C02">
          <w:rPr>
            <w:noProof/>
            <w:webHidden/>
          </w:rPr>
          <w:fldChar w:fldCharType="separate"/>
        </w:r>
        <w:r w:rsidR="00552C02">
          <w:rPr>
            <w:noProof/>
            <w:webHidden/>
          </w:rPr>
          <w:t>XI</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360" w:history="1">
        <w:r w:rsidR="00552C02" w:rsidRPr="002F75E3">
          <w:rPr>
            <w:rStyle w:val="Hypertextovprepojenie"/>
            <w:rFonts w:cstheme="minorHAnsi"/>
            <w:noProof/>
          </w:rPr>
          <w:t>1. Analýza systémov elektronického výberu mýta v SR a zahraničí</w:t>
        </w:r>
        <w:r w:rsidR="00552C02">
          <w:rPr>
            <w:noProof/>
            <w:webHidden/>
          </w:rPr>
          <w:tab/>
        </w:r>
        <w:r w:rsidR="00552C02">
          <w:rPr>
            <w:noProof/>
            <w:webHidden/>
          </w:rPr>
          <w:fldChar w:fldCharType="begin"/>
        </w:r>
        <w:r w:rsidR="00552C02">
          <w:rPr>
            <w:noProof/>
            <w:webHidden/>
          </w:rPr>
          <w:instrText xml:space="preserve"> PAGEREF _Toc36664360 \h </w:instrText>
        </w:r>
        <w:r w:rsidR="00552C02">
          <w:rPr>
            <w:noProof/>
            <w:webHidden/>
          </w:rPr>
        </w:r>
        <w:r w:rsidR="00552C02">
          <w:rPr>
            <w:noProof/>
            <w:webHidden/>
          </w:rPr>
          <w:fldChar w:fldCharType="separate"/>
        </w:r>
        <w:r w:rsidR="00552C02">
          <w:rPr>
            <w:noProof/>
            <w:webHidden/>
          </w:rPr>
          <w:t>12</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61" w:history="1">
        <w:r w:rsidR="00552C02" w:rsidRPr="002F75E3">
          <w:rPr>
            <w:rStyle w:val="Hypertextovprepojenie"/>
            <w:rFonts w:cstheme="minorHAnsi"/>
            <w:noProof/>
          </w:rPr>
          <w:t>1.1 Elektronický mýtny systém v SR</w:t>
        </w:r>
        <w:r w:rsidR="00552C02">
          <w:rPr>
            <w:noProof/>
            <w:webHidden/>
          </w:rPr>
          <w:tab/>
        </w:r>
        <w:r w:rsidR="00552C02">
          <w:rPr>
            <w:noProof/>
            <w:webHidden/>
          </w:rPr>
          <w:fldChar w:fldCharType="begin"/>
        </w:r>
        <w:r w:rsidR="00552C02">
          <w:rPr>
            <w:noProof/>
            <w:webHidden/>
          </w:rPr>
          <w:instrText xml:space="preserve"> PAGEREF _Toc36664361 \h </w:instrText>
        </w:r>
        <w:r w:rsidR="00552C02">
          <w:rPr>
            <w:noProof/>
            <w:webHidden/>
          </w:rPr>
        </w:r>
        <w:r w:rsidR="00552C02">
          <w:rPr>
            <w:noProof/>
            <w:webHidden/>
          </w:rPr>
          <w:fldChar w:fldCharType="separate"/>
        </w:r>
        <w:r w:rsidR="00552C02">
          <w:rPr>
            <w:noProof/>
            <w:webHidden/>
          </w:rPr>
          <w:t>13</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2" w:history="1">
        <w:r w:rsidR="00552C02" w:rsidRPr="002F75E3">
          <w:rPr>
            <w:rStyle w:val="Hypertextovprepojenie"/>
            <w:rFonts w:cstheme="minorHAnsi"/>
            <w:noProof/>
          </w:rPr>
          <w:t>1.1.1 Základné charakteristiky systému ETC</w:t>
        </w:r>
        <w:r w:rsidR="00552C02">
          <w:rPr>
            <w:noProof/>
            <w:webHidden/>
          </w:rPr>
          <w:tab/>
        </w:r>
        <w:r w:rsidR="00552C02">
          <w:rPr>
            <w:noProof/>
            <w:webHidden/>
          </w:rPr>
          <w:fldChar w:fldCharType="begin"/>
        </w:r>
        <w:r w:rsidR="00552C02">
          <w:rPr>
            <w:noProof/>
            <w:webHidden/>
          </w:rPr>
          <w:instrText xml:space="preserve"> PAGEREF _Toc36664362 \h </w:instrText>
        </w:r>
        <w:r w:rsidR="00552C02">
          <w:rPr>
            <w:noProof/>
            <w:webHidden/>
          </w:rPr>
        </w:r>
        <w:r w:rsidR="00552C02">
          <w:rPr>
            <w:noProof/>
            <w:webHidden/>
          </w:rPr>
          <w:fldChar w:fldCharType="separate"/>
        </w:r>
        <w:r w:rsidR="00552C02">
          <w:rPr>
            <w:noProof/>
            <w:webHidden/>
          </w:rPr>
          <w:t>13</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3" w:history="1">
        <w:r w:rsidR="00552C02" w:rsidRPr="002F75E3">
          <w:rPr>
            <w:rStyle w:val="Hypertextovprepojenie"/>
            <w:rFonts w:cstheme="minorHAnsi"/>
            <w:noProof/>
          </w:rPr>
          <w:t>1.1.2 Sieť vymedzených úsekov ciest</w:t>
        </w:r>
        <w:r w:rsidR="00552C02">
          <w:rPr>
            <w:noProof/>
            <w:webHidden/>
          </w:rPr>
          <w:tab/>
        </w:r>
        <w:r w:rsidR="00552C02">
          <w:rPr>
            <w:noProof/>
            <w:webHidden/>
          </w:rPr>
          <w:fldChar w:fldCharType="begin"/>
        </w:r>
        <w:r w:rsidR="00552C02">
          <w:rPr>
            <w:noProof/>
            <w:webHidden/>
          </w:rPr>
          <w:instrText xml:space="preserve"> PAGEREF _Toc36664363 \h </w:instrText>
        </w:r>
        <w:r w:rsidR="00552C02">
          <w:rPr>
            <w:noProof/>
            <w:webHidden/>
          </w:rPr>
        </w:r>
        <w:r w:rsidR="00552C02">
          <w:rPr>
            <w:noProof/>
            <w:webHidden/>
          </w:rPr>
          <w:fldChar w:fldCharType="separate"/>
        </w:r>
        <w:r w:rsidR="00552C02">
          <w:rPr>
            <w:noProof/>
            <w:webHidden/>
          </w:rPr>
          <w:t>15</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4" w:history="1">
        <w:r w:rsidR="00552C02" w:rsidRPr="002F75E3">
          <w:rPr>
            <w:rStyle w:val="Hypertextovprepojenie"/>
            <w:rFonts w:cstheme="minorHAnsi"/>
            <w:noProof/>
          </w:rPr>
          <w:t>1.1.3 Dopravné výkony na vymedzených spoplatnených úsekoch ciest</w:t>
        </w:r>
        <w:r w:rsidR="00552C02">
          <w:rPr>
            <w:noProof/>
            <w:webHidden/>
          </w:rPr>
          <w:tab/>
        </w:r>
        <w:r w:rsidR="00552C02">
          <w:rPr>
            <w:noProof/>
            <w:webHidden/>
          </w:rPr>
          <w:fldChar w:fldCharType="begin"/>
        </w:r>
        <w:r w:rsidR="00552C02">
          <w:rPr>
            <w:noProof/>
            <w:webHidden/>
          </w:rPr>
          <w:instrText xml:space="preserve"> PAGEREF _Toc36664364 \h </w:instrText>
        </w:r>
        <w:r w:rsidR="00552C02">
          <w:rPr>
            <w:noProof/>
            <w:webHidden/>
          </w:rPr>
        </w:r>
        <w:r w:rsidR="00552C02">
          <w:rPr>
            <w:noProof/>
            <w:webHidden/>
          </w:rPr>
          <w:fldChar w:fldCharType="separate"/>
        </w:r>
        <w:r w:rsidR="00552C02">
          <w:rPr>
            <w:noProof/>
            <w:webHidden/>
          </w:rPr>
          <w:t>17</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5" w:history="1">
        <w:r w:rsidR="00552C02" w:rsidRPr="002F75E3">
          <w:rPr>
            <w:rStyle w:val="Hypertextovprepojenie"/>
            <w:rFonts w:cstheme="minorHAnsi"/>
            <w:noProof/>
          </w:rPr>
          <w:t>1.1.4 Výnosy a náklady systému ETC</w:t>
        </w:r>
        <w:r w:rsidR="00552C02">
          <w:rPr>
            <w:noProof/>
            <w:webHidden/>
          </w:rPr>
          <w:tab/>
        </w:r>
        <w:r w:rsidR="00552C02">
          <w:rPr>
            <w:noProof/>
            <w:webHidden/>
          </w:rPr>
          <w:fldChar w:fldCharType="begin"/>
        </w:r>
        <w:r w:rsidR="00552C02">
          <w:rPr>
            <w:noProof/>
            <w:webHidden/>
          </w:rPr>
          <w:instrText xml:space="preserve"> PAGEREF _Toc36664365 \h </w:instrText>
        </w:r>
        <w:r w:rsidR="00552C02">
          <w:rPr>
            <w:noProof/>
            <w:webHidden/>
          </w:rPr>
        </w:r>
        <w:r w:rsidR="00552C02">
          <w:rPr>
            <w:noProof/>
            <w:webHidden/>
          </w:rPr>
          <w:fldChar w:fldCharType="separate"/>
        </w:r>
        <w:r w:rsidR="00552C02">
          <w:rPr>
            <w:noProof/>
            <w:webHidden/>
          </w:rPr>
          <w:t>18</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66" w:history="1">
        <w:r w:rsidR="00552C02" w:rsidRPr="002F75E3">
          <w:rPr>
            <w:rStyle w:val="Hypertextovprepojenie"/>
            <w:rFonts w:cstheme="minorHAnsi"/>
            <w:noProof/>
          </w:rPr>
          <w:t>1.2 Nemecko</w:t>
        </w:r>
        <w:r w:rsidR="00552C02">
          <w:rPr>
            <w:noProof/>
            <w:webHidden/>
          </w:rPr>
          <w:tab/>
        </w:r>
        <w:r w:rsidR="00552C02">
          <w:rPr>
            <w:noProof/>
            <w:webHidden/>
          </w:rPr>
          <w:fldChar w:fldCharType="begin"/>
        </w:r>
        <w:r w:rsidR="00552C02">
          <w:rPr>
            <w:noProof/>
            <w:webHidden/>
          </w:rPr>
          <w:instrText xml:space="preserve"> PAGEREF _Toc36664366 \h </w:instrText>
        </w:r>
        <w:r w:rsidR="00552C02">
          <w:rPr>
            <w:noProof/>
            <w:webHidden/>
          </w:rPr>
        </w:r>
        <w:r w:rsidR="00552C02">
          <w:rPr>
            <w:noProof/>
            <w:webHidden/>
          </w:rPr>
          <w:fldChar w:fldCharType="separate"/>
        </w:r>
        <w:r w:rsidR="00552C02">
          <w:rPr>
            <w:noProof/>
            <w:webHidden/>
          </w:rPr>
          <w:t>20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7" w:history="1">
        <w:r w:rsidR="00552C02" w:rsidRPr="002F75E3">
          <w:rPr>
            <w:rStyle w:val="Hypertextovprepojenie"/>
            <w:rFonts w:cstheme="minorHAnsi"/>
            <w:noProof/>
          </w:rPr>
          <w:t>1.2.1 Základné charakteristiky systému ETC</w:t>
        </w:r>
        <w:r w:rsidR="00552C02">
          <w:rPr>
            <w:noProof/>
            <w:webHidden/>
          </w:rPr>
          <w:tab/>
        </w:r>
        <w:r w:rsidR="00552C02">
          <w:rPr>
            <w:noProof/>
            <w:webHidden/>
          </w:rPr>
          <w:fldChar w:fldCharType="begin"/>
        </w:r>
        <w:r w:rsidR="00552C02">
          <w:rPr>
            <w:noProof/>
            <w:webHidden/>
          </w:rPr>
          <w:instrText xml:space="preserve"> PAGEREF _Toc36664367 \h </w:instrText>
        </w:r>
        <w:r w:rsidR="00552C02">
          <w:rPr>
            <w:noProof/>
            <w:webHidden/>
          </w:rPr>
        </w:r>
        <w:r w:rsidR="00552C02">
          <w:rPr>
            <w:noProof/>
            <w:webHidden/>
          </w:rPr>
          <w:fldChar w:fldCharType="separate"/>
        </w:r>
        <w:r w:rsidR="00552C02">
          <w:rPr>
            <w:noProof/>
            <w:webHidden/>
          </w:rPr>
          <w:t>20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8" w:history="1">
        <w:r w:rsidR="00552C02" w:rsidRPr="002F75E3">
          <w:rPr>
            <w:rStyle w:val="Hypertextovprepojenie"/>
            <w:rFonts w:cstheme="minorHAnsi"/>
            <w:noProof/>
          </w:rPr>
          <w:t>1.2.2 Sieť vymedzených úsekov ciest</w:t>
        </w:r>
        <w:r w:rsidR="00552C02">
          <w:rPr>
            <w:noProof/>
            <w:webHidden/>
          </w:rPr>
          <w:tab/>
        </w:r>
        <w:r w:rsidR="00552C02">
          <w:rPr>
            <w:noProof/>
            <w:webHidden/>
          </w:rPr>
          <w:fldChar w:fldCharType="begin"/>
        </w:r>
        <w:r w:rsidR="00552C02">
          <w:rPr>
            <w:noProof/>
            <w:webHidden/>
          </w:rPr>
          <w:instrText xml:space="preserve"> PAGEREF _Toc36664368 \h </w:instrText>
        </w:r>
        <w:r w:rsidR="00552C02">
          <w:rPr>
            <w:noProof/>
            <w:webHidden/>
          </w:rPr>
        </w:r>
        <w:r w:rsidR="00552C02">
          <w:rPr>
            <w:noProof/>
            <w:webHidden/>
          </w:rPr>
          <w:fldChar w:fldCharType="separate"/>
        </w:r>
        <w:r w:rsidR="00552C02">
          <w:rPr>
            <w:noProof/>
            <w:webHidden/>
          </w:rPr>
          <w:t>21</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69" w:history="1">
        <w:r w:rsidR="00552C02" w:rsidRPr="002F75E3">
          <w:rPr>
            <w:rStyle w:val="Hypertextovprepojenie"/>
            <w:rFonts w:cstheme="minorHAnsi"/>
            <w:noProof/>
          </w:rPr>
          <w:t>1.2.3 Dopravné výkony na spoplatnenej sieti</w:t>
        </w:r>
        <w:r w:rsidR="00552C02">
          <w:rPr>
            <w:noProof/>
            <w:webHidden/>
          </w:rPr>
          <w:tab/>
        </w:r>
        <w:r w:rsidR="00552C02">
          <w:rPr>
            <w:noProof/>
            <w:webHidden/>
          </w:rPr>
          <w:fldChar w:fldCharType="begin"/>
        </w:r>
        <w:r w:rsidR="00552C02">
          <w:rPr>
            <w:noProof/>
            <w:webHidden/>
          </w:rPr>
          <w:instrText xml:space="preserve"> PAGEREF _Toc36664369 \h </w:instrText>
        </w:r>
        <w:r w:rsidR="00552C02">
          <w:rPr>
            <w:noProof/>
            <w:webHidden/>
          </w:rPr>
        </w:r>
        <w:r w:rsidR="00552C02">
          <w:rPr>
            <w:noProof/>
            <w:webHidden/>
          </w:rPr>
          <w:fldChar w:fldCharType="separate"/>
        </w:r>
        <w:r w:rsidR="00552C02">
          <w:rPr>
            <w:noProof/>
            <w:webHidden/>
          </w:rPr>
          <w:t>22</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0" w:history="1">
        <w:r w:rsidR="00552C02" w:rsidRPr="002F75E3">
          <w:rPr>
            <w:rStyle w:val="Hypertextovprepojenie"/>
            <w:rFonts w:cstheme="minorHAnsi"/>
            <w:noProof/>
          </w:rPr>
          <w:t>1.2.4 Výnosy a náklady systému ETC</w:t>
        </w:r>
        <w:r w:rsidR="00552C02">
          <w:rPr>
            <w:noProof/>
            <w:webHidden/>
          </w:rPr>
          <w:tab/>
        </w:r>
        <w:r w:rsidR="00552C02">
          <w:rPr>
            <w:noProof/>
            <w:webHidden/>
          </w:rPr>
          <w:fldChar w:fldCharType="begin"/>
        </w:r>
        <w:r w:rsidR="00552C02">
          <w:rPr>
            <w:noProof/>
            <w:webHidden/>
          </w:rPr>
          <w:instrText xml:space="preserve"> PAGEREF _Toc36664370 \h </w:instrText>
        </w:r>
        <w:r w:rsidR="00552C02">
          <w:rPr>
            <w:noProof/>
            <w:webHidden/>
          </w:rPr>
        </w:r>
        <w:r w:rsidR="00552C02">
          <w:rPr>
            <w:noProof/>
            <w:webHidden/>
          </w:rPr>
          <w:fldChar w:fldCharType="separate"/>
        </w:r>
        <w:r w:rsidR="00552C02">
          <w:rPr>
            <w:noProof/>
            <w:webHidden/>
          </w:rPr>
          <w:t>24</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71" w:history="1">
        <w:r w:rsidR="00552C02" w:rsidRPr="002F75E3">
          <w:rPr>
            <w:rStyle w:val="Hypertextovprepojenie"/>
            <w:rFonts w:cstheme="minorHAnsi"/>
            <w:noProof/>
          </w:rPr>
          <w:t>1.3 Rakúsko</w:t>
        </w:r>
        <w:r w:rsidR="00552C02">
          <w:rPr>
            <w:noProof/>
            <w:webHidden/>
          </w:rPr>
          <w:tab/>
        </w:r>
        <w:r w:rsidR="00552C02">
          <w:rPr>
            <w:noProof/>
            <w:webHidden/>
          </w:rPr>
          <w:fldChar w:fldCharType="begin"/>
        </w:r>
        <w:r w:rsidR="00552C02">
          <w:rPr>
            <w:noProof/>
            <w:webHidden/>
          </w:rPr>
          <w:instrText xml:space="preserve"> PAGEREF _Toc36664371 \h </w:instrText>
        </w:r>
        <w:r w:rsidR="00552C02">
          <w:rPr>
            <w:noProof/>
            <w:webHidden/>
          </w:rPr>
        </w:r>
        <w:r w:rsidR="00552C02">
          <w:rPr>
            <w:noProof/>
            <w:webHidden/>
          </w:rPr>
          <w:fldChar w:fldCharType="separate"/>
        </w:r>
        <w:r w:rsidR="00552C02">
          <w:rPr>
            <w:noProof/>
            <w:webHidden/>
          </w:rPr>
          <w:t>26</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2" w:history="1">
        <w:r w:rsidR="00552C02" w:rsidRPr="002F75E3">
          <w:rPr>
            <w:rStyle w:val="Hypertextovprepojenie"/>
            <w:rFonts w:cstheme="minorHAnsi"/>
            <w:noProof/>
          </w:rPr>
          <w:t>1.3.1 Základné charakteristiky systému ETC</w:t>
        </w:r>
        <w:r w:rsidR="00552C02">
          <w:rPr>
            <w:noProof/>
            <w:webHidden/>
          </w:rPr>
          <w:tab/>
        </w:r>
        <w:r w:rsidR="00552C02">
          <w:rPr>
            <w:noProof/>
            <w:webHidden/>
          </w:rPr>
          <w:fldChar w:fldCharType="begin"/>
        </w:r>
        <w:r w:rsidR="00552C02">
          <w:rPr>
            <w:noProof/>
            <w:webHidden/>
          </w:rPr>
          <w:instrText xml:space="preserve"> PAGEREF _Toc36664372 \h </w:instrText>
        </w:r>
        <w:r w:rsidR="00552C02">
          <w:rPr>
            <w:noProof/>
            <w:webHidden/>
          </w:rPr>
        </w:r>
        <w:r w:rsidR="00552C02">
          <w:rPr>
            <w:noProof/>
            <w:webHidden/>
          </w:rPr>
          <w:fldChar w:fldCharType="separate"/>
        </w:r>
        <w:r w:rsidR="00552C02">
          <w:rPr>
            <w:noProof/>
            <w:webHidden/>
          </w:rPr>
          <w:t>26</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3" w:history="1">
        <w:r w:rsidR="00552C02" w:rsidRPr="002F75E3">
          <w:rPr>
            <w:rStyle w:val="Hypertextovprepojenie"/>
            <w:rFonts w:cstheme="minorHAnsi"/>
            <w:noProof/>
          </w:rPr>
          <w:t>1.3.2 Sieť vymedzených úsekov ciest</w:t>
        </w:r>
        <w:r w:rsidR="00552C02">
          <w:rPr>
            <w:noProof/>
            <w:webHidden/>
          </w:rPr>
          <w:tab/>
        </w:r>
        <w:r w:rsidR="00552C02">
          <w:rPr>
            <w:noProof/>
            <w:webHidden/>
          </w:rPr>
          <w:fldChar w:fldCharType="begin"/>
        </w:r>
        <w:r w:rsidR="00552C02">
          <w:rPr>
            <w:noProof/>
            <w:webHidden/>
          </w:rPr>
          <w:instrText xml:space="preserve"> PAGEREF _Toc36664373 \h </w:instrText>
        </w:r>
        <w:r w:rsidR="00552C02">
          <w:rPr>
            <w:noProof/>
            <w:webHidden/>
          </w:rPr>
        </w:r>
        <w:r w:rsidR="00552C02">
          <w:rPr>
            <w:noProof/>
            <w:webHidden/>
          </w:rPr>
          <w:fldChar w:fldCharType="separate"/>
        </w:r>
        <w:r w:rsidR="00552C02">
          <w:rPr>
            <w:noProof/>
            <w:webHidden/>
          </w:rPr>
          <w:t>27</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4" w:history="1">
        <w:r w:rsidR="00552C02" w:rsidRPr="002F75E3">
          <w:rPr>
            <w:rStyle w:val="Hypertextovprepojenie"/>
            <w:rFonts w:cstheme="minorHAnsi"/>
            <w:noProof/>
          </w:rPr>
          <w:t>1.3.3 Dopravné výkony na vymedzených úsekoch ciest</w:t>
        </w:r>
        <w:r w:rsidR="00552C02">
          <w:rPr>
            <w:noProof/>
            <w:webHidden/>
          </w:rPr>
          <w:tab/>
        </w:r>
        <w:r w:rsidR="00552C02">
          <w:rPr>
            <w:noProof/>
            <w:webHidden/>
          </w:rPr>
          <w:fldChar w:fldCharType="begin"/>
        </w:r>
        <w:r w:rsidR="00552C02">
          <w:rPr>
            <w:noProof/>
            <w:webHidden/>
          </w:rPr>
          <w:instrText xml:space="preserve"> PAGEREF _Toc36664374 \h </w:instrText>
        </w:r>
        <w:r w:rsidR="00552C02">
          <w:rPr>
            <w:noProof/>
            <w:webHidden/>
          </w:rPr>
        </w:r>
        <w:r w:rsidR="00552C02">
          <w:rPr>
            <w:noProof/>
            <w:webHidden/>
          </w:rPr>
          <w:fldChar w:fldCharType="separate"/>
        </w:r>
        <w:r w:rsidR="00552C02">
          <w:rPr>
            <w:noProof/>
            <w:webHidden/>
          </w:rPr>
          <w:t>28</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5" w:history="1">
        <w:r w:rsidR="00552C02" w:rsidRPr="002F75E3">
          <w:rPr>
            <w:rStyle w:val="Hypertextovprepojenie"/>
            <w:rFonts w:cstheme="minorHAnsi"/>
            <w:noProof/>
          </w:rPr>
          <w:t>1.3.4 Výnosy a náklady systému ETC</w:t>
        </w:r>
        <w:r w:rsidR="00552C02">
          <w:rPr>
            <w:noProof/>
            <w:webHidden/>
          </w:rPr>
          <w:tab/>
        </w:r>
        <w:r w:rsidR="00552C02">
          <w:rPr>
            <w:noProof/>
            <w:webHidden/>
          </w:rPr>
          <w:fldChar w:fldCharType="begin"/>
        </w:r>
        <w:r w:rsidR="00552C02">
          <w:rPr>
            <w:noProof/>
            <w:webHidden/>
          </w:rPr>
          <w:instrText xml:space="preserve"> PAGEREF _Toc36664375 \h </w:instrText>
        </w:r>
        <w:r w:rsidR="00552C02">
          <w:rPr>
            <w:noProof/>
            <w:webHidden/>
          </w:rPr>
        </w:r>
        <w:r w:rsidR="00552C02">
          <w:rPr>
            <w:noProof/>
            <w:webHidden/>
          </w:rPr>
          <w:fldChar w:fldCharType="separate"/>
        </w:r>
        <w:r w:rsidR="00552C02">
          <w:rPr>
            <w:noProof/>
            <w:webHidden/>
          </w:rPr>
          <w:t>30</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76" w:history="1">
        <w:r w:rsidR="00552C02" w:rsidRPr="002F75E3">
          <w:rPr>
            <w:rStyle w:val="Hypertextovprepojenie"/>
            <w:rFonts w:cstheme="minorHAnsi"/>
            <w:noProof/>
          </w:rPr>
          <w:t>1.4 Česká republika</w:t>
        </w:r>
        <w:r w:rsidR="00552C02">
          <w:rPr>
            <w:noProof/>
            <w:webHidden/>
          </w:rPr>
          <w:tab/>
        </w:r>
        <w:r w:rsidR="00552C02">
          <w:rPr>
            <w:noProof/>
            <w:webHidden/>
          </w:rPr>
          <w:fldChar w:fldCharType="begin"/>
        </w:r>
        <w:r w:rsidR="00552C02">
          <w:rPr>
            <w:noProof/>
            <w:webHidden/>
          </w:rPr>
          <w:instrText xml:space="preserve"> PAGEREF _Toc36664376 \h </w:instrText>
        </w:r>
        <w:r w:rsidR="00552C02">
          <w:rPr>
            <w:noProof/>
            <w:webHidden/>
          </w:rPr>
        </w:r>
        <w:r w:rsidR="00552C02">
          <w:rPr>
            <w:noProof/>
            <w:webHidden/>
          </w:rPr>
          <w:fldChar w:fldCharType="separate"/>
        </w:r>
        <w:r w:rsidR="00552C02">
          <w:rPr>
            <w:noProof/>
            <w:webHidden/>
          </w:rPr>
          <w:t>33</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7" w:history="1">
        <w:r w:rsidR="00552C02" w:rsidRPr="002F75E3">
          <w:rPr>
            <w:rStyle w:val="Hypertextovprepojenie"/>
            <w:rFonts w:cstheme="minorHAnsi"/>
            <w:noProof/>
          </w:rPr>
          <w:t>1.4.1 Základné charakteristiky systému ETC</w:t>
        </w:r>
        <w:r w:rsidR="00552C02">
          <w:rPr>
            <w:noProof/>
            <w:webHidden/>
          </w:rPr>
          <w:tab/>
        </w:r>
        <w:r w:rsidR="00552C02">
          <w:rPr>
            <w:noProof/>
            <w:webHidden/>
          </w:rPr>
          <w:fldChar w:fldCharType="begin"/>
        </w:r>
        <w:r w:rsidR="00552C02">
          <w:rPr>
            <w:noProof/>
            <w:webHidden/>
          </w:rPr>
          <w:instrText xml:space="preserve"> PAGEREF _Toc36664377 \h </w:instrText>
        </w:r>
        <w:r w:rsidR="00552C02">
          <w:rPr>
            <w:noProof/>
            <w:webHidden/>
          </w:rPr>
        </w:r>
        <w:r w:rsidR="00552C02">
          <w:rPr>
            <w:noProof/>
            <w:webHidden/>
          </w:rPr>
          <w:fldChar w:fldCharType="separate"/>
        </w:r>
        <w:r w:rsidR="00552C02">
          <w:rPr>
            <w:noProof/>
            <w:webHidden/>
          </w:rPr>
          <w:t>33</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8" w:history="1">
        <w:r w:rsidR="00552C02" w:rsidRPr="002F75E3">
          <w:rPr>
            <w:rStyle w:val="Hypertextovprepojenie"/>
            <w:rFonts w:cstheme="minorHAnsi"/>
            <w:noProof/>
          </w:rPr>
          <w:t>1.4.2 Sieť vymedzených úsekov ciest</w:t>
        </w:r>
        <w:r w:rsidR="00552C02">
          <w:rPr>
            <w:noProof/>
            <w:webHidden/>
          </w:rPr>
          <w:tab/>
        </w:r>
        <w:r w:rsidR="00552C02">
          <w:rPr>
            <w:noProof/>
            <w:webHidden/>
          </w:rPr>
          <w:fldChar w:fldCharType="begin"/>
        </w:r>
        <w:r w:rsidR="00552C02">
          <w:rPr>
            <w:noProof/>
            <w:webHidden/>
          </w:rPr>
          <w:instrText xml:space="preserve"> PAGEREF _Toc36664378 \h </w:instrText>
        </w:r>
        <w:r w:rsidR="00552C02">
          <w:rPr>
            <w:noProof/>
            <w:webHidden/>
          </w:rPr>
        </w:r>
        <w:r w:rsidR="00552C02">
          <w:rPr>
            <w:noProof/>
            <w:webHidden/>
          </w:rPr>
          <w:fldChar w:fldCharType="separate"/>
        </w:r>
        <w:r w:rsidR="00552C02">
          <w:rPr>
            <w:noProof/>
            <w:webHidden/>
          </w:rPr>
          <w:t>33</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79" w:history="1">
        <w:r w:rsidR="00552C02" w:rsidRPr="002F75E3">
          <w:rPr>
            <w:rStyle w:val="Hypertextovprepojenie"/>
            <w:rFonts w:cstheme="minorHAnsi"/>
            <w:noProof/>
          </w:rPr>
          <w:t>1.4.3 Dopravné výkony na vymedzených úsekoch ciest</w:t>
        </w:r>
        <w:r w:rsidR="00552C02">
          <w:rPr>
            <w:noProof/>
            <w:webHidden/>
          </w:rPr>
          <w:tab/>
        </w:r>
        <w:r w:rsidR="00552C02">
          <w:rPr>
            <w:noProof/>
            <w:webHidden/>
          </w:rPr>
          <w:fldChar w:fldCharType="begin"/>
        </w:r>
        <w:r w:rsidR="00552C02">
          <w:rPr>
            <w:noProof/>
            <w:webHidden/>
          </w:rPr>
          <w:instrText xml:space="preserve"> PAGEREF _Toc36664379 \h </w:instrText>
        </w:r>
        <w:r w:rsidR="00552C02">
          <w:rPr>
            <w:noProof/>
            <w:webHidden/>
          </w:rPr>
        </w:r>
        <w:r w:rsidR="00552C02">
          <w:rPr>
            <w:noProof/>
            <w:webHidden/>
          </w:rPr>
          <w:fldChar w:fldCharType="separate"/>
        </w:r>
        <w:r w:rsidR="00552C02">
          <w:rPr>
            <w:noProof/>
            <w:webHidden/>
          </w:rPr>
          <w:t>35</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80" w:history="1">
        <w:r w:rsidR="00552C02" w:rsidRPr="002F75E3">
          <w:rPr>
            <w:rStyle w:val="Hypertextovprepojenie"/>
            <w:rFonts w:cstheme="minorHAnsi"/>
            <w:noProof/>
          </w:rPr>
          <w:t>1.4.4 Výnosy a náklady systému ETC</w:t>
        </w:r>
        <w:r w:rsidR="00552C02">
          <w:rPr>
            <w:noProof/>
            <w:webHidden/>
          </w:rPr>
          <w:tab/>
        </w:r>
        <w:r w:rsidR="00552C02">
          <w:rPr>
            <w:noProof/>
            <w:webHidden/>
          </w:rPr>
          <w:fldChar w:fldCharType="begin"/>
        </w:r>
        <w:r w:rsidR="00552C02">
          <w:rPr>
            <w:noProof/>
            <w:webHidden/>
          </w:rPr>
          <w:instrText xml:space="preserve"> PAGEREF _Toc36664380 \h </w:instrText>
        </w:r>
        <w:r w:rsidR="00552C02">
          <w:rPr>
            <w:noProof/>
            <w:webHidden/>
          </w:rPr>
        </w:r>
        <w:r w:rsidR="00552C02">
          <w:rPr>
            <w:noProof/>
            <w:webHidden/>
          </w:rPr>
          <w:fldChar w:fldCharType="separate"/>
        </w:r>
        <w:r w:rsidR="00552C02">
          <w:rPr>
            <w:noProof/>
            <w:webHidden/>
          </w:rPr>
          <w:t>37</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81" w:history="1">
        <w:r w:rsidR="00552C02" w:rsidRPr="002F75E3">
          <w:rPr>
            <w:rStyle w:val="Hypertextovprepojenie"/>
            <w:rFonts w:cstheme="minorHAnsi"/>
            <w:noProof/>
          </w:rPr>
          <w:t>1.5 Poľsko</w:t>
        </w:r>
        <w:r w:rsidR="00552C02">
          <w:rPr>
            <w:noProof/>
            <w:webHidden/>
          </w:rPr>
          <w:tab/>
        </w:r>
        <w:r w:rsidR="00552C02">
          <w:rPr>
            <w:noProof/>
            <w:webHidden/>
          </w:rPr>
          <w:fldChar w:fldCharType="begin"/>
        </w:r>
        <w:r w:rsidR="00552C02">
          <w:rPr>
            <w:noProof/>
            <w:webHidden/>
          </w:rPr>
          <w:instrText xml:space="preserve"> PAGEREF _Toc36664381 \h </w:instrText>
        </w:r>
        <w:r w:rsidR="00552C02">
          <w:rPr>
            <w:noProof/>
            <w:webHidden/>
          </w:rPr>
        </w:r>
        <w:r w:rsidR="00552C02">
          <w:rPr>
            <w:noProof/>
            <w:webHidden/>
          </w:rPr>
          <w:fldChar w:fldCharType="separate"/>
        </w:r>
        <w:r w:rsidR="00552C02">
          <w:rPr>
            <w:noProof/>
            <w:webHidden/>
          </w:rPr>
          <w:t>40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82" w:history="1">
        <w:r w:rsidR="00552C02" w:rsidRPr="002F75E3">
          <w:rPr>
            <w:rStyle w:val="Hypertextovprepojenie"/>
            <w:rFonts w:cstheme="minorHAnsi"/>
            <w:noProof/>
          </w:rPr>
          <w:t>1.5.1 Základné charakteristiky systému ETC</w:t>
        </w:r>
        <w:r w:rsidR="00552C02">
          <w:rPr>
            <w:noProof/>
            <w:webHidden/>
          </w:rPr>
          <w:tab/>
        </w:r>
        <w:r w:rsidR="00552C02">
          <w:rPr>
            <w:noProof/>
            <w:webHidden/>
          </w:rPr>
          <w:fldChar w:fldCharType="begin"/>
        </w:r>
        <w:r w:rsidR="00552C02">
          <w:rPr>
            <w:noProof/>
            <w:webHidden/>
          </w:rPr>
          <w:instrText xml:space="preserve"> PAGEREF _Toc36664382 \h </w:instrText>
        </w:r>
        <w:r w:rsidR="00552C02">
          <w:rPr>
            <w:noProof/>
            <w:webHidden/>
          </w:rPr>
        </w:r>
        <w:r w:rsidR="00552C02">
          <w:rPr>
            <w:noProof/>
            <w:webHidden/>
          </w:rPr>
          <w:fldChar w:fldCharType="separate"/>
        </w:r>
        <w:r w:rsidR="00552C02">
          <w:rPr>
            <w:noProof/>
            <w:webHidden/>
          </w:rPr>
          <w:t>40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83" w:history="1">
        <w:r w:rsidR="00552C02" w:rsidRPr="002F75E3">
          <w:rPr>
            <w:rStyle w:val="Hypertextovprepojenie"/>
            <w:rFonts w:cstheme="minorHAnsi"/>
            <w:noProof/>
          </w:rPr>
          <w:t>1.5.2 Sieť vymedzených úsekov ciest</w:t>
        </w:r>
        <w:r w:rsidR="00552C02">
          <w:rPr>
            <w:noProof/>
            <w:webHidden/>
          </w:rPr>
          <w:tab/>
        </w:r>
        <w:r w:rsidR="00552C02">
          <w:rPr>
            <w:noProof/>
            <w:webHidden/>
          </w:rPr>
          <w:fldChar w:fldCharType="begin"/>
        </w:r>
        <w:r w:rsidR="00552C02">
          <w:rPr>
            <w:noProof/>
            <w:webHidden/>
          </w:rPr>
          <w:instrText xml:space="preserve"> PAGEREF _Toc36664383 \h </w:instrText>
        </w:r>
        <w:r w:rsidR="00552C02">
          <w:rPr>
            <w:noProof/>
            <w:webHidden/>
          </w:rPr>
        </w:r>
        <w:r w:rsidR="00552C02">
          <w:rPr>
            <w:noProof/>
            <w:webHidden/>
          </w:rPr>
          <w:fldChar w:fldCharType="separate"/>
        </w:r>
        <w:r w:rsidR="00552C02">
          <w:rPr>
            <w:noProof/>
            <w:webHidden/>
          </w:rPr>
          <w:t>40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84" w:history="1">
        <w:r w:rsidR="00552C02" w:rsidRPr="002F75E3">
          <w:rPr>
            <w:rStyle w:val="Hypertextovprepojenie"/>
            <w:rFonts w:cstheme="minorHAnsi"/>
            <w:noProof/>
          </w:rPr>
          <w:t>1.5.3 Dopravné výkony na vymedzených úsekoch ciest</w:t>
        </w:r>
        <w:r w:rsidR="00552C02">
          <w:rPr>
            <w:noProof/>
            <w:webHidden/>
          </w:rPr>
          <w:tab/>
        </w:r>
        <w:r w:rsidR="00552C02">
          <w:rPr>
            <w:noProof/>
            <w:webHidden/>
          </w:rPr>
          <w:fldChar w:fldCharType="begin"/>
        </w:r>
        <w:r w:rsidR="00552C02">
          <w:rPr>
            <w:noProof/>
            <w:webHidden/>
          </w:rPr>
          <w:instrText xml:space="preserve"> PAGEREF _Toc36664384 \h </w:instrText>
        </w:r>
        <w:r w:rsidR="00552C02">
          <w:rPr>
            <w:noProof/>
            <w:webHidden/>
          </w:rPr>
        </w:r>
        <w:r w:rsidR="00552C02">
          <w:rPr>
            <w:noProof/>
            <w:webHidden/>
          </w:rPr>
          <w:fldChar w:fldCharType="separate"/>
        </w:r>
        <w:r w:rsidR="00552C02">
          <w:rPr>
            <w:noProof/>
            <w:webHidden/>
          </w:rPr>
          <w:t>42</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85" w:history="1">
        <w:r w:rsidR="00552C02" w:rsidRPr="002F75E3">
          <w:rPr>
            <w:rStyle w:val="Hypertextovprepojenie"/>
            <w:rFonts w:cstheme="minorHAnsi"/>
            <w:noProof/>
          </w:rPr>
          <w:t>1.5.4 Výnosy a náklady systému ETC</w:t>
        </w:r>
        <w:r w:rsidR="00552C02">
          <w:rPr>
            <w:noProof/>
            <w:webHidden/>
          </w:rPr>
          <w:tab/>
        </w:r>
        <w:r w:rsidR="00552C02">
          <w:rPr>
            <w:noProof/>
            <w:webHidden/>
          </w:rPr>
          <w:fldChar w:fldCharType="begin"/>
        </w:r>
        <w:r w:rsidR="00552C02">
          <w:rPr>
            <w:noProof/>
            <w:webHidden/>
          </w:rPr>
          <w:instrText xml:space="preserve"> PAGEREF _Toc36664385 \h </w:instrText>
        </w:r>
        <w:r w:rsidR="00552C02">
          <w:rPr>
            <w:noProof/>
            <w:webHidden/>
          </w:rPr>
        </w:r>
        <w:r w:rsidR="00552C02">
          <w:rPr>
            <w:noProof/>
            <w:webHidden/>
          </w:rPr>
          <w:fldChar w:fldCharType="separate"/>
        </w:r>
        <w:r w:rsidR="00552C02">
          <w:rPr>
            <w:noProof/>
            <w:webHidden/>
          </w:rPr>
          <w:t>44</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86" w:history="1">
        <w:r w:rsidR="00552C02" w:rsidRPr="002F75E3">
          <w:rPr>
            <w:rStyle w:val="Hypertextovprepojenie"/>
            <w:rFonts w:cstheme="minorHAnsi"/>
            <w:noProof/>
          </w:rPr>
          <w:t>1.6 Zhodnotenie výsledkov analýzy systémov ETC</w:t>
        </w:r>
        <w:r w:rsidR="00552C02">
          <w:rPr>
            <w:noProof/>
            <w:webHidden/>
          </w:rPr>
          <w:tab/>
        </w:r>
        <w:r w:rsidR="00552C02">
          <w:rPr>
            <w:noProof/>
            <w:webHidden/>
          </w:rPr>
          <w:fldChar w:fldCharType="begin"/>
        </w:r>
        <w:r w:rsidR="00552C02">
          <w:rPr>
            <w:noProof/>
            <w:webHidden/>
          </w:rPr>
          <w:instrText xml:space="preserve"> PAGEREF _Toc36664386 \h </w:instrText>
        </w:r>
        <w:r w:rsidR="00552C02">
          <w:rPr>
            <w:noProof/>
            <w:webHidden/>
          </w:rPr>
        </w:r>
        <w:r w:rsidR="00552C02">
          <w:rPr>
            <w:noProof/>
            <w:webHidden/>
          </w:rPr>
          <w:fldChar w:fldCharType="separate"/>
        </w:r>
        <w:r w:rsidR="00552C02">
          <w:rPr>
            <w:noProof/>
            <w:webHidden/>
          </w:rPr>
          <w:t>46</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387" w:history="1">
        <w:r w:rsidR="00552C02" w:rsidRPr="002F75E3">
          <w:rPr>
            <w:rStyle w:val="Hypertextovprepojenie"/>
            <w:rFonts w:cstheme="minorHAnsi"/>
            <w:noProof/>
          </w:rPr>
          <w:t>2. Komparatívna analýza indikátorov efektívnosti systémov ETC</w:t>
        </w:r>
        <w:r w:rsidR="00552C02">
          <w:rPr>
            <w:noProof/>
            <w:webHidden/>
          </w:rPr>
          <w:tab/>
        </w:r>
        <w:r w:rsidR="00552C02">
          <w:rPr>
            <w:noProof/>
            <w:webHidden/>
          </w:rPr>
          <w:fldChar w:fldCharType="begin"/>
        </w:r>
        <w:r w:rsidR="00552C02">
          <w:rPr>
            <w:noProof/>
            <w:webHidden/>
          </w:rPr>
          <w:instrText xml:space="preserve"> PAGEREF _Toc36664387 \h </w:instrText>
        </w:r>
        <w:r w:rsidR="00552C02">
          <w:rPr>
            <w:noProof/>
            <w:webHidden/>
          </w:rPr>
        </w:r>
        <w:r w:rsidR="00552C02">
          <w:rPr>
            <w:noProof/>
            <w:webHidden/>
          </w:rPr>
          <w:fldChar w:fldCharType="separate"/>
        </w:r>
        <w:r w:rsidR="00552C02">
          <w:rPr>
            <w:noProof/>
            <w:webHidden/>
          </w:rPr>
          <w:t>54</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88" w:history="1">
        <w:r w:rsidR="00552C02" w:rsidRPr="002F75E3">
          <w:rPr>
            <w:rStyle w:val="Hypertextovprepojenie"/>
            <w:noProof/>
          </w:rPr>
          <w:t>2.1 Východiskové vstupné premenné komparatívnej analýzy</w:t>
        </w:r>
        <w:r w:rsidR="00552C02">
          <w:rPr>
            <w:noProof/>
            <w:webHidden/>
          </w:rPr>
          <w:tab/>
        </w:r>
        <w:r w:rsidR="00552C02">
          <w:rPr>
            <w:noProof/>
            <w:webHidden/>
          </w:rPr>
          <w:fldChar w:fldCharType="begin"/>
        </w:r>
        <w:r w:rsidR="00552C02">
          <w:rPr>
            <w:noProof/>
            <w:webHidden/>
          </w:rPr>
          <w:instrText xml:space="preserve"> PAGEREF _Toc36664388 \h </w:instrText>
        </w:r>
        <w:r w:rsidR="00552C02">
          <w:rPr>
            <w:noProof/>
            <w:webHidden/>
          </w:rPr>
        </w:r>
        <w:r w:rsidR="00552C02">
          <w:rPr>
            <w:noProof/>
            <w:webHidden/>
          </w:rPr>
          <w:fldChar w:fldCharType="separate"/>
        </w:r>
        <w:r w:rsidR="00552C02">
          <w:rPr>
            <w:noProof/>
            <w:webHidden/>
          </w:rPr>
          <w:t>54</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89" w:history="1">
        <w:r w:rsidR="00552C02" w:rsidRPr="002F75E3">
          <w:rPr>
            <w:rStyle w:val="Hypertextovprepojenie"/>
            <w:noProof/>
          </w:rPr>
          <w:t>2.1.1 Dopravné ukazovatele systémov ETC</w:t>
        </w:r>
        <w:r w:rsidR="00552C02">
          <w:rPr>
            <w:noProof/>
            <w:webHidden/>
          </w:rPr>
          <w:tab/>
        </w:r>
        <w:r w:rsidR="00552C02">
          <w:rPr>
            <w:noProof/>
            <w:webHidden/>
          </w:rPr>
          <w:fldChar w:fldCharType="begin"/>
        </w:r>
        <w:r w:rsidR="00552C02">
          <w:rPr>
            <w:noProof/>
            <w:webHidden/>
          </w:rPr>
          <w:instrText xml:space="preserve"> PAGEREF _Toc36664389 \h </w:instrText>
        </w:r>
        <w:r w:rsidR="00552C02">
          <w:rPr>
            <w:noProof/>
            <w:webHidden/>
          </w:rPr>
        </w:r>
        <w:r w:rsidR="00552C02">
          <w:rPr>
            <w:noProof/>
            <w:webHidden/>
          </w:rPr>
          <w:fldChar w:fldCharType="separate"/>
        </w:r>
        <w:r w:rsidR="00552C02">
          <w:rPr>
            <w:noProof/>
            <w:webHidden/>
          </w:rPr>
          <w:t>55</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390" w:history="1">
        <w:r w:rsidR="00552C02" w:rsidRPr="002F75E3">
          <w:rPr>
            <w:rStyle w:val="Hypertextovprepojenie"/>
            <w:noProof/>
          </w:rPr>
          <w:t>2.1.1.1 Dĺžka spoplatnenej siete</w:t>
        </w:r>
        <w:r w:rsidR="00552C02">
          <w:rPr>
            <w:noProof/>
            <w:webHidden/>
          </w:rPr>
          <w:tab/>
        </w:r>
        <w:r w:rsidR="00552C02">
          <w:rPr>
            <w:noProof/>
            <w:webHidden/>
          </w:rPr>
          <w:fldChar w:fldCharType="begin"/>
        </w:r>
        <w:r w:rsidR="00552C02">
          <w:rPr>
            <w:noProof/>
            <w:webHidden/>
          </w:rPr>
          <w:instrText xml:space="preserve"> PAGEREF _Toc36664390 \h </w:instrText>
        </w:r>
        <w:r w:rsidR="00552C02">
          <w:rPr>
            <w:noProof/>
            <w:webHidden/>
          </w:rPr>
        </w:r>
        <w:r w:rsidR="00552C02">
          <w:rPr>
            <w:noProof/>
            <w:webHidden/>
          </w:rPr>
          <w:fldChar w:fldCharType="separate"/>
        </w:r>
        <w:r w:rsidR="00552C02">
          <w:rPr>
            <w:noProof/>
            <w:webHidden/>
          </w:rPr>
          <w:t>55</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391" w:history="1">
        <w:r w:rsidR="00552C02" w:rsidRPr="002F75E3">
          <w:rPr>
            <w:rStyle w:val="Hypertextovprepojenie"/>
            <w:noProof/>
          </w:rPr>
          <w:t>2.1.1.2 Priemerná denná intenzita</w:t>
        </w:r>
        <w:r w:rsidR="00552C02">
          <w:rPr>
            <w:noProof/>
            <w:webHidden/>
          </w:rPr>
          <w:tab/>
        </w:r>
        <w:r w:rsidR="00552C02">
          <w:rPr>
            <w:noProof/>
            <w:webHidden/>
          </w:rPr>
          <w:fldChar w:fldCharType="begin"/>
        </w:r>
        <w:r w:rsidR="00552C02">
          <w:rPr>
            <w:noProof/>
            <w:webHidden/>
          </w:rPr>
          <w:instrText xml:space="preserve"> PAGEREF _Toc36664391 \h </w:instrText>
        </w:r>
        <w:r w:rsidR="00552C02">
          <w:rPr>
            <w:noProof/>
            <w:webHidden/>
          </w:rPr>
        </w:r>
        <w:r w:rsidR="00552C02">
          <w:rPr>
            <w:noProof/>
            <w:webHidden/>
          </w:rPr>
          <w:fldChar w:fldCharType="separate"/>
        </w:r>
        <w:r w:rsidR="00552C02">
          <w:rPr>
            <w:noProof/>
            <w:webHidden/>
          </w:rPr>
          <w:t>56</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392" w:history="1">
        <w:r w:rsidR="00552C02" w:rsidRPr="002F75E3">
          <w:rPr>
            <w:rStyle w:val="Hypertextovprepojenie"/>
            <w:noProof/>
          </w:rPr>
          <w:t>2.1.1.3 Kumulované ročné dopravné výkony</w:t>
        </w:r>
        <w:r w:rsidR="00552C02">
          <w:rPr>
            <w:noProof/>
            <w:webHidden/>
          </w:rPr>
          <w:tab/>
        </w:r>
        <w:r w:rsidR="00552C02">
          <w:rPr>
            <w:noProof/>
            <w:webHidden/>
          </w:rPr>
          <w:fldChar w:fldCharType="begin"/>
        </w:r>
        <w:r w:rsidR="00552C02">
          <w:rPr>
            <w:noProof/>
            <w:webHidden/>
          </w:rPr>
          <w:instrText xml:space="preserve"> PAGEREF _Toc36664392 \h </w:instrText>
        </w:r>
        <w:r w:rsidR="00552C02">
          <w:rPr>
            <w:noProof/>
            <w:webHidden/>
          </w:rPr>
        </w:r>
        <w:r w:rsidR="00552C02">
          <w:rPr>
            <w:noProof/>
            <w:webHidden/>
          </w:rPr>
          <w:fldChar w:fldCharType="separate"/>
        </w:r>
        <w:r w:rsidR="00552C02">
          <w:rPr>
            <w:noProof/>
            <w:webHidden/>
          </w:rPr>
          <w:t>58</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93" w:history="1">
        <w:r w:rsidR="00552C02" w:rsidRPr="002F75E3">
          <w:rPr>
            <w:rStyle w:val="Hypertextovprepojenie"/>
            <w:noProof/>
          </w:rPr>
          <w:t>2.1.2 Finančné ukazovatele</w:t>
        </w:r>
        <w:r w:rsidR="00552C02">
          <w:rPr>
            <w:noProof/>
            <w:webHidden/>
          </w:rPr>
          <w:tab/>
        </w:r>
        <w:r w:rsidR="00552C02">
          <w:rPr>
            <w:noProof/>
            <w:webHidden/>
          </w:rPr>
          <w:fldChar w:fldCharType="begin"/>
        </w:r>
        <w:r w:rsidR="00552C02">
          <w:rPr>
            <w:noProof/>
            <w:webHidden/>
          </w:rPr>
          <w:instrText xml:space="preserve"> PAGEREF _Toc36664393 \h </w:instrText>
        </w:r>
        <w:r w:rsidR="00552C02">
          <w:rPr>
            <w:noProof/>
            <w:webHidden/>
          </w:rPr>
        </w:r>
        <w:r w:rsidR="00552C02">
          <w:rPr>
            <w:noProof/>
            <w:webHidden/>
          </w:rPr>
          <w:fldChar w:fldCharType="separate"/>
        </w:r>
        <w:r w:rsidR="00552C02">
          <w:rPr>
            <w:noProof/>
            <w:webHidden/>
          </w:rPr>
          <w:t>60</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394" w:history="1">
        <w:r w:rsidR="00552C02" w:rsidRPr="002F75E3">
          <w:rPr>
            <w:rStyle w:val="Hypertextovprepojenie"/>
            <w:noProof/>
          </w:rPr>
          <w:t>2.1.2.1 Výnosy systémov ETC</w:t>
        </w:r>
        <w:r w:rsidR="00552C02">
          <w:rPr>
            <w:noProof/>
            <w:webHidden/>
          </w:rPr>
          <w:tab/>
        </w:r>
        <w:r w:rsidR="00552C02">
          <w:rPr>
            <w:noProof/>
            <w:webHidden/>
          </w:rPr>
          <w:fldChar w:fldCharType="begin"/>
        </w:r>
        <w:r w:rsidR="00552C02">
          <w:rPr>
            <w:noProof/>
            <w:webHidden/>
          </w:rPr>
          <w:instrText xml:space="preserve"> PAGEREF _Toc36664394 \h </w:instrText>
        </w:r>
        <w:r w:rsidR="00552C02">
          <w:rPr>
            <w:noProof/>
            <w:webHidden/>
          </w:rPr>
        </w:r>
        <w:r w:rsidR="00552C02">
          <w:rPr>
            <w:noProof/>
            <w:webHidden/>
          </w:rPr>
          <w:fldChar w:fldCharType="separate"/>
        </w:r>
        <w:r w:rsidR="00552C02">
          <w:rPr>
            <w:noProof/>
            <w:webHidden/>
          </w:rPr>
          <w:t>60</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395" w:history="1">
        <w:r w:rsidR="00552C02" w:rsidRPr="002F75E3">
          <w:rPr>
            <w:rStyle w:val="Hypertextovprepojenie"/>
            <w:noProof/>
          </w:rPr>
          <w:t>2.1.2.2 Náklady systémov ETC</w:t>
        </w:r>
        <w:r w:rsidR="00552C02">
          <w:rPr>
            <w:noProof/>
            <w:webHidden/>
          </w:rPr>
          <w:tab/>
        </w:r>
        <w:r w:rsidR="00552C02">
          <w:rPr>
            <w:noProof/>
            <w:webHidden/>
          </w:rPr>
          <w:fldChar w:fldCharType="begin"/>
        </w:r>
        <w:r w:rsidR="00552C02">
          <w:rPr>
            <w:noProof/>
            <w:webHidden/>
          </w:rPr>
          <w:instrText xml:space="preserve"> PAGEREF _Toc36664395 \h </w:instrText>
        </w:r>
        <w:r w:rsidR="00552C02">
          <w:rPr>
            <w:noProof/>
            <w:webHidden/>
          </w:rPr>
        </w:r>
        <w:r w:rsidR="00552C02">
          <w:rPr>
            <w:noProof/>
            <w:webHidden/>
          </w:rPr>
          <w:fldChar w:fldCharType="separate"/>
        </w:r>
        <w:r w:rsidR="00552C02">
          <w:rPr>
            <w:noProof/>
            <w:webHidden/>
          </w:rPr>
          <w:t>62</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96" w:history="1">
        <w:r w:rsidR="00552C02" w:rsidRPr="002F75E3">
          <w:rPr>
            <w:rStyle w:val="Hypertextovprepojenie"/>
            <w:rFonts w:cstheme="minorHAnsi"/>
            <w:noProof/>
          </w:rPr>
          <w:t>2.2 Základné indikátory efektívnosti systémov ETC</w:t>
        </w:r>
        <w:r w:rsidR="00552C02">
          <w:rPr>
            <w:noProof/>
            <w:webHidden/>
          </w:rPr>
          <w:tab/>
        </w:r>
        <w:r w:rsidR="00552C02">
          <w:rPr>
            <w:noProof/>
            <w:webHidden/>
          </w:rPr>
          <w:fldChar w:fldCharType="begin"/>
        </w:r>
        <w:r w:rsidR="00552C02">
          <w:rPr>
            <w:noProof/>
            <w:webHidden/>
          </w:rPr>
          <w:instrText xml:space="preserve"> PAGEREF _Toc36664396 \h </w:instrText>
        </w:r>
        <w:r w:rsidR="00552C02">
          <w:rPr>
            <w:noProof/>
            <w:webHidden/>
          </w:rPr>
        </w:r>
        <w:r w:rsidR="00552C02">
          <w:rPr>
            <w:noProof/>
            <w:webHidden/>
          </w:rPr>
          <w:fldChar w:fldCharType="separate"/>
        </w:r>
        <w:r w:rsidR="00552C02">
          <w:rPr>
            <w:noProof/>
            <w:webHidden/>
          </w:rPr>
          <w:t>64</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97" w:history="1">
        <w:r w:rsidR="00552C02" w:rsidRPr="002F75E3">
          <w:rPr>
            <w:rStyle w:val="Hypertextovprepojenie"/>
            <w:noProof/>
          </w:rPr>
          <w:t>2.2.1 Nákladová výnosnosť systémov ETC</w:t>
        </w:r>
        <w:r w:rsidR="00552C02">
          <w:rPr>
            <w:noProof/>
            <w:webHidden/>
          </w:rPr>
          <w:tab/>
        </w:r>
        <w:r w:rsidR="00552C02">
          <w:rPr>
            <w:noProof/>
            <w:webHidden/>
          </w:rPr>
          <w:fldChar w:fldCharType="begin"/>
        </w:r>
        <w:r w:rsidR="00552C02">
          <w:rPr>
            <w:noProof/>
            <w:webHidden/>
          </w:rPr>
          <w:instrText xml:space="preserve"> PAGEREF _Toc36664397 \h </w:instrText>
        </w:r>
        <w:r w:rsidR="00552C02">
          <w:rPr>
            <w:noProof/>
            <w:webHidden/>
          </w:rPr>
        </w:r>
        <w:r w:rsidR="00552C02">
          <w:rPr>
            <w:noProof/>
            <w:webHidden/>
          </w:rPr>
          <w:fldChar w:fldCharType="separate"/>
        </w:r>
        <w:r w:rsidR="00552C02">
          <w:rPr>
            <w:noProof/>
            <w:webHidden/>
          </w:rPr>
          <w:t>64</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398" w:history="1">
        <w:r w:rsidR="00552C02" w:rsidRPr="002F75E3">
          <w:rPr>
            <w:rStyle w:val="Hypertextovprepojenie"/>
            <w:noProof/>
          </w:rPr>
          <w:t>2.2.2 Nákladová efektivnosť systémov ETC</w:t>
        </w:r>
        <w:r w:rsidR="00552C02">
          <w:rPr>
            <w:noProof/>
            <w:webHidden/>
          </w:rPr>
          <w:tab/>
        </w:r>
        <w:r w:rsidR="00552C02">
          <w:rPr>
            <w:noProof/>
            <w:webHidden/>
          </w:rPr>
          <w:fldChar w:fldCharType="begin"/>
        </w:r>
        <w:r w:rsidR="00552C02">
          <w:rPr>
            <w:noProof/>
            <w:webHidden/>
          </w:rPr>
          <w:instrText xml:space="preserve"> PAGEREF _Toc36664398 \h </w:instrText>
        </w:r>
        <w:r w:rsidR="00552C02">
          <w:rPr>
            <w:noProof/>
            <w:webHidden/>
          </w:rPr>
        </w:r>
        <w:r w:rsidR="00552C02">
          <w:rPr>
            <w:noProof/>
            <w:webHidden/>
          </w:rPr>
          <w:fldChar w:fldCharType="separate"/>
        </w:r>
        <w:r w:rsidR="00552C02">
          <w:rPr>
            <w:noProof/>
            <w:webHidden/>
          </w:rPr>
          <w:t>66</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399" w:history="1">
        <w:r w:rsidR="00552C02" w:rsidRPr="002F75E3">
          <w:rPr>
            <w:rStyle w:val="Hypertextovprepojenie"/>
            <w:rFonts w:cstheme="minorHAnsi"/>
            <w:noProof/>
          </w:rPr>
          <w:t>2.3 Odvodené indikátory efektívnosti systémov ETC</w:t>
        </w:r>
        <w:r w:rsidR="00552C02">
          <w:rPr>
            <w:noProof/>
            <w:webHidden/>
          </w:rPr>
          <w:tab/>
        </w:r>
        <w:r w:rsidR="00552C02">
          <w:rPr>
            <w:noProof/>
            <w:webHidden/>
          </w:rPr>
          <w:fldChar w:fldCharType="begin"/>
        </w:r>
        <w:r w:rsidR="00552C02">
          <w:rPr>
            <w:noProof/>
            <w:webHidden/>
          </w:rPr>
          <w:instrText xml:space="preserve"> PAGEREF _Toc36664399 \h </w:instrText>
        </w:r>
        <w:r w:rsidR="00552C02">
          <w:rPr>
            <w:noProof/>
            <w:webHidden/>
          </w:rPr>
        </w:r>
        <w:r w:rsidR="00552C02">
          <w:rPr>
            <w:noProof/>
            <w:webHidden/>
          </w:rPr>
          <w:fldChar w:fldCharType="separate"/>
        </w:r>
        <w:r w:rsidR="00552C02">
          <w:rPr>
            <w:noProof/>
            <w:webHidden/>
          </w:rPr>
          <w:t>68</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00" w:history="1">
        <w:r w:rsidR="00552C02" w:rsidRPr="002F75E3">
          <w:rPr>
            <w:rStyle w:val="Hypertextovprepojenie"/>
            <w:rFonts w:cstheme="minorHAnsi"/>
            <w:noProof/>
          </w:rPr>
          <w:t>2.3.1 Výnosové indikátory efektívnosti</w:t>
        </w:r>
        <w:r w:rsidR="00552C02">
          <w:rPr>
            <w:noProof/>
            <w:webHidden/>
          </w:rPr>
          <w:tab/>
        </w:r>
        <w:r w:rsidR="00552C02">
          <w:rPr>
            <w:noProof/>
            <w:webHidden/>
          </w:rPr>
          <w:fldChar w:fldCharType="begin"/>
        </w:r>
        <w:r w:rsidR="00552C02">
          <w:rPr>
            <w:noProof/>
            <w:webHidden/>
          </w:rPr>
          <w:instrText xml:space="preserve"> PAGEREF _Toc36664400 \h </w:instrText>
        </w:r>
        <w:r w:rsidR="00552C02">
          <w:rPr>
            <w:noProof/>
            <w:webHidden/>
          </w:rPr>
        </w:r>
        <w:r w:rsidR="00552C02">
          <w:rPr>
            <w:noProof/>
            <w:webHidden/>
          </w:rPr>
          <w:fldChar w:fldCharType="separate"/>
        </w:r>
        <w:r w:rsidR="00552C02">
          <w:rPr>
            <w:noProof/>
            <w:webHidden/>
          </w:rPr>
          <w:t>69</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01" w:history="1">
        <w:r w:rsidR="00552C02" w:rsidRPr="002F75E3">
          <w:rPr>
            <w:rStyle w:val="Hypertextovprepojenie"/>
            <w:noProof/>
          </w:rPr>
          <w:t>2.3.1.1 Kilometrické výnosy systémov ETC</w:t>
        </w:r>
        <w:r w:rsidR="00552C02">
          <w:rPr>
            <w:noProof/>
            <w:webHidden/>
          </w:rPr>
          <w:tab/>
        </w:r>
        <w:r w:rsidR="00552C02">
          <w:rPr>
            <w:noProof/>
            <w:webHidden/>
          </w:rPr>
          <w:fldChar w:fldCharType="begin"/>
        </w:r>
        <w:r w:rsidR="00552C02">
          <w:rPr>
            <w:noProof/>
            <w:webHidden/>
          </w:rPr>
          <w:instrText xml:space="preserve"> PAGEREF _Toc36664401 \h </w:instrText>
        </w:r>
        <w:r w:rsidR="00552C02">
          <w:rPr>
            <w:noProof/>
            <w:webHidden/>
          </w:rPr>
        </w:r>
        <w:r w:rsidR="00552C02">
          <w:rPr>
            <w:noProof/>
            <w:webHidden/>
          </w:rPr>
          <w:fldChar w:fldCharType="separate"/>
        </w:r>
        <w:r w:rsidR="00552C02">
          <w:rPr>
            <w:noProof/>
            <w:webHidden/>
          </w:rPr>
          <w:t>69</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02" w:history="1">
        <w:r w:rsidR="00552C02" w:rsidRPr="002F75E3">
          <w:rPr>
            <w:rStyle w:val="Hypertextovprepojenie"/>
            <w:noProof/>
          </w:rPr>
          <w:t>2.3.1.2 Vozokilometrické výnosy systémov ETC</w:t>
        </w:r>
        <w:r w:rsidR="00552C02">
          <w:rPr>
            <w:noProof/>
            <w:webHidden/>
          </w:rPr>
          <w:tab/>
        </w:r>
        <w:r w:rsidR="00552C02">
          <w:rPr>
            <w:noProof/>
            <w:webHidden/>
          </w:rPr>
          <w:fldChar w:fldCharType="begin"/>
        </w:r>
        <w:r w:rsidR="00552C02">
          <w:rPr>
            <w:noProof/>
            <w:webHidden/>
          </w:rPr>
          <w:instrText xml:space="preserve"> PAGEREF _Toc36664402 \h </w:instrText>
        </w:r>
        <w:r w:rsidR="00552C02">
          <w:rPr>
            <w:noProof/>
            <w:webHidden/>
          </w:rPr>
        </w:r>
        <w:r w:rsidR="00552C02">
          <w:rPr>
            <w:noProof/>
            <w:webHidden/>
          </w:rPr>
          <w:fldChar w:fldCharType="separate"/>
        </w:r>
        <w:r w:rsidR="00552C02">
          <w:rPr>
            <w:noProof/>
            <w:webHidden/>
          </w:rPr>
          <w:t>71</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03" w:history="1">
        <w:r w:rsidR="00552C02" w:rsidRPr="002F75E3">
          <w:rPr>
            <w:rStyle w:val="Hypertextovprepojenie"/>
            <w:rFonts w:cstheme="minorHAnsi"/>
            <w:noProof/>
          </w:rPr>
          <w:t>2.3.2 Nákladové indikátory efektívnosti</w:t>
        </w:r>
        <w:r w:rsidR="00552C02">
          <w:rPr>
            <w:noProof/>
            <w:webHidden/>
          </w:rPr>
          <w:tab/>
        </w:r>
        <w:r w:rsidR="00552C02">
          <w:rPr>
            <w:noProof/>
            <w:webHidden/>
          </w:rPr>
          <w:fldChar w:fldCharType="begin"/>
        </w:r>
        <w:r w:rsidR="00552C02">
          <w:rPr>
            <w:noProof/>
            <w:webHidden/>
          </w:rPr>
          <w:instrText xml:space="preserve"> PAGEREF _Toc36664403 \h </w:instrText>
        </w:r>
        <w:r w:rsidR="00552C02">
          <w:rPr>
            <w:noProof/>
            <w:webHidden/>
          </w:rPr>
        </w:r>
        <w:r w:rsidR="00552C02">
          <w:rPr>
            <w:noProof/>
            <w:webHidden/>
          </w:rPr>
          <w:fldChar w:fldCharType="separate"/>
        </w:r>
        <w:r w:rsidR="00552C02">
          <w:rPr>
            <w:noProof/>
            <w:webHidden/>
          </w:rPr>
          <w:t>74</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04" w:history="1">
        <w:r w:rsidR="00552C02" w:rsidRPr="002F75E3">
          <w:rPr>
            <w:rStyle w:val="Hypertextovprepojenie"/>
            <w:noProof/>
          </w:rPr>
          <w:t>2.3.2.1 Kilometrické náklady</w:t>
        </w:r>
        <w:r w:rsidR="00552C02">
          <w:rPr>
            <w:noProof/>
            <w:webHidden/>
          </w:rPr>
          <w:tab/>
        </w:r>
        <w:r w:rsidR="00552C02">
          <w:rPr>
            <w:noProof/>
            <w:webHidden/>
          </w:rPr>
          <w:fldChar w:fldCharType="begin"/>
        </w:r>
        <w:r w:rsidR="00552C02">
          <w:rPr>
            <w:noProof/>
            <w:webHidden/>
          </w:rPr>
          <w:instrText xml:space="preserve"> PAGEREF _Toc36664404 \h </w:instrText>
        </w:r>
        <w:r w:rsidR="00552C02">
          <w:rPr>
            <w:noProof/>
            <w:webHidden/>
          </w:rPr>
        </w:r>
        <w:r w:rsidR="00552C02">
          <w:rPr>
            <w:noProof/>
            <w:webHidden/>
          </w:rPr>
          <w:fldChar w:fldCharType="separate"/>
        </w:r>
        <w:r w:rsidR="00552C02">
          <w:rPr>
            <w:noProof/>
            <w:webHidden/>
          </w:rPr>
          <w:t>74</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05" w:history="1">
        <w:r w:rsidR="00552C02" w:rsidRPr="002F75E3">
          <w:rPr>
            <w:rStyle w:val="Hypertextovprepojenie"/>
            <w:noProof/>
          </w:rPr>
          <w:t>2.3.2.2 Vozokilometrické náklady</w:t>
        </w:r>
        <w:r w:rsidR="00552C02">
          <w:rPr>
            <w:noProof/>
            <w:webHidden/>
          </w:rPr>
          <w:tab/>
        </w:r>
        <w:r w:rsidR="00552C02">
          <w:rPr>
            <w:noProof/>
            <w:webHidden/>
          </w:rPr>
          <w:fldChar w:fldCharType="begin"/>
        </w:r>
        <w:r w:rsidR="00552C02">
          <w:rPr>
            <w:noProof/>
            <w:webHidden/>
          </w:rPr>
          <w:instrText xml:space="preserve"> PAGEREF _Toc36664405 \h </w:instrText>
        </w:r>
        <w:r w:rsidR="00552C02">
          <w:rPr>
            <w:noProof/>
            <w:webHidden/>
          </w:rPr>
        </w:r>
        <w:r w:rsidR="00552C02">
          <w:rPr>
            <w:noProof/>
            <w:webHidden/>
          </w:rPr>
          <w:fldChar w:fldCharType="separate"/>
        </w:r>
        <w:r w:rsidR="00552C02">
          <w:rPr>
            <w:noProof/>
            <w:webHidden/>
          </w:rPr>
          <w:t>76</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06" w:history="1">
        <w:r w:rsidR="00552C02" w:rsidRPr="002F75E3">
          <w:rPr>
            <w:rStyle w:val="Hypertextovprepojenie"/>
            <w:noProof/>
          </w:rPr>
          <w:t>2.4 Zhrnutie výsledkov komparatívnej analýzy efektívnosti systémov ETC</w:t>
        </w:r>
        <w:r w:rsidR="00552C02">
          <w:rPr>
            <w:noProof/>
            <w:webHidden/>
          </w:rPr>
          <w:tab/>
        </w:r>
        <w:r w:rsidR="00552C02">
          <w:rPr>
            <w:noProof/>
            <w:webHidden/>
          </w:rPr>
          <w:fldChar w:fldCharType="begin"/>
        </w:r>
        <w:r w:rsidR="00552C02">
          <w:rPr>
            <w:noProof/>
            <w:webHidden/>
          </w:rPr>
          <w:instrText xml:space="preserve"> PAGEREF _Toc36664406 \h </w:instrText>
        </w:r>
        <w:r w:rsidR="00552C02">
          <w:rPr>
            <w:noProof/>
            <w:webHidden/>
          </w:rPr>
        </w:r>
        <w:r w:rsidR="00552C02">
          <w:rPr>
            <w:noProof/>
            <w:webHidden/>
          </w:rPr>
          <w:fldChar w:fldCharType="separate"/>
        </w:r>
        <w:r w:rsidR="00552C02">
          <w:rPr>
            <w:noProof/>
            <w:webHidden/>
          </w:rPr>
          <w:t>78</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407" w:history="1">
        <w:r w:rsidR="00552C02" w:rsidRPr="002F75E3">
          <w:rPr>
            <w:rStyle w:val="Hypertextovprepojenie"/>
            <w:noProof/>
          </w:rPr>
          <w:t>3. Analýza očakávanej a dosiahnutej výnosnosti EMS na základe vybraných ukazovateľov</w:t>
        </w:r>
        <w:r w:rsidR="00552C02">
          <w:rPr>
            <w:noProof/>
            <w:webHidden/>
          </w:rPr>
          <w:tab/>
        </w:r>
        <w:r w:rsidR="00552C02">
          <w:rPr>
            <w:noProof/>
            <w:webHidden/>
          </w:rPr>
          <w:fldChar w:fldCharType="begin"/>
        </w:r>
        <w:r w:rsidR="00552C02">
          <w:rPr>
            <w:noProof/>
            <w:webHidden/>
          </w:rPr>
          <w:instrText xml:space="preserve"> PAGEREF _Toc36664407 \h </w:instrText>
        </w:r>
        <w:r w:rsidR="00552C02">
          <w:rPr>
            <w:noProof/>
            <w:webHidden/>
          </w:rPr>
        </w:r>
        <w:r w:rsidR="00552C02">
          <w:rPr>
            <w:noProof/>
            <w:webHidden/>
          </w:rPr>
          <w:fldChar w:fldCharType="separate"/>
        </w:r>
        <w:r w:rsidR="00552C02">
          <w:rPr>
            <w:noProof/>
            <w:webHidden/>
          </w:rPr>
          <w:t>83</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08" w:history="1">
        <w:r w:rsidR="00552C02" w:rsidRPr="002F75E3">
          <w:rPr>
            <w:rStyle w:val="Hypertextovprepojenie"/>
            <w:rFonts w:cstheme="minorHAnsi"/>
            <w:noProof/>
          </w:rPr>
          <w:t>3.1 Prognózovaná a skutočná výnosnosť EMS SR</w:t>
        </w:r>
        <w:r w:rsidR="00552C02">
          <w:rPr>
            <w:noProof/>
            <w:webHidden/>
          </w:rPr>
          <w:tab/>
        </w:r>
        <w:r w:rsidR="00552C02">
          <w:rPr>
            <w:noProof/>
            <w:webHidden/>
          </w:rPr>
          <w:fldChar w:fldCharType="begin"/>
        </w:r>
        <w:r w:rsidR="00552C02">
          <w:rPr>
            <w:noProof/>
            <w:webHidden/>
          </w:rPr>
          <w:instrText xml:space="preserve"> PAGEREF _Toc36664408 \h </w:instrText>
        </w:r>
        <w:r w:rsidR="00552C02">
          <w:rPr>
            <w:noProof/>
            <w:webHidden/>
          </w:rPr>
        </w:r>
        <w:r w:rsidR="00552C02">
          <w:rPr>
            <w:noProof/>
            <w:webHidden/>
          </w:rPr>
          <w:fldChar w:fldCharType="separate"/>
        </w:r>
        <w:r w:rsidR="00552C02">
          <w:rPr>
            <w:noProof/>
            <w:webHidden/>
          </w:rPr>
          <w:t>83</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09" w:history="1">
        <w:r w:rsidR="00552C02" w:rsidRPr="002F75E3">
          <w:rPr>
            <w:rStyle w:val="Hypertextovprepojenie"/>
            <w:rFonts w:cstheme="minorHAnsi"/>
            <w:noProof/>
          </w:rPr>
          <w:t>3.2 Analýza príčin nízkej výnosnosti EMS SR</w:t>
        </w:r>
        <w:r w:rsidR="00552C02">
          <w:rPr>
            <w:noProof/>
            <w:webHidden/>
          </w:rPr>
          <w:tab/>
        </w:r>
        <w:r w:rsidR="00552C02">
          <w:rPr>
            <w:noProof/>
            <w:webHidden/>
          </w:rPr>
          <w:fldChar w:fldCharType="begin"/>
        </w:r>
        <w:r w:rsidR="00552C02">
          <w:rPr>
            <w:noProof/>
            <w:webHidden/>
          </w:rPr>
          <w:instrText xml:space="preserve"> PAGEREF _Toc36664409 \h </w:instrText>
        </w:r>
        <w:r w:rsidR="00552C02">
          <w:rPr>
            <w:noProof/>
            <w:webHidden/>
          </w:rPr>
        </w:r>
        <w:r w:rsidR="00552C02">
          <w:rPr>
            <w:noProof/>
            <w:webHidden/>
          </w:rPr>
          <w:fldChar w:fldCharType="separate"/>
        </w:r>
        <w:r w:rsidR="00552C02">
          <w:rPr>
            <w:noProof/>
            <w:webHidden/>
          </w:rPr>
          <w:t>84</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0" w:history="1">
        <w:r w:rsidR="00552C02" w:rsidRPr="002F75E3">
          <w:rPr>
            <w:rStyle w:val="Hypertextovprepojenie"/>
            <w:noProof/>
          </w:rPr>
          <w:t>3.2.1 Dĺžka spoplatnených úsekov</w:t>
        </w:r>
        <w:r w:rsidR="00552C02">
          <w:rPr>
            <w:noProof/>
            <w:webHidden/>
          </w:rPr>
          <w:tab/>
        </w:r>
        <w:r w:rsidR="00552C02">
          <w:rPr>
            <w:noProof/>
            <w:webHidden/>
          </w:rPr>
          <w:fldChar w:fldCharType="begin"/>
        </w:r>
        <w:r w:rsidR="00552C02">
          <w:rPr>
            <w:noProof/>
            <w:webHidden/>
          </w:rPr>
          <w:instrText xml:space="preserve"> PAGEREF _Toc36664410 \h </w:instrText>
        </w:r>
        <w:r w:rsidR="00552C02">
          <w:rPr>
            <w:noProof/>
            <w:webHidden/>
          </w:rPr>
        </w:r>
        <w:r w:rsidR="00552C02">
          <w:rPr>
            <w:noProof/>
            <w:webHidden/>
          </w:rPr>
          <w:fldChar w:fldCharType="separate"/>
        </w:r>
        <w:r w:rsidR="00552C02">
          <w:rPr>
            <w:noProof/>
            <w:webHidden/>
          </w:rPr>
          <w:t>84</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1" w:history="1">
        <w:r w:rsidR="00552C02" w:rsidRPr="002F75E3">
          <w:rPr>
            <w:rStyle w:val="Hypertextovprepojenie"/>
            <w:noProof/>
          </w:rPr>
          <w:t>3.2.2 Mýtne sadzby</w:t>
        </w:r>
        <w:r w:rsidR="00552C02">
          <w:rPr>
            <w:noProof/>
            <w:webHidden/>
          </w:rPr>
          <w:tab/>
        </w:r>
        <w:r w:rsidR="00552C02">
          <w:rPr>
            <w:noProof/>
            <w:webHidden/>
          </w:rPr>
          <w:fldChar w:fldCharType="begin"/>
        </w:r>
        <w:r w:rsidR="00552C02">
          <w:rPr>
            <w:noProof/>
            <w:webHidden/>
          </w:rPr>
          <w:instrText xml:space="preserve"> PAGEREF _Toc36664411 \h </w:instrText>
        </w:r>
        <w:r w:rsidR="00552C02">
          <w:rPr>
            <w:noProof/>
            <w:webHidden/>
          </w:rPr>
        </w:r>
        <w:r w:rsidR="00552C02">
          <w:rPr>
            <w:noProof/>
            <w:webHidden/>
          </w:rPr>
          <w:fldChar w:fldCharType="separate"/>
        </w:r>
        <w:r w:rsidR="00552C02">
          <w:rPr>
            <w:noProof/>
            <w:webHidden/>
          </w:rPr>
          <w:t>87</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12" w:history="1">
        <w:r w:rsidR="00552C02" w:rsidRPr="002F75E3">
          <w:rPr>
            <w:rStyle w:val="Hypertextovprepojenie"/>
            <w:noProof/>
          </w:rPr>
          <w:t>3.2.2.1 Porovnanie skutočných a ekonomických sadzieb mýta v SR</w:t>
        </w:r>
        <w:r w:rsidR="00552C02">
          <w:rPr>
            <w:noProof/>
            <w:webHidden/>
          </w:rPr>
          <w:tab/>
        </w:r>
        <w:r w:rsidR="00552C02">
          <w:rPr>
            <w:noProof/>
            <w:webHidden/>
          </w:rPr>
          <w:fldChar w:fldCharType="begin"/>
        </w:r>
        <w:r w:rsidR="00552C02">
          <w:rPr>
            <w:noProof/>
            <w:webHidden/>
          </w:rPr>
          <w:instrText xml:space="preserve"> PAGEREF _Toc36664412 \h </w:instrText>
        </w:r>
        <w:r w:rsidR="00552C02">
          <w:rPr>
            <w:noProof/>
            <w:webHidden/>
          </w:rPr>
        </w:r>
        <w:r w:rsidR="00552C02">
          <w:rPr>
            <w:noProof/>
            <w:webHidden/>
          </w:rPr>
          <w:fldChar w:fldCharType="separate"/>
        </w:r>
        <w:r w:rsidR="00552C02">
          <w:rPr>
            <w:noProof/>
            <w:webHidden/>
          </w:rPr>
          <w:t>87</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13" w:history="1">
        <w:r w:rsidR="00552C02" w:rsidRPr="002F75E3">
          <w:rPr>
            <w:rStyle w:val="Hypertextovprepojenie"/>
            <w:noProof/>
          </w:rPr>
          <w:t>3.2.2.2 Porovnanie skutočných sadzieb mýta v SR so sadzbami v zahraničí</w:t>
        </w:r>
        <w:r w:rsidR="00552C02">
          <w:rPr>
            <w:noProof/>
            <w:webHidden/>
          </w:rPr>
          <w:tab/>
        </w:r>
        <w:r w:rsidR="00552C02">
          <w:rPr>
            <w:noProof/>
            <w:webHidden/>
          </w:rPr>
          <w:fldChar w:fldCharType="begin"/>
        </w:r>
        <w:r w:rsidR="00552C02">
          <w:rPr>
            <w:noProof/>
            <w:webHidden/>
          </w:rPr>
          <w:instrText xml:space="preserve"> PAGEREF _Toc36664413 \h </w:instrText>
        </w:r>
        <w:r w:rsidR="00552C02">
          <w:rPr>
            <w:noProof/>
            <w:webHidden/>
          </w:rPr>
        </w:r>
        <w:r w:rsidR="00552C02">
          <w:rPr>
            <w:noProof/>
            <w:webHidden/>
          </w:rPr>
          <w:fldChar w:fldCharType="separate"/>
        </w:r>
        <w:r w:rsidR="00552C02">
          <w:rPr>
            <w:noProof/>
            <w:webHidden/>
          </w:rPr>
          <w:t>90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4" w:history="1">
        <w:r w:rsidR="00552C02" w:rsidRPr="002F75E3">
          <w:rPr>
            <w:rStyle w:val="Hypertextovprepojenie"/>
            <w:noProof/>
          </w:rPr>
          <w:t>3.2.3 Dopravné výkony povinných vozidiel na sieti</w:t>
        </w:r>
        <w:r w:rsidR="00552C02">
          <w:rPr>
            <w:noProof/>
            <w:webHidden/>
          </w:rPr>
          <w:tab/>
        </w:r>
        <w:r w:rsidR="00552C02">
          <w:rPr>
            <w:noProof/>
            <w:webHidden/>
          </w:rPr>
          <w:fldChar w:fldCharType="begin"/>
        </w:r>
        <w:r w:rsidR="00552C02">
          <w:rPr>
            <w:noProof/>
            <w:webHidden/>
          </w:rPr>
          <w:instrText xml:space="preserve"> PAGEREF _Toc36664414 \h </w:instrText>
        </w:r>
        <w:r w:rsidR="00552C02">
          <w:rPr>
            <w:noProof/>
            <w:webHidden/>
          </w:rPr>
        </w:r>
        <w:r w:rsidR="00552C02">
          <w:rPr>
            <w:noProof/>
            <w:webHidden/>
          </w:rPr>
          <w:fldChar w:fldCharType="separate"/>
        </w:r>
        <w:r w:rsidR="00552C02">
          <w:rPr>
            <w:noProof/>
            <w:webHidden/>
          </w:rPr>
          <w:t>97</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5" w:history="1">
        <w:r w:rsidR="00552C02" w:rsidRPr="002F75E3">
          <w:rPr>
            <w:rStyle w:val="Hypertextovprepojenie"/>
            <w:noProof/>
          </w:rPr>
          <w:t>3.2.4 Ďalšie príčiny nízkej výnosnosti</w:t>
        </w:r>
        <w:r w:rsidR="00552C02">
          <w:rPr>
            <w:noProof/>
            <w:webHidden/>
          </w:rPr>
          <w:tab/>
        </w:r>
        <w:r w:rsidR="00552C02">
          <w:rPr>
            <w:noProof/>
            <w:webHidden/>
          </w:rPr>
          <w:fldChar w:fldCharType="begin"/>
        </w:r>
        <w:r w:rsidR="00552C02">
          <w:rPr>
            <w:noProof/>
            <w:webHidden/>
          </w:rPr>
          <w:instrText xml:space="preserve"> PAGEREF _Toc36664415 \h </w:instrText>
        </w:r>
        <w:r w:rsidR="00552C02">
          <w:rPr>
            <w:noProof/>
            <w:webHidden/>
          </w:rPr>
        </w:r>
        <w:r w:rsidR="00552C02">
          <w:rPr>
            <w:noProof/>
            <w:webHidden/>
          </w:rPr>
          <w:fldChar w:fldCharType="separate"/>
        </w:r>
        <w:r w:rsidR="00552C02">
          <w:rPr>
            <w:noProof/>
            <w:webHidden/>
          </w:rPr>
          <w:t>99</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16" w:history="1">
        <w:r w:rsidR="00552C02" w:rsidRPr="002F75E3">
          <w:rPr>
            <w:rStyle w:val="Hypertextovprepojenie"/>
            <w:noProof/>
          </w:rPr>
          <w:t>3.3 Legislatívne zmeny vplývajúce na rozdiely medzi očakávanou a dosiahnutou výnosnosťou v rokoch 2008 až 2019</w:t>
        </w:r>
        <w:r w:rsidR="00552C02">
          <w:rPr>
            <w:noProof/>
            <w:webHidden/>
          </w:rPr>
          <w:tab/>
        </w:r>
        <w:r w:rsidR="00552C02">
          <w:rPr>
            <w:noProof/>
            <w:webHidden/>
          </w:rPr>
          <w:fldChar w:fldCharType="begin"/>
        </w:r>
        <w:r w:rsidR="00552C02">
          <w:rPr>
            <w:noProof/>
            <w:webHidden/>
          </w:rPr>
          <w:instrText xml:space="preserve"> PAGEREF _Toc36664416 \h </w:instrText>
        </w:r>
        <w:r w:rsidR="00552C02">
          <w:rPr>
            <w:noProof/>
            <w:webHidden/>
          </w:rPr>
        </w:r>
        <w:r w:rsidR="00552C02">
          <w:rPr>
            <w:noProof/>
            <w:webHidden/>
          </w:rPr>
          <w:fldChar w:fldCharType="separate"/>
        </w:r>
        <w:r w:rsidR="00552C02">
          <w:rPr>
            <w:noProof/>
            <w:webHidden/>
          </w:rPr>
          <w:t>100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7" w:history="1">
        <w:r w:rsidR="00552C02" w:rsidRPr="002F75E3">
          <w:rPr>
            <w:rStyle w:val="Hypertextovprepojenie"/>
            <w:noProof/>
          </w:rPr>
          <w:t>3.3.1 zmeny v oslobodení vozidiel od povinnosti platiť mýto</w:t>
        </w:r>
        <w:r w:rsidR="00552C02">
          <w:rPr>
            <w:noProof/>
            <w:webHidden/>
          </w:rPr>
          <w:tab/>
        </w:r>
        <w:r w:rsidR="00552C02">
          <w:rPr>
            <w:noProof/>
            <w:webHidden/>
          </w:rPr>
          <w:fldChar w:fldCharType="begin"/>
        </w:r>
        <w:r w:rsidR="00552C02">
          <w:rPr>
            <w:noProof/>
            <w:webHidden/>
          </w:rPr>
          <w:instrText xml:space="preserve"> PAGEREF _Toc36664417 \h </w:instrText>
        </w:r>
        <w:r w:rsidR="00552C02">
          <w:rPr>
            <w:noProof/>
            <w:webHidden/>
          </w:rPr>
        </w:r>
        <w:r w:rsidR="00552C02">
          <w:rPr>
            <w:noProof/>
            <w:webHidden/>
          </w:rPr>
          <w:fldChar w:fldCharType="separate"/>
        </w:r>
        <w:r w:rsidR="00552C02">
          <w:rPr>
            <w:noProof/>
            <w:webHidden/>
          </w:rPr>
          <w:t>100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8" w:history="1">
        <w:r w:rsidR="00552C02" w:rsidRPr="002F75E3">
          <w:rPr>
            <w:rStyle w:val="Hypertextovprepojenie"/>
            <w:noProof/>
          </w:rPr>
          <w:t>3.3.2 zmeny vymedzených úsekov ciest</w:t>
        </w:r>
        <w:r w:rsidR="00552C02">
          <w:rPr>
            <w:noProof/>
            <w:webHidden/>
          </w:rPr>
          <w:tab/>
        </w:r>
        <w:r w:rsidR="00552C02">
          <w:rPr>
            <w:noProof/>
            <w:webHidden/>
          </w:rPr>
          <w:fldChar w:fldCharType="begin"/>
        </w:r>
        <w:r w:rsidR="00552C02">
          <w:rPr>
            <w:noProof/>
            <w:webHidden/>
          </w:rPr>
          <w:instrText xml:space="preserve"> PAGEREF _Toc36664418 \h </w:instrText>
        </w:r>
        <w:r w:rsidR="00552C02">
          <w:rPr>
            <w:noProof/>
            <w:webHidden/>
          </w:rPr>
        </w:r>
        <w:r w:rsidR="00552C02">
          <w:rPr>
            <w:noProof/>
            <w:webHidden/>
          </w:rPr>
          <w:fldChar w:fldCharType="separate"/>
        </w:r>
        <w:r w:rsidR="00552C02">
          <w:rPr>
            <w:noProof/>
            <w:webHidden/>
          </w:rPr>
          <w:t>101</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19" w:history="1">
        <w:r w:rsidR="00552C02" w:rsidRPr="002F75E3">
          <w:rPr>
            <w:rStyle w:val="Hypertextovprepojenie"/>
            <w:noProof/>
          </w:rPr>
          <w:t>3.3.3 zmeny Mýtnych sadzieb</w:t>
        </w:r>
        <w:r w:rsidR="00552C02">
          <w:rPr>
            <w:noProof/>
            <w:webHidden/>
          </w:rPr>
          <w:tab/>
        </w:r>
        <w:r w:rsidR="00552C02">
          <w:rPr>
            <w:noProof/>
            <w:webHidden/>
          </w:rPr>
          <w:fldChar w:fldCharType="begin"/>
        </w:r>
        <w:r w:rsidR="00552C02">
          <w:rPr>
            <w:noProof/>
            <w:webHidden/>
          </w:rPr>
          <w:instrText xml:space="preserve"> PAGEREF _Toc36664419 \h </w:instrText>
        </w:r>
        <w:r w:rsidR="00552C02">
          <w:rPr>
            <w:noProof/>
            <w:webHidden/>
          </w:rPr>
        </w:r>
        <w:r w:rsidR="00552C02">
          <w:rPr>
            <w:noProof/>
            <w:webHidden/>
          </w:rPr>
          <w:fldChar w:fldCharType="separate"/>
        </w:r>
        <w:r w:rsidR="00552C02">
          <w:rPr>
            <w:noProof/>
            <w:webHidden/>
          </w:rPr>
          <w:t>106</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20" w:history="1">
        <w:r w:rsidR="00552C02" w:rsidRPr="002F75E3">
          <w:rPr>
            <w:rStyle w:val="Hypertextovprepojenie"/>
            <w:noProof/>
          </w:rPr>
          <w:t>3.3.4 zavedenie systému zliav zo sadzieb mýta</w:t>
        </w:r>
        <w:r w:rsidR="00552C02">
          <w:rPr>
            <w:noProof/>
            <w:webHidden/>
          </w:rPr>
          <w:tab/>
        </w:r>
        <w:r w:rsidR="00552C02">
          <w:rPr>
            <w:noProof/>
            <w:webHidden/>
          </w:rPr>
          <w:fldChar w:fldCharType="begin"/>
        </w:r>
        <w:r w:rsidR="00552C02">
          <w:rPr>
            <w:noProof/>
            <w:webHidden/>
          </w:rPr>
          <w:instrText xml:space="preserve"> PAGEREF _Toc36664420 \h </w:instrText>
        </w:r>
        <w:r w:rsidR="00552C02">
          <w:rPr>
            <w:noProof/>
            <w:webHidden/>
          </w:rPr>
        </w:r>
        <w:r w:rsidR="00552C02">
          <w:rPr>
            <w:noProof/>
            <w:webHidden/>
          </w:rPr>
          <w:fldChar w:fldCharType="separate"/>
        </w:r>
        <w:r w:rsidR="00552C02">
          <w:rPr>
            <w:noProof/>
            <w:webHidden/>
          </w:rPr>
          <w:t>108</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421" w:history="1">
        <w:r w:rsidR="00552C02" w:rsidRPr="002F75E3">
          <w:rPr>
            <w:rStyle w:val="Hypertextovprepojenie"/>
            <w:noProof/>
          </w:rPr>
          <w:t>4. Návrh opatrení na zvýšenie efektívnosti elektronického výberu mýta v SR</w:t>
        </w:r>
        <w:r w:rsidR="00552C02">
          <w:rPr>
            <w:noProof/>
            <w:webHidden/>
          </w:rPr>
          <w:tab/>
        </w:r>
        <w:r w:rsidR="00552C02">
          <w:rPr>
            <w:noProof/>
            <w:webHidden/>
          </w:rPr>
          <w:fldChar w:fldCharType="begin"/>
        </w:r>
        <w:r w:rsidR="00552C02">
          <w:rPr>
            <w:noProof/>
            <w:webHidden/>
          </w:rPr>
          <w:instrText xml:space="preserve"> PAGEREF _Toc36664421 \h </w:instrText>
        </w:r>
        <w:r w:rsidR="00552C02">
          <w:rPr>
            <w:noProof/>
            <w:webHidden/>
          </w:rPr>
        </w:r>
        <w:r w:rsidR="00552C02">
          <w:rPr>
            <w:noProof/>
            <w:webHidden/>
          </w:rPr>
          <w:fldChar w:fldCharType="separate"/>
        </w:r>
        <w:r w:rsidR="00552C02">
          <w:rPr>
            <w:noProof/>
            <w:webHidden/>
          </w:rPr>
          <w:t>109</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22" w:history="1">
        <w:r w:rsidR="00552C02" w:rsidRPr="002F75E3">
          <w:rPr>
            <w:rStyle w:val="Hypertextovprepojenie"/>
            <w:noProof/>
          </w:rPr>
          <w:t>4.1 Teoretická výška výnosov EMS SR podľa zahraničných modelov efektívnosti</w:t>
        </w:r>
        <w:r w:rsidR="00552C02">
          <w:rPr>
            <w:noProof/>
            <w:webHidden/>
          </w:rPr>
          <w:tab/>
        </w:r>
        <w:r w:rsidR="00552C02">
          <w:rPr>
            <w:noProof/>
            <w:webHidden/>
          </w:rPr>
          <w:fldChar w:fldCharType="begin"/>
        </w:r>
        <w:r w:rsidR="00552C02">
          <w:rPr>
            <w:noProof/>
            <w:webHidden/>
          </w:rPr>
          <w:instrText xml:space="preserve"> PAGEREF _Toc36664422 \h </w:instrText>
        </w:r>
        <w:r w:rsidR="00552C02">
          <w:rPr>
            <w:noProof/>
            <w:webHidden/>
          </w:rPr>
        </w:r>
        <w:r w:rsidR="00552C02">
          <w:rPr>
            <w:noProof/>
            <w:webHidden/>
          </w:rPr>
          <w:fldChar w:fldCharType="separate"/>
        </w:r>
        <w:r w:rsidR="00552C02">
          <w:rPr>
            <w:noProof/>
            <w:webHidden/>
          </w:rPr>
          <w:t>109</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23" w:history="1">
        <w:r w:rsidR="00552C02" w:rsidRPr="002F75E3">
          <w:rPr>
            <w:rStyle w:val="Hypertextovprepojenie"/>
            <w:noProof/>
          </w:rPr>
          <w:t>4.2 Možnosti zvýšenia výnosnosti EMS SR</w:t>
        </w:r>
        <w:r w:rsidR="00552C02">
          <w:rPr>
            <w:noProof/>
            <w:webHidden/>
          </w:rPr>
          <w:tab/>
        </w:r>
        <w:r w:rsidR="00552C02">
          <w:rPr>
            <w:noProof/>
            <w:webHidden/>
          </w:rPr>
          <w:fldChar w:fldCharType="begin"/>
        </w:r>
        <w:r w:rsidR="00552C02">
          <w:rPr>
            <w:noProof/>
            <w:webHidden/>
          </w:rPr>
          <w:instrText xml:space="preserve"> PAGEREF _Toc36664423 \h </w:instrText>
        </w:r>
        <w:r w:rsidR="00552C02">
          <w:rPr>
            <w:noProof/>
            <w:webHidden/>
          </w:rPr>
        </w:r>
        <w:r w:rsidR="00552C02">
          <w:rPr>
            <w:noProof/>
            <w:webHidden/>
          </w:rPr>
          <w:fldChar w:fldCharType="separate"/>
        </w:r>
        <w:r w:rsidR="00552C02">
          <w:rPr>
            <w:noProof/>
            <w:webHidden/>
          </w:rPr>
          <w:t>110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24" w:history="1">
        <w:r w:rsidR="00552C02" w:rsidRPr="002F75E3">
          <w:rPr>
            <w:rStyle w:val="Hypertextovprepojenie"/>
            <w:noProof/>
          </w:rPr>
          <w:t>4.2.1 Rozšírenie dĺžky spoplatnených úsekov ciest nenulovou sadzbou</w:t>
        </w:r>
        <w:r w:rsidR="00552C02">
          <w:rPr>
            <w:noProof/>
            <w:webHidden/>
          </w:rPr>
          <w:tab/>
        </w:r>
        <w:r w:rsidR="00552C02">
          <w:rPr>
            <w:noProof/>
            <w:webHidden/>
          </w:rPr>
          <w:fldChar w:fldCharType="begin"/>
        </w:r>
        <w:r w:rsidR="00552C02">
          <w:rPr>
            <w:noProof/>
            <w:webHidden/>
          </w:rPr>
          <w:instrText xml:space="preserve"> PAGEREF _Toc36664424 \h </w:instrText>
        </w:r>
        <w:r w:rsidR="00552C02">
          <w:rPr>
            <w:noProof/>
            <w:webHidden/>
          </w:rPr>
        </w:r>
        <w:r w:rsidR="00552C02">
          <w:rPr>
            <w:noProof/>
            <w:webHidden/>
          </w:rPr>
          <w:fldChar w:fldCharType="separate"/>
        </w:r>
        <w:r w:rsidR="00552C02">
          <w:rPr>
            <w:noProof/>
            <w:webHidden/>
          </w:rPr>
          <w:t>110</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25" w:history="1">
        <w:r w:rsidR="00552C02" w:rsidRPr="002F75E3">
          <w:rPr>
            <w:rStyle w:val="Hypertextovprepojenie"/>
            <w:noProof/>
          </w:rPr>
          <w:t>4.2.1.1 Spoplatnenie diaľnic a rýchlostných ciest</w:t>
        </w:r>
        <w:r w:rsidR="00552C02">
          <w:rPr>
            <w:noProof/>
            <w:webHidden/>
          </w:rPr>
          <w:tab/>
        </w:r>
        <w:r w:rsidR="00552C02">
          <w:rPr>
            <w:noProof/>
            <w:webHidden/>
          </w:rPr>
          <w:fldChar w:fldCharType="begin"/>
        </w:r>
        <w:r w:rsidR="00552C02">
          <w:rPr>
            <w:noProof/>
            <w:webHidden/>
          </w:rPr>
          <w:instrText xml:space="preserve"> PAGEREF _Toc36664425 \h </w:instrText>
        </w:r>
        <w:r w:rsidR="00552C02">
          <w:rPr>
            <w:noProof/>
            <w:webHidden/>
          </w:rPr>
        </w:r>
        <w:r w:rsidR="00552C02">
          <w:rPr>
            <w:noProof/>
            <w:webHidden/>
          </w:rPr>
          <w:fldChar w:fldCharType="separate"/>
        </w:r>
        <w:r w:rsidR="00552C02">
          <w:rPr>
            <w:noProof/>
            <w:webHidden/>
          </w:rPr>
          <w:t>110</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26" w:history="1">
        <w:r w:rsidR="00552C02" w:rsidRPr="002F75E3">
          <w:rPr>
            <w:rStyle w:val="Hypertextovprepojenie"/>
            <w:noProof/>
          </w:rPr>
          <w:t>4.2.1.2 Spoplatnenie ostatných ciest I. triedy a intravilánov obcí</w:t>
        </w:r>
        <w:r w:rsidR="00552C02">
          <w:rPr>
            <w:noProof/>
            <w:webHidden/>
          </w:rPr>
          <w:tab/>
        </w:r>
        <w:r w:rsidR="00552C02">
          <w:rPr>
            <w:noProof/>
            <w:webHidden/>
          </w:rPr>
          <w:fldChar w:fldCharType="begin"/>
        </w:r>
        <w:r w:rsidR="00552C02">
          <w:rPr>
            <w:noProof/>
            <w:webHidden/>
          </w:rPr>
          <w:instrText xml:space="preserve"> PAGEREF _Toc36664426 \h </w:instrText>
        </w:r>
        <w:r w:rsidR="00552C02">
          <w:rPr>
            <w:noProof/>
            <w:webHidden/>
          </w:rPr>
        </w:r>
        <w:r w:rsidR="00552C02">
          <w:rPr>
            <w:noProof/>
            <w:webHidden/>
          </w:rPr>
          <w:fldChar w:fldCharType="separate"/>
        </w:r>
        <w:r w:rsidR="00552C02">
          <w:rPr>
            <w:noProof/>
            <w:webHidden/>
          </w:rPr>
          <w:t>112</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27" w:history="1">
        <w:r w:rsidR="00552C02" w:rsidRPr="002F75E3">
          <w:rPr>
            <w:rStyle w:val="Hypertextovprepojenie"/>
            <w:noProof/>
          </w:rPr>
          <w:t>4.2.2 Zvýšenie mýtnych sadzieb</w:t>
        </w:r>
        <w:r w:rsidR="00552C02">
          <w:rPr>
            <w:noProof/>
            <w:webHidden/>
          </w:rPr>
          <w:tab/>
        </w:r>
        <w:r w:rsidR="00552C02">
          <w:rPr>
            <w:noProof/>
            <w:webHidden/>
          </w:rPr>
          <w:fldChar w:fldCharType="begin"/>
        </w:r>
        <w:r w:rsidR="00552C02">
          <w:rPr>
            <w:noProof/>
            <w:webHidden/>
          </w:rPr>
          <w:instrText xml:space="preserve"> PAGEREF _Toc36664427 \h </w:instrText>
        </w:r>
        <w:r w:rsidR="00552C02">
          <w:rPr>
            <w:noProof/>
            <w:webHidden/>
          </w:rPr>
        </w:r>
        <w:r w:rsidR="00552C02">
          <w:rPr>
            <w:noProof/>
            <w:webHidden/>
          </w:rPr>
          <w:fldChar w:fldCharType="separate"/>
        </w:r>
        <w:r w:rsidR="00552C02">
          <w:rPr>
            <w:noProof/>
            <w:webHidden/>
          </w:rPr>
          <w:t>112</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28" w:history="1">
        <w:r w:rsidR="00552C02" w:rsidRPr="002F75E3">
          <w:rPr>
            <w:rStyle w:val="Hypertextovprepojenie"/>
            <w:noProof/>
          </w:rPr>
          <w:t>4.2.3 Zvýšenie intenzít povinných vozidiel na sieti</w:t>
        </w:r>
        <w:r w:rsidR="00552C02">
          <w:rPr>
            <w:noProof/>
            <w:webHidden/>
          </w:rPr>
          <w:tab/>
        </w:r>
        <w:r w:rsidR="00552C02">
          <w:rPr>
            <w:noProof/>
            <w:webHidden/>
          </w:rPr>
          <w:fldChar w:fldCharType="begin"/>
        </w:r>
        <w:r w:rsidR="00552C02">
          <w:rPr>
            <w:noProof/>
            <w:webHidden/>
          </w:rPr>
          <w:instrText xml:space="preserve"> PAGEREF _Toc36664428 \h </w:instrText>
        </w:r>
        <w:r w:rsidR="00552C02">
          <w:rPr>
            <w:noProof/>
            <w:webHidden/>
          </w:rPr>
        </w:r>
        <w:r w:rsidR="00552C02">
          <w:rPr>
            <w:noProof/>
            <w:webHidden/>
          </w:rPr>
          <w:fldChar w:fldCharType="separate"/>
        </w:r>
        <w:r w:rsidR="00552C02">
          <w:rPr>
            <w:noProof/>
            <w:webHidden/>
          </w:rPr>
          <w:t>114</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29" w:history="1">
        <w:r w:rsidR="00552C02" w:rsidRPr="002F75E3">
          <w:rPr>
            <w:rStyle w:val="Hypertextovprepojenie"/>
            <w:noProof/>
          </w:rPr>
          <w:t>4.2.3.1 Dobudovanie siete diaľnic a rýchlostných ciest</w:t>
        </w:r>
        <w:r w:rsidR="00552C02">
          <w:rPr>
            <w:noProof/>
            <w:webHidden/>
          </w:rPr>
          <w:tab/>
        </w:r>
        <w:r w:rsidR="00552C02">
          <w:rPr>
            <w:noProof/>
            <w:webHidden/>
          </w:rPr>
          <w:fldChar w:fldCharType="begin"/>
        </w:r>
        <w:r w:rsidR="00552C02">
          <w:rPr>
            <w:noProof/>
            <w:webHidden/>
          </w:rPr>
          <w:instrText xml:space="preserve"> PAGEREF _Toc36664429 \h </w:instrText>
        </w:r>
        <w:r w:rsidR="00552C02">
          <w:rPr>
            <w:noProof/>
            <w:webHidden/>
          </w:rPr>
        </w:r>
        <w:r w:rsidR="00552C02">
          <w:rPr>
            <w:noProof/>
            <w:webHidden/>
          </w:rPr>
          <w:fldChar w:fldCharType="separate"/>
        </w:r>
        <w:r w:rsidR="00552C02">
          <w:rPr>
            <w:noProof/>
            <w:webHidden/>
          </w:rPr>
          <w:t>114</w:t>
        </w:r>
        <w:r w:rsidR="00552C02">
          <w:rPr>
            <w:noProof/>
            <w:webHidden/>
          </w:rPr>
          <w:fldChar w:fldCharType="end"/>
        </w:r>
      </w:hyperlink>
    </w:p>
    <w:p w:rsidR="00552C02" w:rsidRDefault="00C40D3F">
      <w:pPr>
        <w:pStyle w:val="Obsah4"/>
        <w:rPr>
          <w:rFonts w:asciiTheme="minorHAnsi" w:eastAsiaTheme="minorEastAsia" w:hAnsiTheme="minorHAnsi" w:cstheme="minorBidi"/>
          <w:noProof/>
          <w:color w:val="auto"/>
          <w:lang w:eastAsia="sk-SK"/>
        </w:rPr>
      </w:pPr>
      <w:hyperlink w:anchor="_Toc36664430" w:history="1">
        <w:r w:rsidR="00552C02" w:rsidRPr="002F75E3">
          <w:rPr>
            <w:rStyle w:val="Hypertextovprepojenie"/>
            <w:noProof/>
          </w:rPr>
          <w:t>4.2.3.2 Prirodzený medziročný nárast intenzít</w:t>
        </w:r>
        <w:r w:rsidR="00552C02">
          <w:rPr>
            <w:noProof/>
            <w:webHidden/>
          </w:rPr>
          <w:tab/>
        </w:r>
        <w:r w:rsidR="00552C02">
          <w:rPr>
            <w:noProof/>
            <w:webHidden/>
          </w:rPr>
          <w:fldChar w:fldCharType="begin"/>
        </w:r>
        <w:r w:rsidR="00552C02">
          <w:rPr>
            <w:noProof/>
            <w:webHidden/>
          </w:rPr>
          <w:instrText xml:space="preserve"> PAGEREF _Toc36664430 \h </w:instrText>
        </w:r>
        <w:r w:rsidR="00552C02">
          <w:rPr>
            <w:noProof/>
            <w:webHidden/>
          </w:rPr>
        </w:r>
        <w:r w:rsidR="00552C02">
          <w:rPr>
            <w:noProof/>
            <w:webHidden/>
          </w:rPr>
          <w:fldChar w:fldCharType="separate"/>
        </w:r>
        <w:r w:rsidR="00552C02">
          <w:rPr>
            <w:noProof/>
            <w:webHidden/>
          </w:rPr>
          <w:t>117</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31" w:history="1">
        <w:r w:rsidR="00552C02" w:rsidRPr="002F75E3">
          <w:rPr>
            <w:rStyle w:val="Hypertextovprepojenie"/>
            <w:noProof/>
          </w:rPr>
          <w:t>4.3 Ďalšie opatrenia na zvýšenie efektívnosti EMS</w:t>
        </w:r>
        <w:r w:rsidR="00552C02">
          <w:rPr>
            <w:noProof/>
            <w:webHidden/>
          </w:rPr>
          <w:tab/>
        </w:r>
        <w:r w:rsidR="00552C02">
          <w:rPr>
            <w:noProof/>
            <w:webHidden/>
          </w:rPr>
          <w:fldChar w:fldCharType="begin"/>
        </w:r>
        <w:r w:rsidR="00552C02">
          <w:rPr>
            <w:noProof/>
            <w:webHidden/>
          </w:rPr>
          <w:instrText xml:space="preserve"> PAGEREF _Toc36664431 \h </w:instrText>
        </w:r>
        <w:r w:rsidR="00552C02">
          <w:rPr>
            <w:noProof/>
            <w:webHidden/>
          </w:rPr>
        </w:r>
        <w:r w:rsidR="00552C02">
          <w:rPr>
            <w:noProof/>
            <w:webHidden/>
          </w:rPr>
          <w:fldChar w:fldCharType="separate"/>
        </w:r>
        <w:r w:rsidR="00552C02">
          <w:rPr>
            <w:noProof/>
            <w:webHidden/>
          </w:rPr>
          <w:t>118</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32" w:history="1">
        <w:r w:rsidR="00552C02" w:rsidRPr="002F75E3">
          <w:rPr>
            <w:rStyle w:val="Hypertextovprepojenie"/>
            <w:noProof/>
          </w:rPr>
          <w:t>4.3.1 Organizačné aspekty výberu mýta</w:t>
        </w:r>
        <w:r w:rsidR="00552C02">
          <w:rPr>
            <w:noProof/>
            <w:webHidden/>
          </w:rPr>
          <w:tab/>
        </w:r>
        <w:r w:rsidR="00552C02">
          <w:rPr>
            <w:noProof/>
            <w:webHidden/>
          </w:rPr>
          <w:fldChar w:fldCharType="begin"/>
        </w:r>
        <w:r w:rsidR="00552C02">
          <w:rPr>
            <w:noProof/>
            <w:webHidden/>
          </w:rPr>
          <w:instrText xml:space="preserve"> PAGEREF _Toc36664432 \h </w:instrText>
        </w:r>
        <w:r w:rsidR="00552C02">
          <w:rPr>
            <w:noProof/>
            <w:webHidden/>
          </w:rPr>
        </w:r>
        <w:r w:rsidR="00552C02">
          <w:rPr>
            <w:noProof/>
            <w:webHidden/>
          </w:rPr>
          <w:fldChar w:fldCharType="separate"/>
        </w:r>
        <w:r w:rsidR="00552C02">
          <w:rPr>
            <w:noProof/>
            <w:webHidden/>
          </w:rPr>
          <w:t>119</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33" w:history="1">
        <w:r w:rsidR="00552C02" w:rsidRPr="002F75E3">
          <w:rPr>
            <w:rStyle w:val="Hypertextovprepojenie"/>
            <w:noProof/>
          </w:rPr>
          <w:t>4.3.2 Technológia výberu mýta</w:t>
        </w:r>
        <w:r w:rsidR="00552C02">
          <w:rPr>
            <w:noProof/>
            <w:webHidden/>
          </w:rPr>
          <w:tab/>
        </w:r>
        <w:r w:rsidR="00552C02">
          <w:rPr>
            <w:noProof/>
            <w:webHidden/>
          </w:rPr>
          <w:fldChar w:fldCharType="begin"/>
        </w:r>
        <w:r w:rsidR="00552C02">
          <w:rPr>
            <w:noProof/>
            <w:webHidden/>
          </w:rPr>
          <w:instrText xml:space="preserve"> PAGEREF _Toc36664433 \h </w:instrText>
        </w:r>
        <w:r w:rsidR="00552C02">
          <w:rPr>
            <w:noProof/>
            <w:webHidden/>
          </w:rPr>
        </w:r>
        <w:r w:rsidR="00552C02">
          <w:rPr>
            <w:noProof/>
            <w:webHidden/>
          </w:rPr>
          <w:fldChar w:fldCharType="separate"/>
        </w:r>
        <w:r w:rsidR="00552C02">
          <w:rPr>
            <w:noProof/>
            <w:webHidden/>
          </w:rPr>
          <w:t>120</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34" w:history="1">
        <w:r w:rsidR="00552C02" w:rsidRPr="002F75E3">
          <w:rPr>
            <w:rStyle w:val="Hypertextovprepojenie"/>
            <w:noProof/>
          </w:rPr>
          <w:t>4.4 Dopady navrhovaných zmien v mýtnom systéme</w:t>
        </w:r>
        <w:r w:rsidR="00552C02">
          <w:rPr>
            <w:noProof/>
            <w:webHidden/>
          </w:rPr>
          <w:tab/>
        </w:r>
        <w:r w:rsidR="00552C02">
          <w:rPr>
            <w:noProof/>
            <w:webHidden/>
          </w:rPr>
          <w:fldChar w:fldCharType="begin"/>
        </w:r>
        <w:r w:rsidR="00552C02">
          <w:rPr>
            <w:noProof/>
            <w:webHidden/>
          </w:rPr>
          <w:instrText xml:space="preserve"> PAGEREF _Toc36664434 \h </w:instrText>
        </w:r>
        <w:r w:rsidR="00552C02">
          <w:rPr>
            <w:noProof/>
            <w:webHidden/>
          </w:rPr>
        </w:r>
        <w:r w:rsidR="00552C02">
          <w:rPr>
            <w:noProof/>
            <w:webHidden/>
          </w:rPr>
          <w:fldChar w:fldCharType="separate"/>
        </w:r>
        <w:r w:rsidR="00552C02">
          <w:rPr>
            <w:noProof/>
            <w:webHidden/>
          </w:rPr>
          <w:t>120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35" w:history="1">
        <w:r w:rsidR="00552C02" w:rsidRPr="002F75E3">
          <w:rPr>
            <w:rStyle w:val="Hypertextovprepojenie"/>
            <w:noProof/>
          </w:rPr>
          <w:t>4.4.1 Dopady zmien na domácich autodopravcov</w:t>
        </w:r>
        <w:r w:rsidR="00552C02">
          <w:rPr>
            <w:noProof/>
            <w:webHidden/>
          </w:rPr>
          <w:tab/>
        </w:r>
        <w:r w:rsidR="00552C02">
          <w:rPr>
            <w:noProof/>
            <w:webHidden/>
          </w:rPr>
          <w:fldChar w:fldCharType="begin"/>
        </w:r>
        <w:r w:rsidR="00552C02">
          <w:rPr>
            <w:noProof/>
            <w:webHidden/>
          </w:rPr>
          <w:instrText xml:space="preserve"> PAGEREF _Toc36664435 \h </w:instrText>
        </w:r>
        <w:r w:rsidR="00552C02">
          <w:rPr>
            <w:noProof/>
            <w:webHidden/>
          </w:rPr>
        </w:r>
        <w:r w:rsidR="00552C02">
          <w:rPr>
            <w:noProof/>
            <w:webHidden/>
          </w:rPr>
          <w:fldChar w:fldCharType="separate"/>
        </w:r>
        <w:r w:rsidR="00552C02">
          <w:rPr>
            <w:noProof/>
            <w:webHidden/>
          </w:rPr>
          <w:t>120</w:t>
        </w:r>
        <w:r w:rsidR="00552C02">
          <w:rPr>
            <w:noProof/>
            <w:webHidden/>
          </w:rPr>
          <w:fldChar w:fldCharType="end"/>
        </w:r>
      </w:hyperlink>
    </w:p>
    <w:p w:rsidR="00552C02" w:rsidRDefault="00C40D3F">
      <w:pPr>
        <w:pStyle w:val="Obsah3"/>
        <w:rPr>
          <w:rFonts w:asciiTheme="minorHAnsi" w:eastAsiaTheme="minorEastAsia" w:hAnsiTheme="minorHAnsi" w:cstheme="minorBidi"/>
          <w:noProof/>
          <w:color w:val="auto"/>
          <w:lang w:eastAsia="sk-SK"/>
        </w:rPr>
      </w:pPr>
      <w:hyperlink w:anchor="_Toc36664436" w:history="1">
        <w:r w:rsidR="00552C02" w:rsidRPr="002F75E3">
          <w:rPr>
            <w:rStyle w:val="Hypertextovprepojenie"/>
            <w:noProof/>
          </w:rPr>
          <w:t>4.4.2 Dopady zmien na domácnosti/spotrebiteľské ceny</w:t>
        </w:r>
        <w:r w:rsidR="00552C02">
          <w:rPr>
            <w:noProof/>
            <w:webHidden/>
          </w:rPr>
          <w:tab/>
        </w:r>
        <w:r w:rsidR="00552C02">
          <w:rPr>
            <w:noProof/>
            <w:webHidden/>
          </w:rPr>
          <w:fldChar w:fldCharType="begin"/>
        </w:r>
        <w:r w:rsidR="00552C02">
          <w:rPr>
            <w:noProof/>
            <w:webHidden/>
          </w:rPr>
          <w:instrText xml:space="preserve"> PAGEREF _Toc36664436 \h </w:instrText>
        </w:r>
        <w:r w:rsidR="00552C02">
          <w:rPr>
            <w:noProof/>
            <w:webHidden/>
          </w:rPr>
        </w:r>
        <w:r w:rsidR="00552C02">
          <w:rPr>
            <w:noProof/>
            <w:webHidden/>
          </w:rPr>
          <w:fldChar w:fldCharType="separate"/>
        </w:r>
        <w:r w:rsidR="00552C02">
          <w:rPr>
            <w:noProof/>
            <w:webHidden/>
          </w:rPr>
          <w:t>123</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437" w:history="1">
        <w:r w:rsidR="00552C02" w:rsidRPr="002F75E3">
          <w:rPr>
            <w:rStyle w:val="Hypertextovprepojenie"/>
            <w:noProof/>
          </w:rPr>
          <w:t>5. Právne aspekty časovej vykonateľnosti opatrení na zvýšenie efektívnosti EMS</w:t>
        </w:r>
        <w:r w:rsidR="00552C02">
          <w:rPr>
            <w:noProof/>
            <w:webHidden/>
          </w:rPr>
          <w:tab/>
        </w:r>
        <w:r w:rsidR="00552C02">
          <w:rPr>
            <w:noProof/>
            <w:webHidden/>
          </w:rPr>
          <w:fldChar w:fldCharType="begin"/>
        </w:r>
        <w:r w:rsidR="00552C02">
          <w:rPr>
            <w:noProof/>
            <w:webHidden/>
          </w:rPr>
          <w:instrText xml:space="preserve"> PAGEREF _Toc36664437 \h </w:instrText>
        </w:r>
        <w:r w:rsidR="00552C02">
          <w:rPr>
            <w:noProof/>
            <w:webHidden/>
          </w:rPr>
        </w:r>
        <w:r w:rsidR="00552C02">
          <w:rPr>
            <w:noProof/>
            <w:webHidden/>
          </w:rPr>
          <w:fldChar w:fldCharType="separate"/>
        </w:r>
        <w:r w:rsidR="00552C02">
          <w:rPr>
            <w:noProof/>
            <w:webHidden/>
          </w:rPr>
          <w:t>124</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38" w:history="1">
        <w:r w:rsidR="00552C02" w:rsidRPr="002F75E3">
          <w:rPr>
            <w:rStyle w:val="Hypertextovprepojenie"/>
            <w:noProof/>
          </w:rPr>
          <w:t>5.1 Zvýšenie dĺžky spoplatnených úsekov ciest nenulovou sadzbou</w:t>
        </w:r>
        <w:r w:rsidR="00552C02">
          <w:rPr>
            <w:noProof/>
            <w:webHidden/>
          </w:rPr>
          <w:tab/>
        </w:r>
        <w:r w:rsidR="00552C02">
          <w:rPr>
            <w:noProof/>
            <w:webHidden/>
          </w:rPr>
          <w:fldChar w:fldCharType="begin"/>
        </w:r>
        <w:r w:rsidR="00552C02">
          <w:rPr>
            <w:noProof/>
            <w:webHidden/>
          </w:rPr>
          <w:instrText xml:space="preserve"> PAGEREF _Toc36664438 \h </w:instrText>
        </w:r>
        <w:r w:rsidR="00552C02">
          <w:rPr>
            <w:noProof/>
            <w:webHidden/>
          </w:rPr>
        </w:r>
        <w:r w:rsidR="00552C02">
          <w:rPr>
            <w:noProof/>
            <w:webHidden/>
          </w:rPr>
          <w:fldChar w:fldCharType="separate"/>
        </w:r>
        <w:r w:rsidR="00552C02">
          <w:rPr>
            <w:noProof/>
            <w:webHidden/>
          </w:rPr>
          <w:t>124</w:t>
        </w:r>
        <w:r w:rsidR="00552C02">
          <w:rPr>
            <w:noProof/>
            <w:webHidden/>
          </w:rPr>
          <w:fldChar w:fldCharType="end"/>
        </w:r>
      </w:hyperlink>
    </w:p>
    <w:p w:rsidR="00552C02" w:rsidRDefault="00C40D3F">
      <w:pPr>
        <w:pStyle w:val="Obsah2"/>
        <w:rPr>
          <w:rFonts w:asciiTheme="minorHAnsi" w:eastAsiaTheme="minorEastAsia" w:hAnsiTheme="minorHAnsi" w:cstheme="minorBidi"/>
          <w:noProof/>
          <w:color w:val="auto"/>
          <w:lang w:eastAsia="sk-SK"/>
        </w:rPr>
      </w:pPr>
      <w:hyperlink w:anchor="_Toc36664439" w:history="1">
        <w:r w:rsidR="00552C02" w:rsidRPr="002F75E3">
          <w:rPr>
            <w:rStyle w:val="Hypertextovprepojenie"/>
            <w:noProof/>
          </w:rPr>
          <w:t>5.2 Zvýšenie a úprava sadzieb mýta</w:t>
        </w:r>
        <w:r w:rsidR="00552C02">
          <w:rPr>
            <w:noProof/>
            <w:webHidden/>
          </w:rPr>
          <w:tab/>
        </w:r>
        <w:r w:rsidR="00552C02">
          <w:rPr>
            <w:noProof/>
            <w:webHidden/>
          </w:rPr>
          <w:fldChar w:fldCharType="begin"/>
        </w:r>
        <w:r w:rsidR="00552C02">
          <w:rPr>
            <w:noProof/>
            <w:webHidden/>
          </w:rPr>
          <w:instrText xml:space="preserve"> PAGEREF _Toc36664439 \h </w:instrText>
        </w:r>
        <w:r w:rsidR="00552C02">
          <w:rPr>
            <w:noProof/>
            <w:webHidden/>
          </w:rPr>
        </w:r>
        <w:r w:rsidR="00552C02">
          <w:rPr>
            <w:noProof/>
            <w:webHidden/>
          </w:rPr>
          <w:fldChar w:fldCharType="separate"/>
        </w:r>
        <w:r w:rsidR="00552C02">
          <w:rPr>
            <w:noProof/>
            <w:webHidden/>
          </w:rPr>
          <w:t>125</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440" w:history="1">
        <w:r w:rsidR="00552C02" w:rsidRPr="002F75E3">
          <w:rPr>
            <w:rStyle w:val="Hypertextovprepojenie"/>
            <w:noProof/>
          </w:rPr>
          <w:t>6. Závery a odporúčania</w:t>
        </w:r>
        <w:r w:rsidR="00552C02">
          <w:rPr>
            <w:noProof/>
            <w:webHidden/>
          </w:rPr>
          <w:tab/>
        </w:r>
        <w:r w:rsidR="00552C02">
          <w:rPr>
            <w:noProof/>
            <w:webHidden/>
          </w:rPr>
          <w:fldChar w:fldCharType="begin"/>
        </w:r>
        <w:r w:rsidR="00552C02">
          <w:rPr>
            <w:noProof/>
            <w:webHidden/>
          </w:rPr>
          <w:instrText xml:space="preserve"> PAGEREF _Toc36664440 \h </w:instrText>
        </w:r>
        <w:r w:rsidR="00552C02">
          <w:rPr>
            <w:noProof/>
            <w:webHidden/>
          </w:rPr>
        </w:r>
        <w:r w:rsidR="00552C02">
          <w:rPr>
            <w:noProof/>
            <w:webHidden/>
          </w:rPr>
          <w:fldChar w:fldCharType="separate"/>
        </w:r>
        <w:r w:rsidR="00552C02">
          <w:rPr>
            <w:noProof/>
            <w:webHidden/>
          </w:rPr>
          <w:t>127</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441" w:history="1">
        <w:r w:rsidR="00552C02" w:rsidRPr="002F75E3">
          <w:rPr>
            <w:rStyle w:val="Hypertextovprepojenie"/>
            <w:noProof/>
          </w:rPr>
          <w:t>Použité zdroje</w:t>
        </w:r>
        <w:r w:rsidR="00552C02">
          <w:rPr>
            <w:noProof/>
            <w:webHidden/>
          </w:rPr>
          <w:tab/>
        </w:r>
        <w:r w:rsidR="00552C02">
          <w:rPr>
            <w:noProof/>
            <w:webHidden/>
          </w:rPr>
          <w:fldChar w:fldCharType="begin"/>
        </w:r>
        <w:r w:rsidR="00552C02">
          <w:rPr>
            <w:noProof/>
            <w:webHidden/>
          </w:rPr>
          <w:instrText xml:space="preserve"> PAGEREF _Toc36664441 \h </w:instrText>
        </w:r>
        <w:r w:rsidR="00552C02">
          <w:rPr>
            <w:noProof/>
            <w:webHidden/>
          </w:rPr>
        </w:r>
        <w:r w:rsidR="00552C02">
          <w:rPr>
            <w:noProof/>
            <w:webHidden/>
          </w:rPr>
          <w:fldChar w:fldCharType="separate"/>
        </w:r>
        <w:r w:rsidR="00552C02">
          <w:rPr>
            <w:noProof/>
            <w:webHidden/>
          </w:rPr>
          <w:t>129</w:t>
        </w:r>
        <w:r w:rsidR="00552C02">
          <w:rPr>
            <w:noProof/>
            <w:webHidden/>
          </w:rPr>
          <w:fldChar w:fldCharType="end"/>
        </w:r>
      </w:hyperlink>
    </w:p>
    <w:p w:rsidR="00552C02" w:rsidRDefault="00C40D3F">
      <w:pPr>
        <w:pStyle w:val="Obsah1"/>
        <w:rPr>
          <w:rFonts w:asciiTheme="minorHAnsi" w:eastAsiaTheme="minorEastAsia" w:hAnsiTheme="minorHAnsi" w:cstheme="minorBidi"/>
          <w:b w:val="0"/>
          <w:caps w:val="0"/>
          <w:noProof/>
          <w:color w:val="auto"/>
          <w:spacing w:val="0"/>
          <w:szCs w:val="22"/>
          <w:lang w:eastAsia="sk-SK"/>
        </w:rPr>
      </w:pPr>
      <w:hyperlink w:anchor="_Toc36664442" w:history="1">
        <w:r w:rsidR="00552C02" w:rsidRPr="002F75E3">
          <w:rPr>
            <w:rStyle w:val="Hypertextovprepojenie"/>
            <w:noProof/>
          </w:rPr>
          <w:t>Prílohy</w:t>
        </w:r>
        <w:r w:rsidR="00552C02">
          <w:rPr>
            <w:noProof/>
            <w:webHidden/>
          </w:rPr>
          <w:tab/>
        </w:r>
        <w:r w:rsidR="00552C02">
          <w:rPr>
            <w:noProof/>
            <w:webHidden/>
          </w:rPr>
          <w:fldChar w:fldCharType="begin"/>
        </w:r>
        <w:r w:rsidR="00552C02">
          <w:rPr>
            <w:noProof/>
            <w:webHidden/>
          </w:rPr>
          <w:instrText xml:space="preserve"> PAGEREF _Toc36664442 \h </w:instrText>
        </w:r>
        <w:r w:rsidR="00552C02">
          <w:rPr>
            <w:noProof/>
            <w:webHidden/>
          </w:rPr>
        </w:r>
        <w:r w:rsidR="00552C02">
          <w:rPr>
            <w:noProof/>
            <w:webHidden/>
          </w:rPr>
          <w:fldChar w:fldCharType="separate"/>
        </w:r>
        <w:r w:rsidR="00552C02">
          <w:rPr>
            <w:noProof/>
            <w:webHidden/>
          </w:rPr>
          <w:t>134</w:t>
        </w:r>
        <w:r w:rsidR="00552C02">
          <w:rPr>
            <w:noProof/>
            <w:webHidden/>
          </w:rPr>
          <w:fldChar w:fldCharType="end"/>
        </w:r>
      </w:hyperlink>
    </w:p>
    <w:p w:rsidR="00292EB7" w:rsidRDefault="00AE5B8A" w:rsidP="0025522E">
      <w:r>
        <w:fldChar w:fldCharType="end"/>
      </w:r>
    </w:p>
    <w:p w:rsidR="00292EB7" w:rsidRDefault="00292EB7" w:rsidP="0025522E"/>
    <w:p w:rsidR="00C4687C" w:rsidRPr="00292EB7" w:rsidRDefault="00C4687C" w:rsidP="0025522E"/>
    <w:p w:rsidR="0025522E" w:rsidRPr="004C1013" w:rsidRDefault="0025522E" w:rsidP="0025522E">
      <w:pPr>
        <w:pStyle w:val="Nadpis8"/>
        <w:rPr>
          <w:rFonts w:asciiTheme="minorHAnsi" w:hAnsiTheme="minorHAnsi" w:cstheme="minorHAnsi"/>
        </w:rPr>
      </w:pPr>
      <w:bookmarkStart w:id="6" w:name="_Toc99168469"/>
      <w:bookmarkStart w:id="7" w:name="_Toc20687913"/>
      <w:bookmarkStart w:id="8" w:name="_Toc36664357"/>
      <w:bookmarkStart w:id="9" w:name="_Toc99168471"/>
      <w:r w:rsidRPr="004C1013">
        <w:rPr>
          <w:rFonts w:asciiTheme="minorHAnsi" w:hAnsiTheme="minorHAnsi" w:cstheme="minorHAnsi"/>
        </w:rPr>
        <w:lastRenderedPageBreak/>
        <w:t>Zoznam tabuliek</w:t>
      </w:r>
      <w:bookmarkEnd w:id="6"/>
      <w:bookmarkEnd w:id="7"/>
      <w:bookmarkEnd w:id="8"/>
    </w:p>
    <w:p w:rsidR="00552C02" w:rsidRDefault="00AE5B8A">
      <w:pPr>
        <w:pStyle w:val="Zoznamobrzkov"/>
        <w:rPr>
          <w:rFonts w:asciiTheme="minorHAnsi" w:eastAsiaTheme="minorEastAsia" w:hAnsiTheme="minorHAnsi" w:cstheme="minorBidi"/>
          <w:noProof/>
          <w:color w:val="auto"/>
          <w:lang w:eastAsia="sk-SK"/>
        </w:rPr>
      </w:pPr>
      <w:r w:rsidRPr="004C1013">
        <w:rPr>
          <w:sz w:val="24"/>
        </w:rPr>
        <w:fldChar w:fldCharType="begin"/>
      </w:r>
      <w:r w:rsidR="0025522E" w:rsidRPr="004C1013">
        <w:instrText xml:space="preserve"> TOC \h \z \c "Tab. " </w:instrText>
      </w:r>
      <w:r w:rsidRPr="004C1013">
        <w:rPr>
          <w:sz w:val="24"/>
        </w:rPr>
        <w:fldChar w:fldCharType="separate"/>
      </w:r>
      <w:hyperlink w:anchor="_Toc36664443" w:history="1">
        <w:r w:rsidR="00552C02" w:rsidRPr="000B4296">
          <w:rPr>
            <w:rStyle w:val="Hypertextovprepojenie"/>
            <w:noProof/>
          </w:rPr>
          <w:t>Tab.  1</w:t>
        </w:r>
        <w:r w:rsidR="00552C02" w:rsidRPr="000B4296">
          <w:rPr>
            <w:rStyle w:val="Hypertextovprepojenie"/>
            <w:noProof/>
          </w:rPr>
          <w:noBreakHyphen/>
          <w:t xml:space="preserve">1 </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 základných charakteristík systému ETC v SR</w:t>
        </w:r>
        <w:r w:rsidR="00552C02">
          <w:rPr>
            <w:noProof/>
            <w:webHidden/>
          </w:rPr>
          <w:tab/>
        </w:r>
        <w:r w:rsidR="00552C02">
          <w:rPr>
            <w:noProof/>
            <w:webHidden/>
          </w:rPr>
          <w:fldChar w:fldCharType="begin"/>
        </w:r>
        <w:r w:rsidR="00552C02">
          <w:rPr>
            <w:noProof/>
            <w:webHidden/>
          </w:rPr>
          <w:instrText xml:space="preserve"> PAGEREF _Toc36664443 \h </w:instrText>
        </w:r>
        <w:r w:rsidR="00552C02">
          <w:rPr>
            <w:noProof/>
            <w:webHidden/>
          </w:rPr>
        </w:r>
        <w:r w:rsidR="00552C02">
          <w:rPr>
            <w:noProof/>
            <w:webHidden/>
          </w:rPr>
          <w:fldChar w:fldCharType="separate"/>
        </w:r>
        <w:r w:rsidR="00552C02">
          <w:rPr>
            <w:noProof/>
            <w:webHidden/>
          </w:rPr>
          <w:t>14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44" w:history="1">
        <w:r w:rsidR="00552C02" w:rsidRPr="000B4296">
          <w:rPr>
            <w:rStyle w:val="Hypertextovprepojenie"/>
            <w:noProof/>
          </w:rPr>
          <w:t>Tab.  1</w:t>
        </w:r>
        <w:r w:rsidR="00552C02" w:rsidRPr="000B4296">
          <w:rPr>
            <w:rStyle w:val="Hypertextovprepojenie"/>
            <w:noProof/>
          </w:rPr>
          <w:noBreakHyphen/>
          <w:t>2</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 rozšírení siete vymedzených úsekov ciest počas prevádzky systému ETC v SR [2]</w:t>
        </w:r>
        <w:r w:rsidR="00552C02">
          <w:rPr>
            <w:noProof/>
            <w:webHidden/>
          </w:rPr>
          <w:tab/>
        </w:r>
        <w:r w:rsidR="00552C02">
          <w:rPr>
            <w:noProof/>
            <w:webHidden/>
          </w:rPr>
          <w:fldChar w:fldCharType="begin"/>
        </w:r>
        <w:r w:rsidR="00552C02">
          <w:rPr>
            <w:noProof/>
            <w:webHidden/>
          </w:rPr>
          <w:instrText xml:space="preserve"> PAGEREF _Toc36664444 \h </w:instrText>
        </w:r>
        <w:r w:rsidR="00552C02">
          <w:rPr>
            <w:noProof/>
            <w:webHidden/>
          </w:rPr>
        </w:r>
        <w:r w:rsidR="00552C02">
          <w:rPr>
            <w:noProof/>
            <w:webHidden/>
          </w:rPr>
          <w:fldChar w:fldCharType="separate"/>
        </w:r>
        <w:r w:rsidR="00552C02">
          <w:rPr>
            <w:noProof/>
            <w:webHidden/>
          </w:rPr>
          <w:t>16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45" w:history="1">
        <w:r w:rsidR="00552C02" w:rsidRPr="000B4296">
          <w:rPr>
            <w:rStyle w:val="Hypertextovprepojenie"/>
            <w:noProof/>
          </w:rPr>
          <w:t>Tab.  1</w:t>
        </w:r>
        <w:r w:rsidR="00552C02" w:rsidRPr="000B4296">
          <w:rPr>
            <w:rStyle w:val="Hypertextovprepojenie"/>
            <w:noProof/>
          </w:rPr>
          <w:noBreakHyphen/>
          <w:t xml:space="preserve">3 </w:t>
        </w:r>
        <w:r w:rsidR="00552C02">
          <w:rPr>
            <w:rFonts w:asciiTheme="minorHAnsi" w:eastAsiaTheme="minorEastAsia" w:hAnsiTheme="minorHAnsi" w:cstheme="minorBidi"/>
            <w:noProof/>
            <w:color w:val="auto"/>
            <w:lang w:eastAsia="sk-SK"/>
          </w:rPr>
          <w:tab/>
        </w:r>
        <w:r w:rsidR="00552C02" w:rsidRPr="000B4296">
          <w:rPr>
            <w:rStyle w:val="Hypertextovprepojenie"/>
            <w:noProof/>
          </w:rPr>
          <w:t>Slovensko: ETC indikátor 1. Dĺžka siete</w:t>
        </w:r>
        <w:r w:rsidR="00552C02">
          <w:rPr>
            <w:noProof/>
            <w:webHidden/>
          </w:rPr>
          <w:tab/>
        </w:r>
        <w:r w:rsidR="00552C02">
          <w:rPr>
            <w:noProof/>
            <w:webHidden/>
          </w:rPr>
          <w:fldChar w:fldCharType="begin"/>
        </w:r>
        <w:r w:rsidR="00552C02">
          <w:rPr>
            <w:noProof/>
            <w:webHidden/>
          </w:rPr>
          <w:instrText xml:space="preserve"> PAGEREF _Toc36664445 \h </w:instrText>
        </w:r>
        <w:r w:rsidR="00552C02">
          <w:rPr>
            <w:noProof/>
            <w:webHidden/>
          </w:rPr>
        </w:r>
        <w:r w:rsidR="00552C02">
          <w:rPr>
            <w:noProof/>
            <w:webHidden/>
          </w:rPr>
          <w:fldChar w:fldCharType="separate"/>
        </w:r>
        <w:r w:rsidR="00552C02">
          <w:rPr>
            <w:noProof/>
            <w:webHidden/>
          </w:rPr>
          <w:t>16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46" w:history="1">
        <w:r w:rsidR="00552C02" w:rsidRPr="000B4296">
          <w:rPr>
            <w:rStyle w:val="Hypertextovprepojenie"/>
            <w:noProof/>
          </w:rPr>
          <w:t>Tab.  1</w:t>
        </w:r>
        <w:r w:rsidR="00552C02" w:rsidRPr="000B4296">
          <w:rPr>
            <w:rStyle w:val="Hypertextovprepojenie"/>
            <w:noProof/>
          </w:rPr>
          <w:noBreakHyphen/>
          <w:t xml:space="preserve">4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dopravné výkony na sieti EMS</w:t>
        </w:r>
        <w:r w:rsidR="00552C02">
          <w:rPr>
            <w:noProof/>
            <w:webHidden/>
          </w:rPr>
          <w:tab/>
        </w:r>
        <w:r w:rsidR="00552C02">
          <w:rPr>
            <w:noProof/>
            <w:webHidden/>
          </w:rPr>
          <w:fldChar w:fldCharType="begin"/>
        </w:r>
        <w:r w:rsidR="00552C02">
          <w:rPr>
            <w:noProof/>
            <w:webHidden/>
          </w:rPr>
          <w:instrText xml:space="preserve"> PAGEREF _Toc36664446 \h </w:instrText>
        </w:r>
        <w:r w:rsidR="00552C02">
          <w:rPr>
            <w:noProof/>
            <w:webHidden/>
          </w:rPr>
        </w:r>
        <w:r w:rsidR="00552C02">
          <w:rPr>
            <w:noProof/>
            <w:webHidden/>
          </w:rPr>
          <w:fldChar w:fldCharType="separate"/>
        </w:r>
        <w:r w:rsidR="00552C02">
          <w:rPr>
            <w:noProof/>
            <w:webHidden/>
          </w:rPr>
          <w:t>17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47" w:history="1">
        <w:r w:rsidR="00552C02" w:rsidRPr="000B4296">
          <w:rPr>
            <w:rStyle w:val="Hypertextovprepojenie"/>
            <w:noProof/>
          </w:rPr>
          <w:t>Tab.  1</w:t>
        </w:r>
        <w:r w:rsidR="00552C02" w:rsidRPr="000B4296">
          <w:rPr>
            <w:rStyle w:val="Hypertextovprepojenie"/>
            <w:noProof/>
          </w:rPr>
          <w:noBreakHyphen/>
          <w:t xml:space="preserve">5 </w:t>
        </w:r>
        <w:r w:rsidR="00552C02">
          <w:rPr>
            <w:rFonts w:asciiTheme="minorHAnsi" w:eastAsiaTheme="minorEastAsia" w:hAnsiTheme="minorHAnsi" w:cstheme="minorBidi"/>
            <w:noProof/>
            <w:color w:val="auto"/>
            <w:lang w:eastAsia="sk-SK"/>
          </w:rPr>
          <w:tab/>
        </w:r>
        <w:r w:rsidR="00552C02" w:rsidRPr="000B4296">
          <w:rPr>
            <w:rStyle w:val="Hypertextovprepojenie"/>
            <w:noProof/>
          </w:rPr>
          <w:t>Slovensko: ETC indikátor 2. Dopravné výkony na sieti</w:t>
        </w:r>
        <w:r w:rsidR="00552C02">
          <w:rPr>
            <w:noProof/>
            <w:webHidden/>
          </w:rPr>
          <w:tab/>
        </w:r>
        <w:r w:rsidR="00552C02">
          <w:rPr>
            <w:noProof/>
            <w:webHidden/>
          </w:rPr>
          <w:fldChar w:fldCharType="begin"/>
        </w:r>
        <w:r w:rsidR="00552C02">
          <w:rPr>
            <w:noProof/>
            <w:webHidden/>
          </w:rPr>
          <w:instrText xml:space="preserve"> PAGEREF _Toc36664447 \h </w:instrText>
        </w:r>
        <w:r w:rsidR="00552C02">
          <w:rPr>
            <w:noProof/>
            <w:webHidden/>
          </w:rPr>
        </w:r>
        <w:r w:rsidR="00552C02">
          <w:rPr>
            <w:noProof/>
            <w:webHidden/>
          </w:rPr>
          <w:fldChar w:fldCharType="separate"/>
        </w:r>
        <w:r w:rsidR="00552C02">
          <w:rPr>
            <w:noProof/>
            <w:webHidden/>
          </w:rPr>
          <w:t>17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48" w:history="1">
        <w:r w:rsidR="00552C02" w:rsidRPr="000B4296">
          <w:rPr>
            <w:rStyle w:val="Hypertextovprepojenie"/>
            <w:noProof/>
          </w:rPr>
          <w:t>Tab.  1</w:t>
        </w:r>
        <w:r w:rsidR="00552C02" w:rsidRPr="000B4296">
          <w:rPr>
            <w:rStyle w:val="Hypertextovprepojenie"/>
            <w:noProof/>
          </w:rPr>
          <w:noBreakHyphen/>
          <w:t xml:space="preserve">6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výnosy a náklady systému ETC v SR</w:t>
        </w:r>
        <w:r w:rsidR="00552C02">
          <w:rPr>
            <w:noProof/>
            <w:webHidden/>
          </w:rPr>
          <w:tab/>
        </w:r>
        <w:r w:rsidR="00552C02">
          <w:rPr>
            <w:noProof/>
            <w:webHidden/>
          </w:rPr>
          <w:fldChar w:fldCharType="begin"/>
        </w:r>
        <w:r w:rsidR="00552C02">
          <w:rPr>
            <w:noProof/>
            <w:webHidden/>
          </w:rPr>
          <w:instrText xml:space="preserve"> PAGEREF _Toc36664448 \h </w:instrText>
        </w:r>
        <w:r w:rsidR="00552C02">
          <w:rPr>
            <w:noProof/>
            <w:webHidden/>
          </w:rPr>
        </w:r>
        <w:r w:rsidR="00552C02">
          <w:rPr>
            <w:noProof/>
            <w:webHidden/>
          </w:rPr>
          <w:fldChar w:fldCharType="separate"/>
        </w:r>
        <w:r w:rsidR="00552C02">
          <w:rPr>
            <w:noProof/>
            <w:webHidden/>
          </w:rPr>
          <w:t>18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49" w:history="1">
        <w:r w:rsidR="00552C02" w:rsidRPr="000B4296">
          <w:rPr>
            <w:rStyle w:val="Hypertextovprepojenie"/>
            <w:noProof/>
          </w:rPr>
          <w:t>Tab.  1</w:t>
        </w:r>
        <w:r w:rsidR="00552C02" w:rsidRPr="000B4296">
          <w:rPr>
            <w:rStyle w:val="Hypertextovprepojenie"/>
            <w:noProof/>
          </w:rPr>
          <w:noBreakHyphen/>
          <w:t xml:space="preserve">7 </w:t>
        </w:r>
        <w:r w:rsidR="00552C02">
          <w:rPr>
            <w:rFonts w:asciiTheme="minorHAnsi" w:eastAsiaTheme="minorEastAsia" w:hAnsiTheme="minorHAnsi" w:cstheme="minorBidi"/>
            <w:noProof/>
            <w:color w:val="auto"/>
            <w:lang w:eastAsia="sk-SK"/>
          </w:rPr>
          <w:tab/>
        </w:r>
        <w:r w:rsidR="00552C02" w:rsidRPr="000B4296">
          <w:rPr>
            <w:rStyle w:val="Hypertextovprepojenie"/>
            <w:noProof/>
          </w:rPr>
          <w:t>Slovensko: ETC indikátor 3. Výnosy</w:t>
        </w:r>
        <w:r w:rsidR="00552C02">
          <w:rPr>
            <w:noProof/>
            <w:webHidden/>
          </w:rPr>
          <w:tab/>
        </w:r>
        <w:r w:rsidR="00552C02">
          <w:rPr>
            <w:noProof/>
            <w:webHidden/>
          </w:rPr>
          <w:fldChar w:fldCharType="begin"/>
        </w:r>
        <w:r w:rsidR="00552C02">
          <w:rPr>
            <w:noProof/>
            <w:webHidden/>
          </w:rPr>
          <w:instrText xml:space="preserve"> PAGEREF _Toc36664449 \h </w:instrText>
        </w:r>
        <w:r w:rsidR="00552C02">
          <w:rPr>
            <w:noProof/>
            <w:webHidden/>
          </w:rPr>
        </w:r>
        <w:r w:rsidR="00552C02">
          <w:rPr>
            <w:noProof/>
            <w:webHidden/>
          </w:rPr>
          <w:fldChar w:fldCharType="separate"/>
        </w:r>
        <w:r w:rsidR="00552C02">
          <w:rPr>
            <w:noProof/>
            <w:webHidden/>
          </w:rPr>
          <w:t>19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0" w:history="1">
        <w:r w:rsidR="00552C02" w:rsidRPr="000B4296">
          <w:rPr>
            <w:rStyle w:val="Hypertextovprepojenie"/>
            <w:noProof/>
          </w:rPr>
          <w:t>Tab.  1</w:t>
        </w:r>
        <w:r w:rsidR="00552C02" w:rsidRPr="000B4296">
          <w:rPr>
            <w:rStyle w:val="Hypertextovprepojenie"/>
            <w:noProof/>
          </w:rPr>
          <w:noBreakHyphen/>
          <w:t xml:space="preserve">8 </w:t>
        </w:r>
        <w:r w:rsidR="00552C02">
          <w:rPr>
            <w:rFonts w:asciiTheme="minorHAnsi" w:eastAsiaTheme="minorEastAsia" w:hAnsiTheme="minorHAnsi" w:cstheme="minorBidi"/>
            <w:noProof/>
            <w:color w:val="auto"/>
            <w:lang w:eastAsia="sk-SK"/>
          </w:rPr>
          <w:tab/>
        </w:r>
        <w:r w:rsidR="00552C02" w:rsidRPr="000B4296">
          <w:rPr>
            <w:rStyle w:val="Hypertextovprepojenie"/>
            <w:noProof/>
          </w:rPr>
          <w:t>Slovensko: ETC indikátor 4. Náklady</w:t>
        </w:r>
        <w:r w:rsidR="00552C02">
          <w:rPr>
            <w:noProof/>
            <w:webHidden/>
          </w:rPr>
          <w:tab/>
        </w:r>
        <w:r w:rsidR="00552C02">
          <w:rPr>
            <w:noProof/>
            <w:webHidden/>
          </w:rPr>
          <w:fldChar w:fldCharType="begin"/>
        </w:r>
        <w:r w:rsidR="00552C02">
          <w:rPr>
            <w:noProof/>
            <w:webHidden/>
          </w:rPr>
          <w:instrText xml:space="preserve"> PAGEREF _Toc36664450 \h </w:instrText>
        </w:r>
        <w:r w:rsidR="00552C02">
          <w:rPr>
            <w:noProof/>
            <w:webHidden/>
          </w:rPr>
        </w:r>
        <w:r w:rsidR="00552C02">
          <w:rPr>
            <w:noProof/>
            <w:webHidden/>
          </w:rPr>
          <w:fldChar w:fldCharType="separate"/>
        </w:r>
        <w:r w:rsidR="00552C02">
          <w:rPr>
            <w:noProof/>
            <w:webHidden/>
          </w:rPr>
          <w:t>20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1" w:history="1">
        <w:r w:rsidR="00552C02" w:rsidRPr="000B4296">
          <w:rPr>
            <w:rStyle w:val="Hypertextovprepojenie"/>
            <w:noProof/>
          </w:rPr>
          <w:t>Tab.  1</w:t>
        </w:r>
        <w:r w:rsidR="00552C02" w:rsidRPr="000B4296">
          <w:rPr>
            <w:rStyle w:val="Hypertextovprepojenie"/>
            <w:noProof/>
          </w:rPr>
          <w:noBreakHyphen/>
          <w:t>9</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 základných charakteristík systému ETC v Nemecku</w:t>
        </w:r>
        <w:r w:rsidR="00552C02">
          <w:rPr>
            <w:noProof/>
            <w:webHidden/>
          </w:rPr>
          <w:tab/>
        </w:r>
        <w:r w:rsidR="00552C02">
          <w:rPr>
            <w:noProof/>
            <w:webHidden/>
          </w:rPr>
          <w:fldChar w:fldCharType="begin"/>
        </w:r>
        <w:r w:rsidR="00552C02">
          <w:rPr>
            <w:noProof/>
            <w:webHidden/>
          </w:rPr>
          <w:instrText xml:space="preserve"> PAGEREF _Toc36664451 \h </w:instrText>
        </w:r>
        <w:r w:rsidR="00552C02">
          <w:rPr>
            <w:noProof/>
            <w:webHidden/>
          </w:rPr>
        </w:r>
        <w:r w:rsidR="00552C02">
          <w:rPr>
            <w:noProof/>
            <w:webHidden/>
          </w:rPr>
          <w:fldChar w:fldCharType="separate"/>
        </w:r>
        <w:r w:rsidR="00552C02">
          <w:rPr>
            <w:noProof/>
            <w:webHidden/>
          </w:rPr>
          <w:t>20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2" w:history="1">
        <w:r w:rsidR="00552C02" w:rsidRPr="000B4296">
          <w:rPr>
            <w:rStyle w:val="Hypertextovprepojenie"/>
            <w:noProof/>
          </w:rPr>
          <w:t>Tab.  1</w:t>
        </w:r>
        <w:r w:rsidR="00552C02" w:rsidRPr="000B4296">
          <w:rPr>
            <w:rStyle w:val="Hypertextovprepojenie"/>
            <w:noProof/>
          </w:rPr>
          <w:noBreakHyphen/>
          <w:t xml:space="preserve">10 </w:t>
        </w:r>
        <w:r w:rsidR="00552C02">
          <w:rPr>
            <w:rFonts w:asciiTheme="minorHAnsi" w:eastAsiaTheme="minorEastAsia" w:hAnsiTheme="minorHAnsi" w:cstheme="minorBidi"/>
            <w:noProof/>
            <w:color w:val="auto"/>
            <w:lang w:eastAsia="sk-SK"/>
          </w:rPr>
          <w:tab/>
        </w:r>
        <w:r w:rsidR="00552C02" w:rsidRPr="000B4296">
          <w:rPr>
            <w:rStyle w:val="Hypertextovprepojenie"/>
            <w:noProof/>
          </w:rPr>
          <w:t>Nemecko: ETC indikátor 1. Dĺžka siete</w:t>
        </w:r>
        <w:r w:rsidR="00552C02">
          <w:rPr>
            <w:noProof/>
            <w:webHidden/>
          </w:rPr>
          <w:tab/>
        </w:r>
        <w:r w:rsidR="00552C02">
          <w:rPr>
            <w:noProof/>
            <w:webHidden/>
          </w:rPr>
          <w:fldChar w:fldCharType="begin"/>
        </w:r>
        <w:r w:rsidR="00552C02">
          <w:rPr>
            <w:noProof/>
            <w:webHidden/>
          </w:rPr>
          <w:instrText xml:space="preserve"> PAGEREF _Toc36664452 \h </w:instrText>
        </w:r>
        <w:r w:rsidR="00552C02">
          <w:rPr>
            <w:noProof/>
            <w:webHidden/>
          </w:rPr>
        </w:r>
        <w:r w:rsidR="00552C02">
          <w:rPr>
            <w:noProof/>
            <w:webHidden/>
          </w:rPr>
          <w:fldChar w:fldCharType="separate"/>
        </w:r>
        <w:r w:rsidR="00552C02">
          <w:rPr>
            <w:noProof/>
            <w:webHidden/>
          </w:rPr>
          <w:t>21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3" w:history="1">
        <w:r w:rsidR="00552C02" w:rsidRPr="000B4296">
          <w:rPr>
            <w:rStyle w:val="Hypertextovprepojenie"/>
            <w:noProof/>
          </w:rPr>
          <w:t>Tab.  1</w:t>
        </w:r>
        <w:r w:rsidR="00552C02" w:rsidRPr="000B4296">
          <w:rPr>
            <w:rStyle w:val="Hypertextovprepojenie"/>
            <w:noProof/>
          </w:rPr>
          <w:noBreakHyphen/>
          <w:t xml:space="preserve">11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dopravné výkony na sieti v Nemecku</w:t>
        </w:r>
        <w:r w:rsidR="00552C02">
          <w:rPr>
            <w:noProof/>
            <w:webHidden/>
          </w:rPr>
          <w:tab/>
        </w:r>
        <w:r w:rsidR="00552C02">
          <w:rPr>
            <w:noProof/>
            <w:webHidden/>
          </w:rPr>
          <w:fldChar w:fldCharType="begin"/>
        </w:r>
        <w:r w:rsidR="00552C02">
          <w:rPr>
            <w:noProof/>
            <w:webHidden/>
          </w:rPr>
          <w:instrText xml:space="preserve"> PAGEREF _Toc36664453 \h </w:instrText>
        </w:r>
        <w:r w:rsidR="00552C02">
          <w:rPr>
            <w:noProof/>
            <w:webHidden/>
          </w:rPr>
        </w:r>
        <w:r w:rsidR="00552C02">
          <w:rPr>
            <w:noProof/>
            <w:webHidden/>
          </w:rPr>
          <w:fldChar w:fldCharType="separate"/>
        </w:r>
        <w:r w:rsidR="00552C02">
          <w:rPr>
            <w:noProof/>
            <w:webHidden/>
          </w:rPr>
          <w:t>23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4" w:history="1">
        <w:r w:rsidR="00552C02" w:rsidRPr="000B4296">
          <w:rPr>
            <w:rStyle w:val="Hypertextovprepojenie"/>
            <w:noProof/>
          </w:rPr>
          <w:t>Tab.  1</w:t>
        </w:r>
        <w:r w:rsidR="00552C02" w:rsidRPr="000B4296">
          <w:rPr>
            <w:rStyle w:val="Hypertextovprepojenie"/>
            <w:noProof/>
          </w:rPr>
          <w:noBreakHyphen/>
          <w:t xml:space="preserve">12 </w:t>
        </w:r>
        <w:r w:rsidR="00552C02">
          <w:rPr>
            <w:rFonts w:asciiTheme="minorHAnsi" w:eastAsiaTheme="minorEastAsia" w:hAnsiTheme="minorHAnsi" w:cstheme="minorBidi"/>
            <w:noProof/>
            <w:color w:val="auto"/>
            <w:lang w:eastAsia="sk-SK"/>
          </w:rPr>
          <w:tab/>
        </w:r>
        <w:r w:rsidR="00552C02" w:rsidRPr="000B4296">
          <w:rPr>
            <w:rStyle w:val="Hypertextovprepojenie"/>
            <w:noProof/>
          </w:rPr>
          <w:t>Nemecko: ETC indikátor 2. Dopravné výkony na sieti</w:t>
        </w:r>
        <w:r w:rsidR="00552C02">
          <w:rPr>
            <w:noProof/>
            <w:webHidden/>
          </w:rPr>
          <w:tab/>
        </w:r>
        <w:r w:rsidR="00552C02">
          <w:rPr>
            <w:noProof/>
            <w:webHidden/>
          </w:rPr>
          <w:fldChar w:fldCharType="begin"/>
        </w:r>
        <w:r w:rsidR="00552C02">
          <w:rPr>
            <w:noProof/>
            <w:webHidden/>
          </w:rPr>
          <w:instrText xml:space="preserve"> PAGEREF _Toc36664454 \h </w:instrText>
        </w:r>
        <w:r w:rsidR="00552C02">
          <w:rPr>
            <w:noProof/>
            <w:webHidden/>
          </w:rPr>
        </w:r>
        <w:r w:rsidR="00552C02">
          <w:rPr>
            <w:noProof/>
            <w:webHidden/>
          </w:rPr>
          <w:fldChar w:fldCharType="separate"/>
        </w:r>
        <w:r w:rsidR="00552C02">
          <w:rPr>
            <w:noProof/>
            <w:webHidden/>
          </w:rPr>
          <w:t>24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5" w:history="1">
        <w:r w:rsidR="00552C02" w:rsidRPr="000B4296">
          <w:rPr>
            <w:rStyle w:val="Hypertextovprepojenie"/>
            <w:noProof/>
          </w:rPr>
          <w:t>Tab.  1</w:t>
        </w:r>
        <w:r w:rsidR="00552C02" w:rsidRPr="000B4296">
          <w:rPr>
            <w:rStyle w:val="Hypertextovprepojenie"/>
            <w:noProof/>
          </w:rPr>
          <w:noBreakHyphen/>
          <w:t xml:space="preserve">13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výnosy a náklady systému ETC v Nemecku</w:t>
        </w:r>
        <w:r w:rsidR="00552C02">
          <w:rPr>
            <w:noProof/>
            <w:webHidden/>
          </w:rPr>
          <w:tab/>
        </w:r>
        <w:r w:rsidR="00552C02">
          <w:rPr>
            <w:noProof/>
            <w:webHidden/>
          </w:rPr>
          <w:fldChar w:fldCharType="begin"/>
        </w:r>
        <w:r w:rsidR="00552C02">
          <w:rPr>
            <w:noProof/>
            <w:webHidden/>
          </w:rPr>
          <w:instrText xml:space="preserve"> PAGEREF _Toc36664455 \h </w:instrText>
        </w:r>
        <w:r w:rsidR="00552C02">
          <w:rPr>
            <w:noProof/>
            <w:webHidden/>
          </w:rPr>
        </w:r>
        <w:r w:rsidR="00552C02">
          <w:rPr>
            <w:noProof/>
            <w:webHidden/>
          </w:rPr>
          <w:fldChar w:fldCharType="separate"/>
        </w:r>
        <w:r w:rsidR="00552C02">
          <w:rPr>
            <w:noProof/>
            <w:webHidden/>
          </w:rPr>
          <w:t>25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6" w:history="1">
        <w:r w:rsidR="00552C02" w:rsidRPr="000B4296">
          <w:rPr>
            <w:rStyle w:val="Hypertextovprepojenie"/>
            <w:noProof/>
          </w:rPr>
          <w:t>Tab.  1</w:t>
        </w:r>
        <w:r w:rsidR="00552C02" w:rsidRPr="000B4296">
          <w:rPr>
            <w:rStyle w:val="Hypertextovprepojenie"/>
            <w:noProof/>
          </w:rPr>
          <w:noBreakHyphen/>
          <w:t xml:space="preserve">14 </w:t>
        </w:r>
        <w:r w:rsidR="00552C02">
          <w:rPr>
            <w:rFonts w:asciiTheme="minorHAnsi" w:eastAsiaTheme="minorEastAsia" w:hAnsiTheme="minorHAnsi" w:cstheme="minorBidi"/>
            <w:noProof/>
            <w:color w:val="auto"/>
            <w:lang w:eastAsia="sk-SK"/>
          </w:rPr>
          <w:tab/>
        </w:r>
        <w:r w:rsidR="00552C02" w:rsidRPr="000B4296">
          <w:rPr>
            <w:rStyle w:val="Hypertextovprepojenie"/>
            <w:noProof/>
          </w:rPr>
          <w:t>Nemecko: ETC indikátor 3. Výnosy</w:t>
        </w:r>
        <w:r w:rsidR="00552C02">
          <w:rPr>
            <w:noProof/>
            <w:webHidden/>
          </w:rPr>
          <w:tab/>
        </w:r>
        <w:r w:rsidR="00552C02">
          <w:rPr>
            <w:noProof/>
            <w:webHidden/>
          </w:rPr>
          <w:fldChar w:fldCharType="begin"/>
        </w:r>
        <w:r w:rsidR="00552C02">
          <w:rPr>
            <w:noProof/>
            <w:webHidden/>
          </w:rPr>
          <w:instrText xml:space="preserve"> PAGEREF _Toc36664456 \h </w:instrText>
        </w:r>
        <w:r w:rsidR="00552C02">
          <w:rPr>
            <w:noProof/>
            <w:webHidden/>
          </w:rPr>
        </w:r>
        <w:r w:rsidR="00552C02">
          <w:rPr>
            <w:noProof/>
            <w:webHidden/>
          </w:rPr>
          <w:fldChar w:fldCharType="separate"/>
        </w:r>
        <w:r w:rsidR="00552C02">
          <w:rPr>
            <w:noProof/>
            <w:webHidden/>
          </w:rPr>
          <w:t>25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7" w:history="1">
        <w:r w:rsidR="00552C02" w:rsidRPr="000B4296">
          <w:rPr>
            <w:rStyle w:val="Hypertextovprepojenie"/>
            <w:noProof/>
          </w:rPr>
          <w:t>Tab.  1</w:t>
        </w:r>
        <w:r w:rsidR="00552C02" w:rsidRPr="000B4296">
          <w:rPr>
            <w:rStyle w:val="Hypertextovprepojenie"/>
            <w:noProof/>
          </w:rPr>
          <w:noBreakHyphen/>
          <w:t xml:space="preserve">15 </w:t>
        </w:r>
        <w:r w:rsidR="00552C02">
          <w:rPr>
            <w:rFonts w:asciiTheme="minorHAnsi" w:eastAsiaTheme="minorEastAsia" w:hAnsiTheme="minorHAnsi" w:cstheme="minorBidi"/>
            <w:noProof/>
            <w:color w:val="auto"/>
            <w:lang w:eastAsia="sk-SK"/>
          </w:rPr>
          <w:tab/>
        </w:r>
        <w:r w:rsidR="00552C02" w:rsidRPr="000B4296">
          <w:rPr>
            <w:rStyle w:val="Hypertextovprepojenie"/>
            <w:noProof/>
          </w:rPr>
          <w:t>Nemecko: ETC indikátor 4. Náklady</w:t>
        </w:r>
        <w:r w:rsidR="00552C02">
          <w:rPr>
            <w:noProof/>
            <w:webHidden/>
          </w:rPr>
          <w:tab/>
        </w:r>
        <w:r w:rsidR="00552C02">
          <w:rPr>
            <w:noProof/>
            <w:webHidden/>
          </w:rPr>
          <w:fldChar w:fldCharType="begin"/>
        </w:r>
        <w:r w:rsidR="00552C02">
          <w:rPr>
            <w:noProof/>
            <w:webHidden/>
          </w:rPr>
          <w:instrText xml:space="preserve"> PAGEREF _Toc36664457 \h </w:instrText>
        </w:r>
        <w:r w:rsidR="00552C02">
          <w:rPr>
            <w:noProof/>
            <w:webHidden/>
          </w:rPr>
        </w:r>
        <w:r w:rsidR="00552C02">
          <w:rPr>
            <w:noProof/>
            <w:webHidden/>
          </w:rPr>
          <w:fldChar w:fldCharType="separate"/>
        </w:r>
        <w:r w:rsidR="00552C02">
          <w:rPr>
            <w:noProof/>
            <w:webHidden/>
          </w:rPr>
          <w:t>26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8" w:history="1">
        <w:r w:rsidR="00552C02" w:rsidRPr="000B4296">
          <w:rPr>
            <w:rStyle w:val="Hypertextovprepojenie"/>
            <w:noProof/>
          </w:rPr>
          <w:t>Tab.  1</w:t>
        </w:r>
        <w:r w:rsidR="00552C02" w:rsidRPr="000B4296">
          <w:rPr>
            <w:rStyle w:val="Hypertextovprepojenie"/>
            <w:noProof/>
          </w:rPr>
          <w:noBreakHyphen/>
          <w:t>16</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Prehľadných základných charakteristík systému ETC v Rakúsku</w:t>
        </w:r>
        <w:r w:rsidR="00552C02">
          <w:rPr>
            <w:noProof/>
            <w:webHidden/>
          </w:rPr>
          <w:tab/>
        </w:r>
        <w:r w:rsidR="00552C02">
          <w:rPr>
            <w:noProof/>
            <w:webHidden/>
          </w:rPr>
          <w:fldChar w:fldCharType="begin"/>
        </w:r>
        <w:r w:rsidR="00552C02">
          <w:rPr>
            <w:noProof/>
            <w:webHidden/>
          </w:rPr>
          <w:instrText xml:space="preserve"> PAGEREF _Toc36664458 \h </w:instrText>
        </w:r>
        <w:r w:rsidR="00552C02">
          <w:rPr>
            <w:noProof/>
            <w:webHidden/>
          </w:rPr>
        </w:r>
        <w:r w:rsidR="00552C02">
          <w:rPr>
            <w:noProof/>
            <w:webHidden/>
          </w:rPr>
          <w:fldChar w:fldCharType="separate"/>
        </w:r>
        <w:r w:rsidR="00552C02">
          <w:rPr>
            <w:noProof/>
            <w:webHidden/>
          </w:rPr>
          <w:t>27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59" w:history="1">
        <w:r w:rsidR="00552C02" w:rsidRPr="000B4296">
          <w:rPr>
            <w:rStyle w:val="Hypertextovprepojenie"/>
            <w:noProof/>
          </w:rPr>
          <w:t>Tab.  1</w:t>
        </w:r>
        <w:r w:rsidR="00552C02" w:rsidRPr="000B4296">
          <w:rPr>
            <w:rStyle w:val="Hypertextovprepojenie"/>
            <w:noProof/>
          </w:rPr>
          <w:noBreakHyphen/>
          <w:t xml:space="preserve">17 </w:t>
        </w:r>
        <w:r w:rsidR="00552C02">
          <w:rPr>
            <w:rFonts w:asciiTheme="minorHAnsi" w:eastAsiaTheme="minorEastAsia" w:hAnsiTheme="minorHAnsi" w:cstheme="minorBidi"/>
            <w:noProof/>
            <w:color w:val="auto"/>
            <w:lang w:eastAsia="sk-SK"/>
          </w:rPr>
          <w:tab/>
        </w:r>
        <w:r w:rsidR="00552C02" w:rsidRPr="000B4296">
          <w:rPr>
            <w:rStyle w:val="Hypertextovprepojenie"/>
            <w:noProof/>
          </w:rPr>
          <w:t>Rakúsko: ETC indikátor 1. Dĺžka siete</w:t>
        </w:r>
        <w:r w:rsidR="00552C02">
          <w:rPr>
            <w:noProof/>
            <w:webHidden/>
          </w:rPr>
          <w:tab/>
        </w:r>
        <w:r w:rsidR="00552C02">
          <w:rPr>
            <w:noProof/>
            <w:webHidden/>
          </w:rPr>
          <w:fldChar w:fldCharType="begin"/>
        </w:r>
        <w:r w:rsidR="00552C02">
          <w:rPr>
            <w:noProof/>
            <w:webHidden/>
          </w:rPr>
          <w:instrText xml:space="preserve"> PAGEREF _Toc36664459 \h </w:instrText>
        </w:r>
        <w:r w:rsidR="00552C02">
          <w:rPr>
            <w:noProof/>
            <w:webHidden/>
          </w:rPr>
        </w:r>
        <w:r w:rsidR="00552C02">
          <w:rPr>
            <w:noProof/>
            <w:webHidden/>
          </w:rPr>
          <w:fldChar w:fldCharType="separate"/>
        </w:r>
        <w:r w:rsidR="00552C02">
          <w:rPr>
            <w:noProof/>
            <w:webHidden/>
          </w:rPr>
          <w:t>28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0" w:history="1">
        <w:r w:rsidR="00552C02" w:rsidRPr="000B4296">
          <w:rPr>
            <w:rStyle w:val="Hypertextovprepojenie"/>
            <w:noProof/>
          </w:rPr>
          <w:t>Tab.  1</w:t>
        </w:r>
        <w:r w:rsidR="00552C02" w:rsidRPr="000B4296">
          <w:rPr>
            <w:rStyle w:val="Hypertextovprepojenie"/>
            <w:noProof/>
          </w:rPr>
          <w:noBreakHyphen/>
          <w:t>18</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dopravné výkony na vymedzených úsekoch ciest v Rakúsku</w:t>
        </w:r>
        <w:r w:rsidR="00552C02">
          <w:rPr>
            <w:noProof/>
            <w:webHidden/>
          </w:rPr>
          <w:tab/>
        </w:r>
        <w:r w:rsidR="00552C02">
          <w:rPr>
            <w:noProof/>
            <w:webHidden/>
          </w:rPr>
          <w:fldChar w:fldCharType="begin"/>
        </w:r>
        <w:r w:rsidR="00552C02">
          <w:rPr>
            <w:noProof/>
            <w:webHidden/>
          </w:rPr>
          <w:instrText xml:space="preserve"> PAGEREF _Toc36664460 \h </w:instrText>
        </w:r>
        <w:r w:rsidR="00552C02">
          <w:rPr>
            <w:noProof/>
            <w:webHidden/>
          </w:rPr>
        </w:r>
        <w:r w:rsidR="00552C02">
          <w:rPr>
            <w:noProof/>
            <w:webHidden/>
          </w:rPr>
          <w:fldChar w:fldCharType="separate"/>
        </w:r>
        <w:r w:rsidR="00552C02">
          <w:rPr>
            <w:noProof/>
            <w:webHidden/>
          </w:rPr>
          <w:t>28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1" w:history="1">
        <w:r w:rsidR="00552C02" w:rsidRPr="000B4296">
          <w:rPr>
            <w:rStyle w:val="Hypertextovprepojenie"/>
            <w:noProof/>
          </w:rPr>
          <w:t>Tab.  1</w:t>
        </w:r>
        <w:r w:rsidR="00552C02" w:rsidRPr="000B4296">
          <w:rPr>
            <w:rStyle w:val="Hypertextovprepojenie"/>
            <w:noProof/>
          </w:rPr>
          <w:noBreakHyphen/>
          <w:t xml:space="preserve">19 </w:t>
        </w:r>
        <w:r w:rsidR="00552C02">
          <w:rPr>
            <w:rFonts w:asciiTheme="minorHAnsi" w:eastAsiaTheme="minorEastAsia" w:hAnsiTheme="minorHAnsi" w:cstheme="minorBidi"/>
            <w:noProof/>
            <w:color w:val="auto"/>
            <w:lang w:eastAsia="sk-SK"/>
          </w:rPr>
          <w:tab/>
        </w:r>
        <w:r w:rsidR="00552C02" w:rsidRPr="000B4296">
          <w:rPr>
            <w:rStyle w:val="Hypertextovprepojenie"/>
            <w:noProof/>
          </w:rPr>
          <w:t>Rakúsko: ETC indikátor 2. Dopravné výkony na sieti</w:t>
        </w:r>
        <w:r w:rsidR="00552C02">
          <w:rPr>
            <w:noProof/>
            <w:webHidden/>
          </w:rPr>
          <w:tab/>
        </w:r>
        <w:r w:rsidR="00552C02">
          <w:rPr>
            <w:noProof/>
            <w:webHidden/>
          </w:rPr>
          <w:fldChar w:fldCharType="begin"/>
        </w:r>
        <w:r w:rsidR="00552C02">
          <w:rPr>
            <w:noProof/>
            <w:webHidden/>
          </w:rPr>
          <w:instrText xml:space="preserve"> PAGEREF _Toc36664461 \h </w:instrText>
        </w:r>
        <w:r w:rsidR="00552C02">
          <w:rPr>
            <w:noProof/>
            <w:webHidden/>
          </w:rPr>
        </w:r>
        <w:r w:rsidR="00552C02">
          <w:rPr>
            <w:noProof/>
            <w:webHidden/>
          </w:rPr>
          <w:fldChar w:fldCharType="separate"/>
        </w:r>
        <w:r w:rsidR="00552C02">
          <w:rPr>
            <w:noProof/>
            <w:webHidden/>
          </w:rPr>
          <w:t>29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2" w:history="1">
        <w:r w:rsidR="00552C02" w:rsidRPr="000B4296">
          <w:rPr>
            <w:rStyle w:val="Hypertextovprepojenie"/>
            <w:noProof/>
          </w:rPr>
          <w:t>Tab.  1</w:t>
        </w:r>
        <w:r w:rsidR="00552C02" w:rsidRPr="000B4296">
          <w:rPr>
            <w:rStyle w:val="Hypertextovprepojenie"/>
            <w:noProof/>
          </w:rPr>
          <w:noBreakHyphen/>
          <w:t>20</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výnosy systému ETC v Rakúsku</w:t>
        </w:r>
        <w:r w:rsidR="00552C02">
          <w:rPr>
            <w:noProof/>
            <w:webHidden/>
          </w:rPr>
          <w:tab/>
        </w:r>
        <w:r w:rsidR="00552C02">
          <w:rPr>
            <w:noProof/>
            <w:webHidden/>
          </w:rPr>
          <w:fldChar w:fldCharType="begin"/>
        </w:r>
        <w:r w:rsidR="00552C02">
          <w:rPr>
            <w:noProof/>
            <w:webHidden/>
          </w:rPr>
          <w:instrText xml:space="preserve"> PAGEREF _Toc36664462 \h </w:instrText>
        </w:r>
        <w:r w:rsidR="00552C02">
          <w:rPr>
            <w:noProof/>
            <w:webHidden/>
          </w:rPr>
        </w:r>
        <w:r w:rsidR="00552C02">
          <w:rPr>
            <w:noProof/>
            <w:webHidden/>
          </w:rPr>
          <w:fldChar w:fldCharType="separate"/>
        </w:r>
        <w:r w:rsidR="00552C02">
          <w:rPr>
            <w:noProof/>
            <w:webHidden/>
          </w:rPr>
          <w:t>30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3" w:history="1">
        <w:r w:rsidR="00552C02" w:rsidRPr="000B4296">
          <w:rPr>
            <w:rStyle w:val="Hypertextovprepojenie"/>
            <w:noProof/>
          </w:rPr>
          <w:t>Tab.  1</w:t>
        </w:r>
        <w:r w:rsidR="00552C02" w:rsidRPr="000B4296">
          <w:rPr>
            <w:rStyle w:val="Hypertextovprepojenie"/>
            <w:noProof/>
          </w:rPr>
          <w:noBreakHyphen/>
          <w:t xml:space="preserve">21 </w:t>
        </w:r>
        <w:r w:rsidR="00552C02">
          <w:rPr>
            <w:rFonts w:asciiTheme="minorHAnsi" w:eastAsiaTheme="minorEastAsia" w:hAnsiTheme="minorHAnsi" w:cstheme="minorBidi"/>
            <w:noProof/>
            <w:color w:val="auto"/>
            <w:lang w:eastAsia="sk-SK"/>
          </w:rPr>
          <w:tab/>
        </w:r>
        <w:r w:rsidR="00552C02" w:rsidRPr="000B4296">
          <w:rPr>
            <w:rStyle w:val="Hypertextovprepojenie"/>
            <w:noProof/>
          </w:rPr>
          <w:t>Rakúsko: ETC indikátor 3. Výnosy</w:t>
        </w:r>
        <w:r w:rsidR="00552C02">
          <w:rPr>
            <w:noProof/>
            <w:webHidden/>
          </w:rPr>
          <w:tab/>
        </w:r>
        <w:r w:rsidR="00552C02">
          <w:rPr>
            <w:noProof/>
            <w:webHidden/>
          </w:rPr>
          <w:fldChar w:fldCharType="begin"/>
        </w:r>
        <w:r w:rsidR="00552C02">
          <w:rPr>
            <w:noProof/>
            <w:webHidden/>
          </w:rPr>
          <w:instrText xml:space="preserve"> PAGEREF _Toc36664463 \h </w:instrText>
        </w:r>
        <w:r w:rsidR="00552C02">
          <w:rPr>
            <w:noProof/>
            <w:webHidden/>
          </w:rPr>
        </w:r>
        <w:r w:rsidR="00552C02">
          <w:rPr>
            <w:noProof/>
            <w:webHidden/>
          </w:rPr>
          <w:fldChar w:fldCharType="separate"/>
        </w:r>
        <w:r w:rsidR="00552C02">
          <w:rPr>
            <w:noProof/>
            <w:webHidden/>
          </w:rPr>
          <w:t>30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4" w:history="1">
        <w:r w:rsidR="00552C02" w:rsidRPr="000B4296">
          <w:rPr>
            <w:rStyle w:val="Hypertextovprepojenie"/>
            <w:noProof/>
          </w:rPr>
          <w:t>Tab.  1</w:t>
        </w:r>
        <w:r w:rsidR="00552C02" w:rsidRPr="000B4296">
          <w:rPr>
            <w:rStyle w:val="Hypertextovprepojenie"/>
            <w:noProof/>
          </w:rPr>
          <w:noBreakHyphen/>
          <w:t xml:space="preserve">22 </w:t>
        </w:r>
        <w:r w:rsidR="00552C02">
          <w:rPr>
            <w:rFonts w:asciiTheme="minorHAnsi" w:eastAsiaTheme="minorEastAsia" w:hAnsiTheme="minorHAnsi" w:cstheme="minorBidi"/>
            <w:noProof/>
            <w:color w:val="auto"/>
            <w:lang w:eastAsia="sk-SK"/>
          </w:rPr>
          <w:tab/>
        </w:r>
        <w:r w:rsidR="00552C02" w:rsidRPr="000B4296">
          <w:rPr>
            <w:rStyle w:val="Hypertextovprepojenie"/>
            <w:noProof/>
          </w:rPr>
          <w:t>Rakúsko: ETC indikátor 3. Náklady</w:t>
        </w:r>
        <w:r w:rsidR="00552C02">
          <w:rPr>
            <w:noProof/>
            <w:webHidden/>
          </w:rPr>
          <w:tab/>
        </w:r>
        <w:r w:rsidR="00552C02">
          <w:rPr>
            <w:noProof/>
            <w:webHidden/>
          </w:rPr>
          <w:fldChar w:fldCharType="begin"/>
        </w:r>
        <w:r w:rsidR="00552C02">
          <w:rPr>
            <w:noProof/>
            <w:webHidden/>
          </w:rPr>
          <w:instrText xml:space="preserve"> PAGEREF _Toc36664464 \h </w:instrText>
        </w:r>
        <w:r w:rsidR="00552C02">
          <w:rPr>
            <w:noProof/>
            <w:webHidden/>
          </w:rPr>
        </w:r>
        <w:r w:rsidR="00552C02">
          <w:rPr>
            <w:noProof/>
            <w:webHidden/>
          </w:rPr>
          <w:fldChar w:fldCharType="separate"/>
        </w:r>
        <w:r w:rsidR="00552C02">
          <w:rPr>
            <w:noProof/>
            <w:webHidden/>
          </w:rPr>
          <w:t>32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5" w:history="1">
        <w:r w:rsidR="00552C02" w:rsidRPr="000B4296">
          <w:rPr>
            <w:rStyle w:val="Hypertextovprepojenie"/>
            <w:noProof/>
          </w:rPr>
          <w:t>Tab.  1</w:t>
        </w:r>
        <w:r w:rsidR="00552C02" w:rsidRPr="000B4296">
          <w:rPr>
            <w:rStyle w:val="Hypertextovprepojenie"/>
            <w:noProof/>
          </w:rPr>
          <w:noBreakHyphen/>
          <w:t>23</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 základných charakteristík systému ETC v Českej republike</w:t>
        </w:r>
        <w:r w:rsidR="00552C02">
          <w:rPr>
            <w:noProof/>
            <w:webHidden/>
          </w:rPr>
          <w:tab/>
        </w:r>
        <w:r w:rsidR="00552C02">
          <w:rPr>
            <w:noProof/>
            <w:webHidden/>
          </w:rPr>
          <w:fldChar w:fldCharType="begin"/>
        </w:r>
        <w:r w:rsidR="00552C02">
          <w:rPr>
            <w:noProof/>
            <w:webHidden/>
          </w:rPr>
          <w:instrText xml:space="preserve"> PAGEREF _Toc36664465 \h </w:instrText>
        </w:r>
        <w:r w:rsidR="00552C02">
          <w:rPr>
            <w:noProof/>
            <w:webHidden/>
          </w:rPr>
        </w:r>
        <w:r w:rsidR="00552C02">
          <w:rPr>
            <w:noProof/>
            <w:webHidden/>
          </w:rPr>
          <w:fldChar w:fldCharType="separate"/>
        </w:r>
        <w:r w:rsidR="00552C02">
          <w:rPr>
            <w:noProof/>
            <w:webHidden/>
          </w:rPr>
          <w:t>33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6" w:history="1">
        <w:r w:rsidR="00552C02" w:rsidRPr="000B4296">
          <w:rPr>
            <w:rStyle w:val="Hypertextovprepojenie"/>
            <w:noProof/>
          </w:rPr>
          <w:t>Tab.  1</w:t>
        </w:r>
        <w:r w:rsidR="00552C02" w:rsidRPr="000B4296">
          <w:rPr>
            <w:rStyle w:val="Hypertextovprepojenie"/>
            <w:noProof/>
          </w:rPr>
          <w:noBreakHyphen/>
          <w:t>24</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 rozšírení siete vymedzených úsekov ciest počas prevádzky systému ETC v ČR [30]</w:t>
        </w:r>
        <w:r w:rsidR="00552C02">
          <w:rPr>
            <w:noProof/>
            <w:webHidden/>
          </w:rPr>
          <w:tab/>
        </w:r>
        <w:r w:rsidR="00552C02">
          <w:rPr>
            <w:noProof/>
            <w:webHidden/>
          </w:rPr>
          <w:fldChar w:fldCharType="begin"/>
        </w:r>
        <w:r w:rsidR="00552C02">
          <w:rPr>
            <w:noProof/>
            <w:webHidden/>
          </w:rPr>
          <w:instrText xml:space="preserve"> PAGEREF _Toc36664466 \h </w:instrText>
        </w:r>
        <w:r w:rsidR="00552C02">
          <w:rPr>
            <w:noProof/>
            <w:webHidden/>
          </w:rPr>
        </w:r>
        <w:r w:rsidR="00552C02">
          <w:rPr>
            <w:noProof/>
            <w:webHidden/>
          </w:rPr>
          <w:fldChar w:fldCharType="separate"/>
        </w:r>
        <w:r w:rsidR="00552C02">
          <w:rPr>
            <w:noProof/>
            <w:webHidden/>
          </w:rPr>
          <w:t>34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7" w:history="1">
        <w:r w:rsidR="00552C02" w:rsidRPr="000B4296">
          <w:rPr>
            <w:rStyle w:val="Hypertextovprepojenie"/>
            <w:noProof/>
          </w:rPr>
          <w:t>Tab.  1</w:t>
        </w:r>
        <w:r w:rsidR="00552C02" w:rsidRPr="000B4296">
          <w:rPr>
            <w:rStyle w:val="Hypertextovprepojenie"/>
            <w:noProof/>
          </w:rPr>
          <w:noBreakHyphen/>
          <w:t>25</w:t>
        </w:r>
        <w:r w:rsidR="00552C02">
          <w:rPr>
            <w:rFonts w:asciiTheme="minorHAnsi" w:eastAsiaTheme="minorEastAsia" w:hAnsiTheme="minorHAnsi" w:cstheme="minorBidi"/>
            <w:noProof/>
            <w:color w:val="auto"/>
            <w:lang w:eastAsia="sk-SK"/>
          </w:rPr>
          <w:tab/>
        </w:r>
        <w:r w:rsidR="00552C02" w:rsidRPr="000B4296">
          <w:rPr>
            <w:rStyle w:val="Hypertextovprepojenie"/>
            <w:noProof/>
          </w:rPr>
          <w:t>Česká republika: ETC indikátor 1. Dĺžka siete</w:t>
        </w:r>
        <w:r w:rsidR="00552C02">
          <w:rPr>
            <w:noProof/>
            <w:webHidden/>
          </w:rPr>
          <w:tab/>
        </w:r>
        <w:r w:rsidR="00552C02">
          <w:rPr>
            <w:noProof/>
            <w:webHidden/>
          </w:rPr>
          <w:fldChar w:fldCharType="begin"/>
        </w:r>
        <w:r w:rsidR="00552C02">
          <w:rPr>
            <w:noProof/>
            <w:webHidden/>
          </w:rPr>
          <w:instrText xml:space="preserve"> PAGEREF _Toc36664467 \h </w:instrText>
        </w:r>
        <w:r w:rsidR="00552C02">
          <w:rPr>
            <w:noProof/>
            <w:webHidden/>
          </w:rPr>
        </w:r>
        <w:r w:rsidR="00552C02">
          <w:rPr>
            <w:noProof/>
            <w:webHidden/>
          </w:rPr>
          <w:fldChar w:fldCharType="separate"/>
        </w:r>
        <w:r w:rsidR="00552C02">
          <w:rPr>
            <w:noProof/>
            <w:webHidden/>
          </w:rPr>
          <w:t>35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8" w:history="1">
        <w:r w:rsidR="00552C02" w:rsidRPr="000B4296">
          <w:rPr>
            <w:rStyle w:val="Hypertextovprepojenie"/>
            <w:noProof/>
          </w:rPr>
          <w:t>Tab.  1</w:t>
        </w:r>
        <w:r w:rsidR="00552C02" w:rsidRPr="000B4296">
          <w:rPr>
            <w:rStyle w:val="Hypertextovprepojenie"/>
            <w:noProof/>
          </w:rPr>
          <w:noBreakHyphen/>
          <w:t xml:space="preserve">26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dopravné výkony na vymedzených úsekoch ciest v Českej republike</w:t>
        </w:r>
        <w:r w:rsidR="00552C02">
          <w:rPr>
            <w:noProof/>
            <w:webHidden/>
          </w:rPr>
          <w:tab/>
        </w:r>
        <w:r w:rsidR="00552C02">
          <w:rPr>
            <w:noProof/>
            <w:webHidden/>
          </w:rPr>
          <w:fldChar w:fldCharType="begin"/>
        </w:r>
        <w:r w:rsidR="00552C02">
          <w:rPr>
            <w:noProof/>
            <w:webHidden/>
          </w:rPr>
          <w:instrText xml:space="preserve"> PAGEREF _Toc36664468 \h </w:instrText>
        </w:r>
        <w:r w:rsidR="00552C02">
          <w:rPr>
            <w:noProof/>
            <w:webHidden/>
          </w:rPr>
        </w:r>
        <w:r w:rsidR="00552C02">
          <w:rPr>
            <w:noProof/>
            <w:webHidden/>
          </w:rPr>
          <w:fldChar w:fldCharType="separate"/>
        </w:r>
        <w:r w:rsidR="00552C02">
          <w:rPr>
            <w:noProof/>
            <w:webHidden/>
          </w:rPr>
          <w:t>35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69" w:history="1">
        <w:r w:rsidR="00552C02" w:rsidRPr="000B4296">
          <w:rPr>
            <w:rStyle w:val="Hypertextovprepojenie"/>
            <w:noProof/>
          </w:rPr>
          <w:t>Tab.  1</w:t>
        </w:r>
        <w:r w:rsidR="00552C02" w:rsidRPr="000B4296">
          <w:rPr>
            <w:rStyle w:val="Hypertextovprepojenie"/>
            <w:noProof/>
          </w:rPr>
          <w:noBreakHyphen/>
          <w:t xml:space="preserve">27 </w:t>
        </w:r>
        <w:r w:rsidR="00552C02">
          <w:rPr>
            <w:rFonts w:asciiTheme="minorHAnsi" w:eastAsiaTheme="minorEastAsia" w:hAnsiTheme="minorHAnsi" w:cstheme="minorBidi"/>
            <w:noProof/>
            <w:color w:val="auto"/>
            <w:lang w:eastAsia="sk-SK"/>
          </w:rPr>
          <w:tab/>
        </w:r>
        <w:r w:rsidR="00552C02" w:rsidRPr="000B4296">
          <w:rPr>
            <w:rStyle w:val="Hypertextovprepojenie"/>
            <w:noProof/>
          </w:rPr>
          <w:t>Česká republika: ETC indikátor 2. Dopravné výkony na sieti</w:t>
        </w:r>
        <w:r w:rsidR="00552C02">
          <w:rPr>
            <w:noProof/>
            <w:webHidden/>
          </w:rPr>
          <w:tab/>
        </w:r>
        <w:r w:rsidR="00552C02">
          <w:rPr>
            <w:noProof/>
            <w:webHidden/>
          </w:rPr>
          <w:fldChar w:fldCharType="begin"/>
        </w:r>
        <w:r w:rsidR="00552C02">
          <w:rPr>
            <w:noProof/>
            <w:webHidden/>
          </w:rPr>
          <w:instrText xml:space="preserve"> PAGEREF _Toc36664469 \h </w:instrText>
        </w:r>
        <w:r w:rsidR="00552C02">
          <w:rPr>
            <w:noProof/>
            <w:webHidden/>
          </w:rPr>
        </w:r>
        <w:r w:rsidR="00552C02">
          <w:rPr>
            <w:noProof/>
            <w:webHidden/>
          </w:rPr>
          <w:fldChar w:fldCharType="separate"/>
        </w:r>
        <w:r w:rsidR="00552C02">
          <w:rPr>
            <w:noProof/>
            <w:webHidden/>
          </w:rPr>
          <w:t>36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0" w:history="1">
        <w:r w:rsidR="00552C02" w:rsidRPr="000B4296">
          <w:rPr>
            <w:rStyle w:val="Hypertextovprepojenie"/>
            <w:rFonts w:cstheme="minorHAnsi"/>
            <w:noProof/>
          </w:rPr>
          <w:t>Tab.  1</w:t>
        </w:r>
        <w:r w:rsidR="00552C02" w:rsidRPr="000B4296">
          <w:rPr>
            <w:rStyle w:val="Hypertextovprepojenie"/>
            <w:rFonts w:cstheme="minorHAnsi"/>
            <w:noProof/>
          </w:rPr>
          <w:noBreakHyphen/>
          <w:t xml:space="preserve">28 </w:t>
        </w:r>
        <w:r w:rsidR="00552C02">
          <w:rPr>
            <w:rFonts w:asciiTheme="minorHAnsi" w:eastAsiaTheme="minorEastAsia" w:hAnsiTheme="minorHAnsi" w:cstheme="minorBidi"/>
            <w:noProof/>
            <w:color w:val="auto"/>
            <w:lang w:eastAsia="sk-SK"/>
          </w:rPr>
          <w:tab/>
        </w:r>
        <w:r w:rsidR="00552C02" w:rsidRPr="000B4296">
          <w:rPr>
            <w:rStyle w:val="Hypertextovprepojenie"/>
            <w:rFonts w:cstheme="minorHAnsi"/>
            <w:noProof/>
          </w:rPr>
          <w:t>Priemerný ročný kurz EUR/CZK</w:t>
        </w:r>
        <w:r w:rsidR="00552C02">
          <w:rPr>
            <w:noProof/>
            <w:webHidden/>
          </w:rPr>
          <w:tab/>
        </w:r>
        <w:r w:rsidR="00552C02">
          <w:rPr>
            <w:noProof/>
            <w:webHidden/>
          </w:rPr>
          <w:fldChar w:fldCharType="begin"/>
        </w:r>
        <w:r w:rsidR="00552C02">
          <w:rPr>
            <w:noProof/>
            <w:webHidden/>
          </w:rPr>
          <w:instrText xml:space="preserve"> PAGEREF _Toc36664470 \h </w:instrText>
        </w:r>
        <w:r w:rsidR="00552C02">
          <w:rPr>
            <w:noProof/>
            <w:webHidden/>
          </w:rPr>
        </w:r>
        <w:r w:rsidR="00552C02">
          <w:rPr>
            <w:noProof/>
            <w:webHidden/>
          </w:rPr>
          <w:fldChar w:fldCharType="separate"/>
        </w:r>
        <w:r w:rsidR="00552C02">
          <w:rPr>
            <w:noProof/>
            <w:webHidden/>
          </w:rPr>
          <w:t>37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1" w:history="1">
        <w:r w:rsidR="00552C02" w:rsidRPr="000B4296">
          <w:rPr>
            <w:rStyle w:val="Hypertextovprepojenie"/>
            <w:noProof/>
          </w:rPr>
          <w:t>Tab.  1</w:t>
        </w:r>
        <w:r w:rsidR="00552C02" w:rsidRPr="000B4296">
          <w:rPr>
            <w:rStyle w:val="Hypertextovprepojenie"/>
            <w:noProof/>
          </w:rPr>
          <w:noBreakHyphen/>
          <w:t xml:space="preserve">29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výnosy a náklady systému ETC v Českej republike</w:t>
        </w:r>
        <w:r w:rsidR="00552C02">
          <w:rPr>
            <w:noProof/>
            <w:webHidden/>
          </w:rPr>
          <w:tab/>
        </w:r>
        <w:r w:rsidR="00552C02">
          <w:rPr>
            <w:noProof/>
            <w:webHidden/>
          </w:rPr>
          <w:fldChar w:fldCharType="begin"/>
        </w:r>
        <w:r w:rsidR="00552C02">
          <w:rPr>
            <w:noProof/>
            <w:webHidden/>
          </w:rPr>
          <w:instrText xml:space="preserve"> PAGEREF _Toc36664471 \h </w:instrText>
        </w:r>
        <w:r w:rsidR="00552C02">
          <w:rPr>
            <w:noProof/>
            <w:webHidden/>
          </w:rPr>
        </w:r>
        <w:r w:rsidR="00552C02">
          <w:rPr>
            <w:noProof/>
            <w:webHidden/>
          </w:rPr>
          <w:fldChar w:fldCharType="separate"/>
        </w:r>
        <w:r w:rsidR="00552C02">
          <w:rPr>
            <w:noProof/>
            <w:webHidden/>
          </w:rPr>
          <w:t>38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2" w:history="1">
        <w:r w:rsidR="00552C02" w:rsidRPr="000B4296">
          <w:rPr>
            <w:rStyle w:val="Hypertextovprepojenie"/>
            <w:noProof/>
          </w:rPr>
          <w:t>Tab.  1</w:t>
        </w:r>
        <w:r w:rsidR="00552C02" w:rsidRPr="000B4296">
          <w:rPr>
            <w:rStyle w:val="Hypertextovprepojenie"/>
            <w:noProof/>
          </w:rPr>
          <w:noBreakHyphen/>
          <w:t xml:space="preserve">30 </w:t>
        </w:r>
        <w:r w:rsidR="00552C02">
          <w:rPr>
            <w:rFonts w:asciiTheme="minorHAnsi" w:eastAsiaTheme="minorEastAsia" w:hAnsiTheme="minorHAnsi" w:cstheme="minorBidi"/>
            <w:noProof/>
            <w:color w:val="auto"/>
            <w:lang w:eastAsia="sk-SK"/>
          </w:rPr>
          <w:tab/>
        </w:r>
        <w:r w:rsidR="00552C02" w:rsidRPr="000B4296">
          <w:rPr>
            <w:rStyle w:val="Hypertextovprepojenie"/>
            <w:noProof/>
          </w:rPr>
          <w:t>Česká republika: ETC indikátor 3. Výnosy</w:t>
        </w:r>
        <w:r w:rsidR="00552C02">
          <w:rPr>
            <w:noProof/>
            <w:webHidden/>
          </w:rPr>
          <w:tab/>
        </w:r>
        <w:r w:rsidR="00552C02">
          <w:rPr>
            <w:noProof/>
            <w:webHidden/>
          </w:rPr>
          <w:fldChar w:fldCharType="begin"/>
        </w:r>
        <w:r w:rsidR="00552C02">
          <w:rPr>
            <w:noProof/>
            <w:webHidden/>
          </w:rPr>
          <w:instrText xml:space="preserve"> PAGEREF _Toc36664472 \h </w:instrText>
        </w:r>
        <w:r w:rsidR="00552C02">
          <w:rPr>
            <w:noProof/>
            <w:webHidden/>
          </w:rPr>
        </w:r>
        <w:r w:rsidR="00552C02">
          <w:rPr>
            <w:noProof/>
            <w:webHidden/>
          </w:rPr>
          <w:fldChar w:fldCharType="separate"/>
        </w:r>
        <w:r w:rsidR="00552C02">
          <w:rPr>
            <w:noProof/>
            <w:webHidden/>
          </w:rPr>
          <w:t>38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3" w:history="1">
        <w:r w:rsidR="00552C02" w:rsidRPr="000B4296">
          <w:rPr>
            <w:rStyle w:val="Hypertextovprepojenie"/>
            <w:noProof/>
          </w:rPr>
          <w:t>Tab.  1</w:t>
        </w:r>
        <w:r w:rsidR="00552C02" w:rsidRPr="000B4296">
          <w:rPr>
            <w:rStyle w:val="Hypertextovprepojenie"/>
            <w:noProof/>
          </w:rPr>
          <w:noBreakHyphen/>
          <w:t xml:space="preserve">31 </w:t>
        </w:r>
        <w:r w:rsidR="00552C02">
          <w:rPr>
            <w:rFonts w:asciiTheme="minorHAnsi" w:eastAsiaTheme="minorEastAsia" w:hAnsiTheme="minorHAnsi" w:cstheme="minorBidi"/>
            <w:noProof/>
            <w:color w:val="auto"/>
            <w:lang w:eastAsia="sk-SK"/>
          </w:rPr>
          <w:tab/>
        </w:r>
        <w:r w:rsidR="00552C02" w:rsidRPr="000B4296">
          <w:rPr>
            <w:rStyle w:val="Hypertextovprepojenie"/>
            <w:noProof/>
          </w:rPr>
          <w:t>Česká republika: ETC indikátor 4. Náklady</w:t>
        </w:r>
        <w:r w:rsidR="00552C02">
          <w:rPr>
            <w:noProof/>
            <w:webHidden/>
          </w:rPr>
          <w:tab/>
        </w:r>
        <w:r w:rsidR="00552C02">
          <w:rPr>
            <w:noProof/>
            <w:webHidden/>
          </w:rPr>
          <w:fldChar w:fldCharType="begin"/>
        </w:r>
        <w:r w:rsidR="00552C02">
          <w:rPr>
            <w:noProof/>
            <w:webHidden/>
          </w:rPr>
          <w:instrText xml:space="preserve"> PAGEREF _Toc36664473 \h </w:instrText>
        </w:r>
        <w:r w:rsidR="00552C02">
          <w:rPr>
            <w:noProof/>
            <w:webHidden/>
          </w:rPr>
        </w:r>
        <w:r w:rsidR="00552C02">
          <w:rPr>
            <w:noProof/>
            <w:webHidden/>
          </w:rPr>
          <w:fldChar w:fldCharType="separate"/>
        </w:r>
        <w:r w:rsidR="00552C02">
          <w:rPr>
            <w:noProof/>
            <w:webHidden/>
          </w:rPr>
          <w:t>39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4" w:history="1">
        <w:r w:rsidR="00552C02" w:rsidRPr="000B4296">
          <w:rPr>
            <w:rStyle w:val="Hypertextovprepojenie"/>
            <w:noProof/>
          </w:rPr>
          <w:t>Tab.  1</w:t>
        </w:r>
        <w:r w:rsidR="00552C02" w:rsidRPr="000B4296">
          <w:rPr>
            <w:rStyle w:val="Hypertextovprepojenie"/>
            <w:noProof/>
          </w:rPr>
          <w:noBreakHyphen/>
          <w:t>32</w:t>
        </w:r>
        <w:r w:rsidR="00552C02">
          <w:rPr>
            <w:rFonts w:asciiTheme="minorHAnsi" w:eastAsiaTheme="minorEastAsia" w:hAnsiTheme="minorHAnsi" w:cstheme="minorBidi"/>
            <w:noProof/>
            <w:color w:val="auto"/>
            <w:lang w:eastAsia="sk-SK"/>
          </w:rPr>
          <w:tab/>
        </w:r>
        <w:r w:rsidR="00552C02" w:rsidRPr="000B4296">
          <w:rPr>
            <w:rStyle w:val="Hypertextovprepojenie"/>
            <w:noProof/>
          </w:rPr>
          <w:t>Prehľad základných charakteristík systému ETC v Poľsku</w:t>
        </w:r>
        <w:r w:rsidR="00552C02">
          <w:rPr>
            <w:noProof/>
            <w:webHidden/>
          </w:rPr>
          <w:tab/>
        </w:r>
        <w:r w:rsidR="00552C02">
          <w:rPr>
            <w:noProof/>
            <w:webHidden/>
          </w:rPr>
          <w:fldChar w:fldCharType="begin"/>
        </w:r>
        <w:r w:rsidR="00552C02">
          <w:rPr>
            <w:noProof/>
            <w:webHidden/>
          </w:rPr>
          <w:instrText xml:space="preserve"> PAGEREF _Toc36664474 \h </w:instrText>
        </w:r>
        <w:r w:rsidR="00552C02">
          <w:rPr>
            <w:noProof/>
            <w:webHidden/>
          </w:rPr>
        </w:r>
        <w:r w:rsidR="00552C02">
          <w:rPr>
            <w:noProof/>
            <w:webHidden/>
          </w:rPr>
          <w:fldChar w:fldCharType="separate"/>
        </w:r>
        <w:r w:rsidR="00552C02">
          <w:rPr>
            <w:noProof/>
            <w:webHidden/>
          </w:rPr>
          <w:t>40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5" w:history="1">
        <w:r w:rsidR="00552C02" w:rsidRPr="000B4296">
          <w:rPr>
            <w:rStyle w:val="Hypertextovprepojenie"/>
            <w:rFonts w:cstheme="minorHAnsi"/>
            <w:noProof/>
          </w:rPr>
          <w:t>Tab.  1</w:t>
        </w:r>
        <w:r w:rsidR="00552C02" w:rsidRPr="000B4296">
          <w:rPr>
            <w:rStyle w:val="Hypertextovprepojenie"/>
            <w:rFonts w:cstheme="minorHAnsi"/>
            <w:noProof/>
          </w:rPr>
          <w:noBreakHyphen/>
          <w:t xml:space="preserve">33 </w:t>
        </w:r>
        <w:r w:rsidR="00552C02">
          <w:rPr>
            <w:rFonts w:asciiTheme="minorHAnsi" w:eastAsiaTheme="minorEastAsia" w:hAnsiTheme="minorHAnsi" w:cstheme="minorBidi"/>
            <w:noProof/>
            <w:color w:val="auto"/>
            <w:lang w:eastAsia="sk-SK"/>
          </w:rPr>
          <w:tab/>
        </w:r>
        <w:r w:rsidR="00552C02" w:rsidRPr="000B4296">
          <w:rPr>
            <w:rStyle w:val="Hypertextovprepojenie"/>
            <w:rFonts w:cstheme="minorHAnsi"/>
            <w:noProof/>
          </w:rPr>
          <w:t>Rešerš dostupnej literatúry  - dĺžka vymedzených úsekov ciest v Poľsku</w:t>
        </w:r>
        <w:r w:rsidR="00552C02">
          <w:rPr>
            <w:noProof/>
            <w:webHidden/>
          </w:rPr>
          <w:tab/>
        </w:r>
        <w:r w:rsidR="00552C02">
          <w:rPr>
            <w:noProof/>
            <w:webHidden/>
          </w:rPr>
          <w:fldChar w:fldCharType="begin"/>
        </w:r>
        <w:r w:rsidR="00552C02">
          <w:rPr>
            <w:noProof/>
            <w:webHidden/>
          </w:rPr>
          <w:instrText xml:space="preserve"> PAGEREF _Toc36664475 \h </w:instrText>
        </w:r>
        <w:r w:rsidR="00552C02">
          <w:rPr>
            <w:noProof/>
            <w:webHidden/>
          </w:rPr>
        </w:r>
        <w:r w:rsidR="00552C02">
          <w:rPr>
            <w:noProof/>
            <w:webHidden/>
          </w:rPr>
          <w:fldChar w:fldCharType="separate"/>
        </w:r>
        <w:r w:rsidR="00552C02">
          <w:rPr>
            <w:noProof/>
            <w:webHidden/>
          </w:rPr>
          <w:t>42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6" w:history="1">
        <w:r w:rsidR="00552C02" w:rsidRPr="000B4296">
          <w:rPr>
            <w:rStyle w:val="Hypertextovprepojenie"/>
            <w:noProof/>
          </w:rPr>
          <w:t>Tab.  1</w:t>
        </w:r>
        <w:r w:rsidR="00552C02" w:rsidRPr="000B4296">
          <w:rPr>
            <w:rStyle w:val="Hypertextovprepojenie"/>
            <w:noProof/>
          </w:rPr>
          <w:noBreakHyphen/>
          <w:t xml:space="preserve">34 </w:t>
        </w:r>
        <w:r w:rsidR="00552C02">
          <w:rPr>
            <w:rFonts w:asciiTheme="minorHAnsi" w:eastAsiaTheme="minorEastAsia" w:hAnsiTheme="minorHAnsi" w:cstheme="minorBidi"/>
            <w:noProof/>
            <w:color w:val="auto"/>
            <w:lang w:eastAsia="sk-SK"/>
          </w:rPr>
          <w:tab/>
        </w:r>
        <w:r w:rsidR="00552C02" w:rsidRPr="000B4296">
          <w:rPr>
            <w:rStyle w:val="Hypertextovprepojenie"/>
            <w:noProof/>
          </w:rPr>
          <w:t>Poľsko: ETC indikátor 1. Dĺžka siete</w:t>
        </w:r>
        <w:r w:rsidR="00552C02">
          <w:rPr>
            <w:noProof/>
            <w:webHidden/>
          </w:rPr>
          <w:tab/>
        </w:r>
        <w:r w:rsidR="00552C02">
          <w:rPr>
            <w:noProof/>
            <w:webHidden/>
          </w:rPr>
          <w:fldChar w:fldCharType="begin"/>
        </w:r>
        <w:r w:rsidR="00552C02">
          <w:rPr>
            <w:noProof/>
            <w:webHidden/>
          </w:rPr>
          <w:instrText xml:space="preserve"> PAGEREF _Toc36664476 \h </w:instrText>
        </w:r>
        <w:r w:rsidR="00552C02">
          <w:rPr>
            <w:noProof/>
            <w:webHidden/>
          </w:rPr>
        </w:r>
        <w:r w:rsidR="00552C02">
          <w:rPr>
            <w:noProof/>
            <w:webHidden/>
          </w:rPr>
          <w:fldChar w:fldCharType="separate"/>
        </w:r>
        <w:r w:rsidR="00552C02">
          <w:rPr>
            <w:noProof/>
            <w:webHidden/>
          </w:rPr>
          <w:t>42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7" w:history="1">
        <w:r w:rsidR="00552C02" w:rsidRPr="000B4296">
          <w:rPr>
            <w:rStyle w:val="Hypertextovprepojenie"/>
            <w:noProof/>
          </w:rPr>
          <w:t>Tab.  1</w:t>
        </w:r>
        <w:r w:rsidR="00552C02" w:rsidRPr="000B4296">
          <w:rPr>
            <w:rStyle w:val="Hypertextovprepojenie"/>
            <w:noProof/>
          </w:rPr>
          <w:noBreakHyphen/>
          <w:t xml:space="preserve">35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dopravné výkony na sieti v Poľsku</w:t>
        </w:r>
        <w:r w:rsidR="00552C02">
          <w:rPr>
            <w:noProof/>
            <w:webHidden/>
          </w:rPr>
          <w:tab/>
        </w:r>
        <w:r w:rsidR="00552C02">
          <w:rPr>
            <w:noProof/>
            <w:webHidden/>
          </w:rPr>
          <w:fldChar w:fldCharType="begin"/>
        </w:r>
        <w:r w:rsidR="00552C02">
          <w:rPr>
            <w:noProof/>
            <w:webHidden/>
          </w:rPr>
          <w:instrText xml:space="preserve"> PAGEREF _Toc36664477 \h </w:instrText>
        </w:r>
        <w:r w:rsidR="00552C02">
          <w:rPr>
            <w:noProof/>
            <w:webHidden/>
          </w:rPr>
        </w:r>
        <w:r w:rsidR="00552C02">
          <w:rPr>
            <w:noProof/>
            <w:webHidden/>
          </w:rPr>
          <w:fldChar w:fldCharType="separate"/>
        </w:r>
        <w:r w:rsidR="00552C02">
          <w:rPr>
            <w:noProof/>
            <w:webHidden/>
          </w:rPr>
          <w:t>43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8" w:history="1">
        <w:r w:rsidR="00552C02" w:rsidRPr="000B4296">
          <w:rPr>
            <w:rStyle w:val="Hypertextovprepojenie"/>
            <w:noProof/>
          </w:rPr>
          <w:t>Tab.  1</w:t>
        </w:r>
        <w:r w:rsidR="00552C02" w:rsidRPr="000B4296">
          <w:rPr>
            <w:rStyle w:val="Hypertextovprepojenie"/>
            <w:noProof/>
          </w:rPr>
          <w:noBreakHyphen/>
          <w:t xml:space="preserve">36 </w:t>
        </w:r>
        <w:r w:rsidR="00552C02">
          <w:rPr>
            <w:rFonts w:asciiTheme="minorHAnsi" w:eastAsiaTheme="minorEastAsia" w:hAnsiTheme="minorHAnsi" w:cstheme="minorBidi"/>
            <w:noProof/>
            <w:color w:val="auto"/>
            <w:lang w:eastAsia="sk-SK"/>
          </w:rPr>
          <w:tab/>
        </w:r>
        <w:r w:rsidR="00552C02" w:rsidRPr="000B4296">
          <w:rPr>
            <w:rStyle w:val="Hypertextovprepojenie"/>
            <w:noProof/>
          </w:rPr>
          <w:t>Poľsko: ETC indikátor 2. Dopravné výkony na sieti</w:t>
        </w:r>
        <w:r w:rsidR="00552C02">
          <w:rPr>
            <w:noProof/>
            <w:webHidden/>
          </w:rPr>
          <w:tab/>
        </w:r>
        <w:r w:rsidR="00552C02">
          <w:rPr>
            <w:noProof/>
            <w:webHidden/>
          </w:rPr>
          <w:fldChar w:fldCharType="begin"/>
        </w:r>
        <w:r w:rsidR="00552C02">
          <w:rPr>
            <w:noProof/>
            <w:webHidden/>
          </w:rPr>
          <w:instrText xml:space="preserve"> PAGEREF _Toc36664478 \h </w:instrText>
        </w:r>
        <w:r w:rsidR="00552C02">
          <w:rPr>
            <w:noProof/>
            <w:webHidden/>
          </w:rPr>
        </w:r>
        <w:r w:rsidR="00552C02">
          <w:rPr>
            <w:noProof/>
            <w:webHidden/>
          </w:rPr>
          <w:fldChar w:fldCharType="separate"/>
        </w:r>
        <w:r w:rsidR="00552C02">
          <w:rPr>
            <w:noProof/>
            <w:webHidden/>
          </w:rPr>
          <w:t>43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79" w:history="1">
        <w:r w:rsidR="00552C02" w:rsidRPr="000B4296">
          <w:rPr>
            <w:rStyle w:val="Hypertextovprepojenie"/>
            <w:noProof/>
          </w:rPr>
          <w:t>Tab.  1</w:t>
        </w:r>
        <w:r w:rsidR="00552C02" w:rsidRPr="000B4296">
          <w:rPr>
            <w:rStyle w:val="Hypertextovprepojenie"/>
            <w:noProof/>
          </w:rPr>
          <w:noBreakHyphen/>
          <w:t xml:space="preserve">37 </w:t>
        </w:r>
        <w:r w:rsidR="00552C02">
          <w:rPr>
            <w:rFonts w:asciiTheme="minorHAnsi" w:eastAsiaTheme="minorEastAsia" w:hAnsiTheme="minorHAnsi" w:cstheme="minorBidi"/>
            <w:noProof/>
            <w:color w:val="auto"/>
            <w:lang w:eastAsia="sk-SK"/>
          </w:rPr>
          <w:tab/>
        </w:r>
        <w:r w:rsidR="00552C02" w:rsidRPr="000B4296">
          <w:rPr>
            <w:rStyle w:val="Hypertextovprepojenie"/>
            <w:noProof/>
          </w:rPr>
          <w:t>Priemerný ročný kurz EUR/PLN</w:t>
        </w:r>
        <w:r w:rsidR="00552C02">
          <w:rPr>
            <w:noProof/>
            <w:webHidden/>
          </w:rPr>
          <w:tab/>
        </w:r>
        <w:r w:rsidR="00552C02">
          <w:rPr>
            <w:noProof/>
            <w:webHidden/>
          </w:rPr>
          <w:fldChar w:fldCharType="begin"/>
        </w:r>
        <w:r w:rsidR="00552C02">
          <w:rPr>
            <w:noProof/>
            <w:webHidden/>
          </w:rPr>
          <w:instrText xml:space="preserve"> PAGEREF _Toc36664479 \h </w:instrText>
        </w:r>
        <w:r w:rsidR="00552C02">
          <w:rPr>
            <w:noProof/>
            <w:webHidden/>
          </w:rPr>
        </w:r>
        <w:r w:rsidR="00552C02">
          <w:rPr>
            <w:noProof/>
            <w:webHidden/>
          </w:rPr>
          <w:fldChar w:fldCharType="separate"/>
        </w:r>
        <w:r w:rsidR="00552C02">
          <w:rPr>
            <w:noProof/>
            <w:webHidden/>
          </w:rPr>
          <w:t>44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0" w:history="1">
        <w:r w:rsidR="00552C02" w:rsidRPr="000B4296">
          <w:rPr>
            <w:rStyle w:val="Hypertextovprepojenie"/>
            <w:noProof/>
          </w:rPr>
          <w:t>Tab.  1</w:t>
        </w:r>
        <w:r w:rsidR="00552C02" w:rsidRPr="000B4296">
          <w:rPr>
            <w:rStyle w:val="Hypertextovprepojenie"/>
            <w:noProof/>
          </w:rPr>
          <w:noBreakHyphen/>
          <w:t xml:space="preserve">38 </w:t>
        </w:r>
        <w:r w:rsidR="00552C02">
          <w:rPr>
            <w:rFonts w:asciiTheme="minorHAnsi" w:eastAsiaTheme="minorEastAsia" w:hAnsiTheme="minorHAnsi" w:cstheme="minorBidi"/>
            <w:noProof/>
            <w:color w:val="auto"/>
            <w:lang w:eastAsia="sk-SK"/>
          </w:rPr>
          <w:tab/>
        </w:r>
        <w:r w:rsidR="00552C02" w:rsidRPr="000B4296">
          <w:rPr>
            <w:rStyle w:val="Hypertextovprepojenie"/>
            <w:noProof/>
          </w:rPr>
          <w:t>Rešerš dostupnej literatúry – výnosy a náklady systému ETC v Poľsku</w:t>
        </w:r>
        <w:r w:rsidR="00552C02">
          <w:rPr>
            <w:noProof/>
            <w:webHidden/>
          </w:rPr>
          <w:tab/>
        </w:r>
        <w:r w:rsidR="00552C02">
          <w:rPr>
            <w:noProof/>
            <w:webHidden/>
          </w:rPr>
          <w:fldChar w:fldCharType="begin"/>
        </w:r>
        <w:r w:rsidR="00552C02">
          <w:rPr>
            <w:noProof/>
            <w:webHidden/>
          </w:rPr>
          <w:instrText xml:space="preserve"> PAGEREF _Toc36664480 \h </w:instrText>
        </w:r>
        <w:r w:rsidR="00552C02">
          <w:rPr>
            <w:noProof/>
            <w:webHidden/>
          </w:rPr>
        </w:r>
        <w:r w:rsidR="00552C02">
          <w:rPr>
            <w:noProof/>
            <w:webHidden/>
          </w:rPr>
          <w:fldChar w:fldCharType="separate"/>
        </w:r>
        <w:r w:rsidR="00552C02">
          <w:rPr>
            <w:noProof/>
            <w:webHidden/>
          </w:rPr>
          <w:t>44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1" w:history="1">
        <w:r w:rsidR="00552C02" w:rsidRPr="000B4296">
          <w:rPr>
            <w:rStyle w:val="Hypertextovprepojenie"/>
            <w:noProof/>
          </w:rPr>
          <w:t>Tab.  1</w:t>
        </w:r>
        <w:r w:rsidR="00552C02" w:rsidRPr="000B4296">
          <w:rPr>
            <w:rStyle w:val="Hypertextovprepojenie"/>
            <w:noProof/>
          </w:rPr>
          <w:noBreakHyphen/>
          <w:t xml:space="preserve">39 </w:t>
        </w:r>
        <w:r w:rsidR="00552C02">
          <w:rPr>
            <w:rFonts w:asciiTheme="minorHAnsi" w:eastAsiaTheme="minorEastAsia" w:hAnsiTheme="minorHAnsi" w:cstheme="minorBidi"/>
            <w:noProof/>
            <w:color w:val="auto"/>
            <w:lang w:eastAsia="sk-SK"/>
          </w:rPr>
          <w:tab/>
        </w:r>
        <w:r w:rsidR="00552C02" w:rsidRPr="000B4296">
          <w:rPr>
            <w:rStyle w:val="Hypertextovprepojenie"/>
            <w:noProof/>
          </w:rPr>
          <w:t>Poľsko: ETC indikátor 3. Výnosy</w:t>
        </w:r>
        <w:r w:rsidR="00552C02">
          <w:rPr>
            <w:noProof/>
            <w:webHidden/>
          </w:rPr>
          <w:tab/>
        </w:r>
        <w:r w:rsidR="00552C02">
          <w:rPr>
            <w:noProof/>
            <w:webHidden/>
          </w:rPr>
          <w:fldChar w:fldCharType="begin"/>
        </w:r>
        <w:r w:rsidR="00552C02">
          <w:rPr>
            <w:noProof/>
            <w:webHidden/>
          </w:rPr>
          <w:instrText xml:space="preserve"> PAGEREF _Toc36664481 \h </w:instrText>
        </w:r>
        <w:r w:rsidR="00552C02">
          <w:rPr>
            <w:noProof/>
            <w:webHidden/>
          </w:rPr>
        </w:r>
        <w:r w:rsidR="00552C02">
          <w:rPr>
            <w:noProof/>
            <w:webHidden/>
          </w:rPr>
          <w:fldChar w:fldCharType="separate"/>
        </w:r>
        <w:r w:rsidR="00552C02">
          <w:rPr>
            <w:noProof/>
            <w:webHidden/>
          </w:rPr>
          <w:t>45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2" w:history="1">
        <w:r w:rsidR="00552C02" w:rsidRPr="000B4296">
          <w:rPr>
            <w:rStyle w:val="Hypertextovprepojenie"/>
            <w:noProof/>
          </w:rPr>
          <w:t>Tab.  1</w:t>
        </w:r>
        <w:r w:rsidR="00552C02" w:rsidRPr="000B4296">
          <w:rPr>
            <w:rStyle w:val="Hypertextovprepojenie"/>
            <w:noProof/>
          </w:rPr>
          <w:noBreakHyphen/>
          <w:t xml:space="preserve">40 </w:t>
        </w:r>
        <w:r w:rsidR="00552C02">
          <w:rPr>
            <w:rFonts w:asciiTheme="minorHAnsi" w:eastAsiaTheme="minorEastAsia" w:hAnsiTheme="minorHAnsi" w:cstheme="minorBidi"/>
            <w:noProof/>
            <w:color w:val="auto"/>
            <w:lang w:eastAsia="sk-SK"/>
          </w:rPr>
          <w:tab/>
        </w:r>
        <w:r w:rsidR="00552C02" w:rsidRPr="000B4296">
          <w:rPr>
            <w:rStyle w:val="Hypertextovprepojenie"/>
            <w:noProof/>
          </w:rPr>
          <w:t>Poľsko: ETC indikátor 4. Náklady</w:t>
        </w:r>
        <w:r w:rsidR="00552C02">
          <w:rPr>
            <w:noProof/>
            <w:webHidden/>
          </w:rPr>
          <w:tab/>
        </w:r>
        <w:r w:rsidR="00552C02">
          <w:rPr>
            <w:noProof/>
            <w:webHidden/>
          </w:rPr>
          <w:fldChar w:fldCharType="begin"/>
        </w:r>
        <w:r w:rsidR="00552C02">
          <w:rPr>
            <w:noProof/>
            <w:webHidden/>
          </w:rPr>
          <w:instrText xml:space="preserve"> PAGEREF _Toc36664482 \h </w:instrText>
        </w:r>
        <w:r w:rsidR="00552C02">
          <w:rPr>
            <w:noProof/>
            <w:webHidden/>
          </w:rPr>
        </w:r>
        <w:r w:rsidR="00552C02">
          <w:rPr>
            <w:noProof/>
            <w:webHidden/>
          </w:rPr>
          <w:fldChar w:fldCharType="separate"/>
        </w:r>
        <w:r w:rsidR="00552C02">
          <w:rPr>
            <w:noProof/>
            <w:webHidden/>
          </w:rPr>
          <w:t>45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3" w:history="1">
        <w:r w:rsidR="00552C02" w:rsidRPr="000B4296">
          <w:rPr>
            <w:rStyle w:val="Hypertextovprepojenie"/>
            <w:noProof/>
          </w:rPr>
          <w:t>Tab.  1</w:t>
        </w:r>
        <w:r w:rsidR="00552C02" w:rsidRPr="000B4296">
          <w:rPr>
            <w:rStyle w:val="Hypertextovprepojenie"/>
            <w:noProof/>
          </w:rPr>
          <w:noBreakHyphen/>
          <w:t>41</w:t>
        </w:r>
        <w:r w:rsidR="00552C02">
          <w:rPr>
            <w:rFonts w:asciiTheme="minorHAnsi" w:eastAsiaTheme="minorEastAsia" w:hAnsiTheme="minorHAnsi" w:cstheme="minorBidi"/>
            <w:noProof/>
            <w:color w:val="auto"/>
            <w:lang w:eastAsia="sk-SK"/>
          </w:rPr>
          <w:tab/>
        </w:r>
        <w:r w:rsidR="00552C02" w:rsidRPr="000B4296">
          <w:rPr>
            <w:rStyle w:val="Hypertextovprepojenie"/>
            <w:noProof/>
          </w:rPr>
          <w:t>Súhrnné výsledky analýzy charakteristických indikátorov systémov ETC</w:t>
        </w:r>
        <w:r w:rsidR="00552C02">
          <w:rPr>
            <w:noProof/>
            <w:webHidden/>
          </w:rPr>
          <w:tab/>
        </w:r>
        <w:r w:rsidR="00552C02">
          <w:rPr>
            <w:noProof/>
            <w:webHidden/>
          </w:rPr>
          <w:fldChar w:fldCharType="begin"/>
        </w:r>
        <w:r w:rsidR="00552C02">
          <w:rPr>
            <w:noProof/>
            <w:webHidden/>
          </w:rPr>
          <w:instrText xml:space="preserve"> PAGEREF _Toc36664483 \h </w:instrText>
        </w:r>
        <w:r w:rsidR="00552C02">
          <w:rPr>
            <w:noProof/>
            <w:webHidden/>
          </w:rPr>
        </w:r>
        <w:r w:rsidR="00552C02">
          <w:rPr>
            <w:noProof/>
            <w:webHidden/>
          </w:rPr>
          <w:fldChar w:fldCharType="separate"/>
        </w:r>
        <w:r w:rsidR="00552C02">
          <w:rPr>
            <w:noProof/>
            <w:webHidden/>
          </w:rPr>
          <w:t>49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4" w:history="1">
        <w:r w:rsidR="00552C02" w:rsidRPr="000B4296">
          <w:rPr>
            <w:rStyle w:val="Hypertextovprepojenie"/>
            <w:noProof/>
          </w:rPr>
          <w:t>Tab.  2</w:t>
        </w:r>
        <w:r w:rsidR="00552C02" w:rsidRPr="000B4296">
          <w:rPr>
            <w:rStyle w:val="Hypertextovprepojenie"/>
            <w:noProof/>
          </w:rPr>
          <w:noBreakHyphen/>
          <w:t>1</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ročných dĺžok spoplatnenej siete systémov ETC</w:t>
        </w:r>
        <w:r w:rsidR="00552C02">
          <w:rPr>
            <w:noProof/>
            <w:webHidden/>
          </w:rPr>
          <w:tab/>
        </w:r>
        <w:r w:rsidR="00552C02">
          <w:rPr>
            <w:noProof/>
            <w:webHidden/>
          </w:rPr>
          <w:fldChar w:fldCharType="begin"/>
        </w:r>
        <w:r w:rsidR="00552C02">
          <w:rPr>
            <w:noProof/>
            <w:webHidden/>
          </w:rPr>
          <w:instrText xml:space="preserve"> PAGEREF _Toc36664484 \h </w:instrText>
        </w:r>
        <w:r w:rsidR="00552C02">
          <w:rPr>
            <w:noProof/>
            <w:webHidden/>
          </w:rPr>
        </w:r>
        <w:r w:rsidR="00552C02">
          <w:rPr>
            <w:noProof/>
            <w:webHidden/>
          </w:rPr>
          <w:fldChar w:fldCharType="separate"/>
        </w:r>
        <w:r w:rsidR="00552C02">
          <w:rPr>
            <w:noProof/>
            <w:webHidden/>
          </w:rPr>
          <w:t>56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5" w:history="1">
        <w:r w:rsidR="00552C02" w:rsidRPr="000B4296">
          <w:rPr>
            <w:rStyle w:val="Hypertextovprepojenie"/>
            <w:noProof/>
          </w:rPr>
          <w:t>Tab.  2</w:t>
        </w:r>
        <w:r w:rsidR="00552C02" w:rsidRPr="000B4296">
          <w:rPr>
            <w:rStyle w:val="Hypertextovprepojenie"/>
            <w:noProof/>
          </w:rPr>
          <w:noBreakHyphen/>
          <w:t>2</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denných intenzít na sieti systémov ETC</w:t>
        </w:r>
        <w:r w:rsidR="00552C02">
          <w:rPr>
            <w:noProof/>
            <w:webHidden/>
          </w:rPr>
          <w:tab/>
        </w:r>
        <w:r w:rsidR="00552C02">
          <w:rPr>
            <w:noProof/>
            <w:webHidden/>
          </w:rPr>
          <w:fldChar w:fldCharType="begin"/>
        </w:r>
        <w:r w:rsidR="00552C02">
          <w:rPr>
            <w:noProof/>
            <w:webHidden/>
          </w:rPr>
          <w:instrText xml:space="preserve"> PAGEREF _Toc36664485 \h </w:instrText>
        </w:r>
        <w:r w:rsidR="00552C02">
          <w:rPr>
            <w:noProof/>
            <w:webHidden/>
          </w:rPr>
        </w:r>
        <w:r w:rsidR="00552C02">
          <w:rPr>
            <w:noProof/>
            <w:webHidden/>
          </w:rPr>
          <w:fldChar w:fldCharType="separate"/>
        </w:r>
        <w:r w:rsidR="00552C02">
          <w:rPr>
            <w:noProof/>
            <w:webHidden/>
          </w:rPr>
          <w:t>58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6" w:history="1">
        <w:r w:rsidR="00552C02" w:rsidRPr="000B4296">
          <w:rPr>
            <w:rStyle w:val="Hypertextovprepojenie"/>
            <w:noProof/>
          </w:rPr>
          <w:t>Tab.  2</w:t>
        </w:r>
        <w:r w:rsidR="00552C02" w:rsidRPr="000B4296">
          <w:rPr>
            <w:rStyle w:val="Hypertextovprepojenie"/>
            <w:noProof/>
          </w:rPr>
          <w:noBreakHyphen/>
          <w:t>3</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ročných kumulovaných dopravných výkonov na sieti systémov ETC</w:t>
        </w:r>
        <w:r w:rsidR="00552C02">
          <w:rPr>
            <w:noProof/>
            <w:webHidden/>
          </w:rPr>
          <w:tab/>
        </w:r>
        <w:r w:rsidR="00552C02">
          <w:rPr>
            <w:noProof/>
            <w:webHidden/>
          </w:rPr>
          <w:fldChar w:fldCharType="begin"/>
        </w:r>
        <w:r w:rsidR="00552C02">
          <w:rPr>
            <w:noProof/>
            <w:webHidden/>
          </w:rPr>
          <w:instrText xml:space="preserve"> PAGEREF _Toc36664486 \h </w:instrText>
        </w:r>
        <w:r w:rsidR="00552C02">
          <w:rPr>
            <w:noProof/>
            <w:webHidden/>
          </w:rPr>
        </w:r>
        <w:r w:rsidR="00552C02">
          <w:rPr>
            <w:noProof/>
            <w:webHidden/>
          </w:rPr>
          <w:fldChar w:fldCharType="separate"/>
        </w:r>
        <w:r w:rsidR="00552C02">
          <w:rPr>
            <w:noProof/>
            <w:webHidden/>
          </w:rPr>
          <w:t>60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7" w:history="1">
        <w:r w:rsidR="00552C02" w:rsidRPr="000B4296">
          <w:rPr>
            <w:rStyle w:val="Hypertextovprepojenie"/>
            <w:noProof/>
          </w:rPr>
          <w:t>Tab.  2</w:t>
        </w:r>
        <w:r w:rsidR="00552C02" w:rsidRPr="000B4296">
          <w:rPr>
            <w:rStyle w:val="Hypertextovprepojenie"/>
            <w:noProof/>
          </w:rPr>
          <w:noBreakHyphen/>
          <w:t>4</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nominálnej priemernej ročnej výšky výnosov  systémov ETC</w:t>
        </w:r>
        <w:r w:rsidR="00552C02">
          <w:rPr>
            <w:noProof/>
            <w:webHidden/>
          </w:rPr>
          <w:tab/>
        </w:r>
        <w:r w:rsidR="00552C02">
          <w:rPr>
            <w:noProof/>
            <w:webHidden/>
          </w:rPr>
          <w:fldChar w:fldCharType="begin"/>
        </w:r>
        <w:r w:rsidR="00552C02">
          <w:rPr>
            <w:noProof/>
            <w:webHidden/>
          </w:rPr>
          <w:instrText xml:space="preserve"> PAGEREF _Toc36664487 \h </w:instrText>
        </w:r>
        <w:r w:rsidR="00552C02">
          <w:rPr>
            <w:noProof/>
            <w:webHidden/>
          </w:rPr>
        </w:r>
        <w:r w:rsidR="00552C02">
          <w:rPr>
            <w:noProof/>
            <w:webHidden/>
          </w:rPr>
          <w:fldChar w:fldCharType="separate"/>
        </w:r>
        <w:r w:rsidR="00552C02">
          <w:rPr>
            <w:noProof/>
            <w:webHidden/>
          </w:rPr>
          <w:t>62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8" w:history="1">
        <w:r w:rsidR="00552C02" w:rsidRPr="000B4296">
          <w:rPr>
            <w:rStyle w:val="Hypertextovprepojenie"/>
            <w:noProof/>
          </w:rPr>
          <w:t>Tab.  2</w:t>
        </w:r>
        <w:r w:rsidR="00552C02" w:rsidRPr="000B4296">
          <w:rPr>
            <w:rStyle w:val="Hypertextovprepojenie"/>
            <w:noProof/>
          </w:rPr>
          <w:noBreakHyphen/>
          <w:t>5</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nominálnej priemernej ročnej výšky nákladov systémov ETC</w:t>
        </w:r>
        <w:r w:rsidR="00552C02">
          <w:rPr>
            <w:noProof/>
            <w:webHidden/>
          </w:rPr>
          <w:tab/>
        </w:r>
        <w:r w:rsidR="00552C02">
          <w:rPr>
            <w:noProof/>
            <w:webHidden/>
          </w:rPr>
          <w:fldChar w:fldCharType="begin"/>
        </w:r>
        <w:r w:rsidR="00552C02">
          <w:rPr>
            <w:noProof/>
            <w:webHidden/>
          </w:rPr>
          <w:instrText xml:space="preserve"> PAGEREF _Toc36664488 \h </w:instrText>
        </w:r>
        <w:r w:rsidR="00552C02">
          <w:rPr>
            <w:noProof/>
            <w:webHidden/>
          </w:rPr>
        </w:r>
        <w:r w:rsidR="00552C02">
          <w:rPr>
            <w:noProof/>
            <w:webHidden/>
          </w:rPr>
          <w:fldChar w:fldCharType="separate"/>
        </w:r>
        <w:r w:rsidR="00552C02">
          <w:rPr>
            <w:noProof/>
            <w:webHidden/>
          </w:rPr>
          <w:t>64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89" w:history="1">
        <w:r w:rsidR="00552C02" w:rsidRPr="000B4296">
          <w:rPr>
            <w:rStyle w:val="Hypertextovprepojenie"/>
            <w:noProof/>
          </w:rPr>
          <w:t>Tab.  2</w:t>
        </w:r>
        <w:r w:rsidR="00552C02" w:rsidRPr="000B4296">
          <w:rPr>
            <w:rStyle w:val="Hypertextovprepojenie"/>
            <w:noProof/>
          </w:rPr>
          <w:noBreakHyphen/>
          <w:t>6</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priemernej ročnej nákladovej výnosnosti systémov ETC</w:t>
        </w:r>
        <w:r w:rsidR="00552C02">
          <w:rPr>
            <w:noProof/>
            <w:webHidden/>
          </w:rPr>
          <w:tab/>
        </w:r>
        <w:r w:rsidR="00552C02">
          <w:rPr>
            <w:noProof/>
            <w:webHidden/>
          </w:rPr>
          <w:fldChar w:fldCharType="begin"/>
        </w:r>
        <w:r w:rsidR="00552C02">
          <w:rPr>
            <w:noProof/>
            <w:webHidden/>
          </w:rPr>
          <w:instrText xml:space="preserve"> PAGEREF _Toc36664489 \h </w:instrText>
        </w:r>
        <w:r w:rsidR="00552C02">
          <w:rPr>
            <w:noProof/>
            <w:webHidden/>
          </w:rPr>
        </w:r>
        <w:r w:rsidR="00552C02">
          <w:rPr>
            <w:noProof/>
            <w:webHidden/>
          </w:rPr>
          <w:fldChar w:fldCharType="separate"/>
        </w:r>
        <w:r w:rsidR="00552C02">
          <w:rPr>
            <w:noProof/>
            <w:webHidden/>
          </w:rPr>
          <w:t>66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0" w:history="1">
        <w:r w:rsidR="00552C02" w:rsidRPr="000B4296">
          <w:rPr>
            <w:rStyle w:val="Hypertextovprepojenie"/>
            <w:noProof/>
          </w:rPr>
          <w:t>Tab.  2</w:t>
        </w:r>
        <w:r w:rsidR="00552C02" w:rsidRPr="000B4296">
          <w:rPr>
            <w:rStyle w:val="Hypertextovprepojenie"/>
            <w:noProof/>
          </w:rPr>
          <w:noBreakHyphen/>
          <w:t>7</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priemernej ročnej nákladovej efektívnosti systémov ETC</w:t>
        </w:r>
        <w:r w:rsidR="00552C02">
          <w:rPr>
            <w:noProof/>
            <w:webHidden/>
          </w:rPr>
          <w:tab/>
        </w:r>
        <w:r w:rsidR="00552C02">
          <w:rPr>
            <w:noProof/>
            <w:webHidden/>
          </w:rPr>
          <w:fldChar w:fldCharType="begin"/>
        </w:r>
        <w:r w:rsidR="00552C02">
          <w:rPr>
            <w:noProof/>
            <w:webHidden/>
          </w:rPr>
          <w:instrText xml:space="preserve"> PAGEREF _Toc36664490 \h </w:instrText>
        </w:r>
        <w:r w:rsidR="00552C02">
          <w:rPr>
            <w:noProof/>
            <w:webHidden/>
          </w:rPr>
        </w:r>
        <w:r w:rsidR="00552C02">
          <w:rPr>
            <w:noProof/>
            <w:webHidden/>
          </w:rPr>
          <w:fldChar w:fldCharType="separate"/>
        </w:r>
        <w:r w:rsidR="00552C02">
          <w:rPr>
            <w:noProof/>
            <w:webHidden/>
          </w:rPr>
          <w:t>68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1" w:history="1">
        <w:r w:rsidR="00552C02" w:rsidRPr="000B4296">
          <w:rPr>
            <w:rStyle w:val="Hypertextovprepojenie"/>
            <w:noProof/>
          </w:rPr>
          <w:t>Tab.  2</w:t>
        </w:r>
        <w:r w:rsidR="00552C02" w:rsidRPr="000B4296">
          <w:rPr>
            <w:rStyle w:val="Hypertextovprepojenie"/>
            <w:noProof/>
          </w:rPr>
          <w:noBreakHyphen/>
          <w:t>8</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ročných kilometrických výnosov systémov ETC</w:t>
        </w:r>
        <w:r w:rsidR="00552C02">
          <w:rPr>
            <w:noProof/>
            <w:webHidden/>
          </w:rPr>
          <w:tab/>
        </w:r>
        <w:r w:rsidR="00552C02">
          <w:rPr>
            <w:noProof/>
            <w:webHidden/>
          </w:rPr>
          <w:fldChar w:fldCharType="begin"/>
        </w:r>
        <w:r w:rsidR="00552C02">
          <w:rPr>
            <w:noProof/>
            <w:webHidden/>
          </w:rPr>
          <w:instrText xml:space="preserve"> PAGEREF _Toc36664491 \h </w:instrText>
        </w:r>
        <w:r w:rsidR="00552C02">
          <w:rPr>
            <w:noProof/>
            <w:webHidden/>
          </w:rPr>
        </w:r>
        <w:r w:rsidR="00552C02">
          <w:rPr>
            <w:noProof/>
            <w:webHidden/>
          </w:rPr>
          <w:fldChar w:fldCharType="separate"/>
        </w:r>
        <w:r w:rsidR="00552C02">
          <w:rPr>
            <w:noProof/>
            <w:webHidden/>
          </w:rPr>
          <w:t>71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2" w:history="1">
        <w:r w:rsidR="00552C02" w:rsidRPr="000B4296">
          <w:rPr>
            <w:rStyle w:val="Hypertextovprepojenie"/>
            <w:noProof/>
          </w:rPr>
          <w:t>Tab.  2</w:t>
        </w:r>
        <w:r w:rsidR="00552C02" w:rsidRPr="000B4296">
          <w:rPr>
            <w:rStyle w:val="Hypertextovprepojenie"/>
            <w:noProof/>
          </w:rPr>
          <w:noBreakHyphen/>
          <w:t>9</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ročných vozokilometrických výnosov systémov ETC</w:t>
        </w:r>
        <w:r w:rsidR="00552C02">
          <w:rPr>
            <w:noProof/>
            <w:webHidden/>
          </w:rPr>
          <w:tab/>
        </w:r>
        <w:r w:rsidR="00552C02">
          <w:rPr>
            <w:noProof/>
            <w:webHidden/>
          </w:rPr>
          <w:fldChar w:fldCharType="begin"/>
        </w:r>
        <w:r w:rsidR="00552C02">
          <w:rPr>
            <w:noProof/>
            <w:webHidden/>
          </w:rPr>
          <w:instrText xml:space="preserve"> PAGEREF _Toc36664492 \h </w:instrText>
        </w:r>
        <w:r w:rsidR="00552C02">
          <w:rPr>
            <w:noProof/>
            <w:webHidden/>
          </w:rPr>
        </w:r>
        <w:r w:rsidR="00552C02">
          <w:rPr>
            <w:noProof/>
            <w:webHidden/>
          </w:rPr>
          <w:fldChar w:fldCharType="separate"/>
        </w:r>
        <w:r w:rsidR="00552C02">
          <w:rPr>
            <w:noProof/>
            <w:webHidden/>
          </w:rPr>
          <w:t>73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3" w:history="1">
        <w:r w:rsidR="00552C02" w:rsidRPr="000B4296">
          <w:rPr>
            <w:rStyle w:val="Hypertextovprepojenie"/>
            <w:noProof/>
          </w:rPr>
          <w:t>Tab.  2</w:t>
        </w:r>
        <w:r w:rsidR="00552C02" w:rsidRPr="000B4296">
          <w:rPr>
            <w:rStyle w:val="Hypertextovprepojenie"/>
            <w:noProof/>
          </w:rPr>
          <w:noBreakHyphen/>
          <w:t>10</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ročných kilometrických nákladov systémov ETC</w:t>
        </w:r>
        <w:r w:rsidR="00552C02">
          <w:rPr>
            <w:noProof/>
            <w:webHidden/>
          </w:rPr>
          <w:tab/>
        </w:r>
        <w:r w:rsidR="00552C02">
          <w:rPr>
            <w:noProof/>
            <w:webHidden/>
          </w:rPr>
          <w:fldChar w:fldCharType="begin"/>
        </w:r>
        <w:r w:rsidR="00552C02">
          <w:rPr>
            <w:noProof/>
            <w:webHidden/>
          </w:rPr>
          <w:instrText xml:space="preserve"> PAGEREF _Toc36664493 \h </w:instrText>
        </w:r>
        <w:r w:rsidR="00552C02">
          <w:rPr>
            <w:noProof/>
            <w:webHidden/>
          </w:rPr>
        </w:r>
        <w:r w:rsidR="00552C02">
          <w:rPr>
            <w:noProof/>
            <w:webHidden/>
          </w:rPr>
          <w:fldChar w:fldCharType="separate"/>
        </w:r>
        <w:r w:rsidR="00552C02">
          <w:rPr>
            <w:noProof/>
            <w:webHidden/>
          </w:rPr>
          <w:t>76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4" w:history="1">
        <w:r w:rsidR="00552C02" w:rsidRPr="000B4296">
          <w:rPr>
            <w:rStyle w:val="Hypertextovprepojenie"/>
            <w:noProof/>
          </w:rPr>
          <w:t>Tab.  2</w:t>
        </w:r>
        <w:r w:rsidR="00552C02" w:rsidRPr="000B4296">
          <w:rPr>
            <w:rStyle w:val="Hypertextovprepojenie"/>
            <w:noProof/>
          </w:rPr>
          <w:noBreakHyphen/>
          <w:t>11</w:t>
        </w:r>
        <w:r w:rsidR="00552C02">
          <w:rPr>
            <w:rFonts w:asciiTheme="minorHAnsi" w:eastAsiaTheme="minorEastAsia" w:hAnsiTheme="minorHAnsi" w:cstheme="minorBidi"/>
            <w:noProof/>
            <w:color w:val="auto"/>
            <w:lang w:eastAsia="sk-SK"/>
          </w:rPr>
          <w:tab/>
        </w:r>
        <w:r w:rsidR="00552C02" w:rsidRPr="000B4296">
          <w:rPr>
            <w:rStyle w:val="Hypertextovprepojenie"/>
            <w:noProof/>
          </w:rPr>
          <w:t>Sumarizácia výsledkov komparácie priemerných ročných vozokilometrických nákladov systémov ETC</w:t>
        </w:r>
        <w:r w:rsidR="00552C02">
          <w:rPr>
            <w:noProof/>
            <w:webHidden/>
          </w:rPr>
          <w:tab/>
        </w:r>
        <w:r w:rsidR="00552C02">
          <w:rPr>
            <w:noProof/>
            <w:webHidden/>
          </w:rPr>
          <w:fldChar w:fldCharType="begin"/>
        </w:r>
        <w:r w:rsidR="00552C02">
          <w:rPr>
            <w:noProof/>
            <w:webHidden/>
          </w:rPr>
          <w:instrText xml:space="preserve"> PAGEREF _Toc36664494 \h </w:instrText>
        </w:r>
        <w:r w:rsidR="00552C02">
          <w:rPr>
            <w:noProof/>
            <w:webHidden/>
          </w:rPr>
        </w:r>
        <w:r w:rsidR="00552C02">
          <w:rPr>
            <w:noProof/>
            <w:webHidden/>
          </w:rPr>
          <w:fldChar w:fldCharType="separate"/>
        </w:r>
        <w:r w:rsidR="00552C02">
          <w:rPr>
            <w:noProof/>
            <w:webHidden/>
          </w:rPr>
          <w:t>78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5" w:history="1">
        <w:r w:rsidR="00552C02" w:rsidRPr="000B4296">
          <w:rPr>
            <w:rStyle w:val="Hypertextovprepojenie"/>
            <w:noProof/>
          </w:rPr>
          <w:t>Tab.  3</w:t>
        </w:r>
        <w:r w:rsidR="00552C02" w:rsidRPr="000B4296">
          <w:rPr>
            <w:rStyle w:val="Hypertextovprepojenie"/>
            <w:noProof/>
          </w:rPr>
          <w:noBreakHyphen/>
          <w:t>1</w:t>
        </w:r>
        <w:r w:rsidR="00552C02">
          <w:rPr>
            <w:rFonts w:asciiTheme="minorHAnsi" w:eastAsiaTheme="minorEastAsia" w:hAnsiTheme="minorHAnsi" w:cstheme="minorBidi"/>
            <w:noProof/>
            <w:color w:val="auto"/>
            <w:lang w:eastAsia="sk-SK"/>
          </w:rPr>
          <w:tab/>
        </w:r>
        <w:r w:rsidR="00552C02" w:rsidRPr="000B4296">
          <w:rPr>
            <w:rStyle w:val="Hypertextovprepojenie"/>
            <w:noProof/>
          </w:rPr>
          <w:t>Porovnanie skutočných  (2018) a ekonomických (2009) sadzieb mýta v SR  – diaľnice a rýchlostné cesty (€/km)</w:t>
        </w:r>
        <w:r w:rsidR="00552C02">
          <w:rPr>
            <w:noProof/>
            <w:webHidden/>
          </w:rPr>
          <w:tab/>
        </w:r>
        <w:r w:rsidR="00552C02">
          <w:rPr>
            <w:noProof/>
            <w:webHidden/>
          </w:rPr>
          <w:fldChar w:fldCharType="begin"/>
        </w:r>
        <w:r w:rsidR="00552C02">
          <w:rPr>
            <w:noProof/>
            <w:webHidden/>
          </w:rPr>
          <w:instrText xml:space="preserve"> PAGEREF _Toc36664495 \h </w:instrText>
        </w:r>
        <w:r w:rsidR="00552C02">
          <w:rPr>
            <w:noProof/>
            <w:webHidden/>
          </w:rPr>
        </w:r>
        <w:r w:rsidR="00552C02">
          <w:rPr>
            <w:noProof/>
            <w:webHidden/>
          </w:rPr>
          <w:fldChar w:fldCharType="separate"/>
        </w:r>
        <w:r w:rsidR="00552C02">
          <w:rPr>
            <w:noProof/>
            <w:webHidden/>
          </w:rPr>
          <w:t>87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6" w:history="1">
        <w:r w:rsidR="00552C02" w:rsidRPr="000B4296">
          <w:rPr>
            <w:rStyle w:val="Hypertextovprepojenie"/>
            <w:noProof/>
          </w:rPr>
          <w:t>Tab.  3</w:t>
        </w:r>
        <w:r w:rsidR="00552C02" w:rsidRPr="000B4296">
          <w:rPr>
            <w:rStyle w:val="Hypertextovprepojenie"/>
            <w:noProof/>
          </w:rPr>
          <w:noBreakHyphen/>
          <w:t>2</w:t>
        </w:r>
        <w:r w:rsidR="00552C02">
          <w:rPr>
            <w:rFonts w:asciiTheme="minorHAnsi" w:eastAsiaTheme="minorEastAsia" w:hAnsiTheme="minorHAnsi" w:cstheme="minorBidi"/>
            <w:noProof/>
            <w:color w:val="auto"/>
            <w:lang w:eastAsia="sk-SK"/>
          </w:rPr>
          <w:tab/>
        </w:r>
        <w:r w:rsidR="00552C02" w:rsidRPr="000B4296">
          <w:rPr>
            <w:rStyle w:val="Hypertextovprepojenie"/>
            <w:noProof/>
          </w:rPr>
          <w:t>Porovnanie skutočných  (2018) a ekonomických (2009) sadzieb mýta v SR  – cesty I. triedy súbežné s D a RC (€/km)</w:t>
        </w:r>
        <w:r w:rsidR="00552C02">
          <w:rPr>
            <w:noProof/>
            <w:webHidden/>
          </w:rPr>
          <w:tab/>
        </w:r>
        <w:r w:rsidR="00552C02">
          <w:rPr>
            <w:noProof/>
            <w:webHidden/>
          </w:rPr>
          <w:fldChar w:fldCharType="begin"/>
        </w:r>
        <w:r w:rsidR="00552C02">
          <w:rPr>
            <w:noProof/>
            <w:webHidden/>
          </w:rPr>
          <w:instrText xml:space="preserve"> PAGEREF _Toc36664496 \h </w:instrText>
        </w:r>
        <w:r w:rsidR="00552C02">
          <w:rPr>
            <w:noProof/>
            <w:webHidden/>
          </w:rPr>
        </w:r>
        <w:r w:rsidR="00552C02">
          <w:rPr>
            <w:noProof/>
            <w:webHidden/>
          </w:rPr>
          <w:fldChar w:fldCharType="separate"/>
        </w:r>
        <w:r w:rsidR="00552C02">
          <w:rPr>
            <w:noProof/>
            <w:webHidden/>
          </w:rPr>
          <w:t>88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7" w:history="1">
        <w:r w:rsidR="00552C02" w:rsidRPr="000B4296">
          <w:rPr>
            <w:rStyle w:val="Hypertextovprepojenie"/>
            <w:noProof/>
          </w:rPr>
          <w:t>Tab.  3</w:t>
        </w:r>
        <w:r w:rsidR="00552C02" w:rsidRPr="000B4296">
          <w:rPr>
            <w:rStyle w:val="Hypertextovprepojenie"/>
            <w:noProof/>
          </w:rPr>
          <w:noBreakHyphen/>
          <w:t>3</w:t>
        </w:r>
        <w:r w:rsidR="00552C02">
          <w:rPr>
            <w:rFonts w:asciiTheme="minorHAnsi" w:eastAsiaTheme="minorEastAsia" w:hAnsiTheme="minorHAnsi" w:cstheme="minorBidi"/>
            <w:noProof/>
            <w:color w:val="auto"/>
            <w:lang w:eastAsia="sk-SK"/>
          </w:rPr>
          <w:tab/>
        </w:r>
        <w:r w:rsidR="00552C02" w:rsidRPr="000B4296">
          <w:rPr>
            <w:rStyle w:val="Hypertextovprepojenie"/>
            <w:noProof/>
          </w:rPr>
          <w:t>Porovnanie skutočných (2018) a ekonomických (2009) sadzieb mýta  v SR  - cesty I. triedy nesúbežné s D a RC (€/km)</w:t>
        </w:r>
        <w:r w:rsidR="00552C02">
          <w:rPr>
            <w:noProof/>
            <w:webHidden/>
          </w:rPr>
          <w:tab/>
        </w:r>
        <w:r w:rsidR="00552C02">
          <w:rPr>
            <w:noProof/>
            <w:webHidden/>
          </w:rPr>
          <w:fldChar w:fldCharType="begin"/>
        </w:r>
        <w:r w:rsidR="00552C02">
          <w:rPr>
            <w:noProof/>
            <w:webHidden/>
          </w:rPr>
          <w:instrText xml:space="preserve"> PAGEREF _Toc36664497 \h </w:instrText>
        </w:r>
        <w:r w:rsidR="00552C02">
          <w:rPr>
            <w:noProof/>
            <w:webHidden/>
          </w:rPr>
        </w:r>
        <w:r w:rsidR="00552C02">
          <w:rPr>
            <w:noProof/>
            <w:webHidden/>
          </w:rPr>
          <w:fldChar w:fldCharType="separate"/>
        </w:r>
        <w:r w:rsidR="00552C02">
          <w:rPr>
            <w:noProof/>
            <w:webHidden/>
          </w:rPr>
          <w:t>89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8" w:history="1">
        <w:r w:rsidR="00552C02" w:rsidRPr="000B4296">
          <w:rPr>
            <w:rStyle w:val="Hypertextovprepojenie"/>
            <w:noProof/>
          </w:rPr>
          <w:t>Tab.  3</w:t>
        </w:r>
        <w:r w:rsidR="00552C02" w:rsidRPr="000B4296">
          <w:rPr>
            <w:rStyle w:val="Hypertextovprepojenie"/>
            <w:noProof/>
          </w:rPr>
          <w:noBreakHyphen/>
          <w:t>4</w:t>
        </w:r>
        <w:r w:rsidR="00552C02">
          <w:rPr>
            <w:rFonts w:asciiTheme="minorHAnsi" w:eastAsiaTheme="minorEastAsia" w:hAnsiTheme="minorHAnsi" w:cstheme="minorBidi"/>
            <w:noProof/>
            <w:color w:val="auto"/>
            <w:lang w:eastAsia="sk-SK"/>
          </w:rPr>
          <w:tab/>
        </w:r>
        <w:r w:rsidR="00552C02" w:rsidRPr="000B4296">
          <w:rPr>
            <w:rStyle w:val="Hypertextovprepojenie"/>
            <w:noProof/>
          </w:rPr>
          <w:t>Teoretické výnosy z mýta (2018) pri zavedení ekonomických sadzieb mýta</w:t>
        </w:r>
        <w:r w:rsidR="00552C02">
          <w:rPr>
            <w:noProof/>
            <w:webHidden/>
          </w:rPr>
          <w:tab/>
        </w:r>
        <w:r w:rsidR="00552C02">
          <w:rPr>
            <w:noProof/>
            <w:webHidden/>
          </w:rPr>
          <w:fldChar w:fldCharType="begin"/>
        </w:r>
        <w:r w:rsidR="00552C02">
          <w:rPr>
            <w:noProof/>
            <w:webHidden/>
          </w:rPr>
          <w:instrText xml:space="preserve"> PAGEREF _Toc36664498 \h </w:instrText>
        </w:r>
        <w:r w:rsidR="00552C02">
          <w:rPr>
            <w:noProof/>
            <w:webHidden/>
          </w:rPr>
        </w:r>
        <w:r w:rsidR="00552C02">
          <w:rPr>
            <w:noProof/>
            <w:webHidden/>
          </w:rPr>
          <w:fldChar w:fldCharType="separate"/>
        </w:r>
        <w:r w:rsidR="00552C02">
          <w:rPr>
            <w:noProof/>
            <w:webHidden/>
          </w:rPr>
          <w:t>90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499" w:history="1">
        <w:r w:rsidR="00552C02" w:rsidRPr="000B4296">
          <w:rPr>
            <w:rStyle w:val="Hypertextovprepojenie"/>
            <w:noProof/>
          </w:rPr>
          <w:t>Tab.  3</w:t>
        </w:r>
        <w:r w:rsidR="00552C02" w:rsidRPr="000B4296">
          <w:rPr>
            <w:rStyle w:val="Hypertextovprepojenie"/>
            <w:noProof/>
          </w:rPr>
          <w:noBreakHyphen/>
          <w:t xml:space="preserve">5 </w:t>
        </w:r>
        <w:r w:rsidR="00552C02">
          <w:rPr>
            <w:rStyle w:val="Hypertextovprepojenie"/>
            <w:noProof/>
          </w:rPr>
          <w:tab/>
        </w:r>
        <w:r w:rsidR="00552C02" w:rsidRPr="000B4296">
          <w:rPr>
            <w:rStyle w:val="Hypertextovprepojenie"/>
            <w:rFonts w:cs="Calibri"/>
            <w:bCs/>
            <w:noProof/>
            <w:shd w:val="clear" w:color="auto" w:fill="FFFFFF"/>
          </w:rPr>
          <w:t>Zoznam vyhlášok určujúcich vymedzené úseky diaľnic, rýchlostných ciest a ciest I. triedy  v období 2008 – 2019 (2020)</w:t>
        </w:r>
        <w:r w:rsidR="00552C02">
          <w:rPr>
            <w:noProof/>
            <w:webHidden/>
          </w:rPr>
          <w:tab/>
        </w:r>
        <w:r w:rsidR="00552C02">
          <w:rPr>
            <w:noProof/>
            <w:webHidden/>
          </w:rPr>
          <w:fldChar w:fldCharType="begin"/>
        </w:r>
        <w:r w:rsidR="00552C02">
          <w:rPr>
            <w:noProof/>
            <w:webHidden/>
          </w:rPr>
          <w:instrText xml:space="preserve"> PAGEREF _Toc36664499 \h </w:instrText>
        </w:r>
        <w:r w:rsidR="00552C02">
          <w:rPr>
            <w:noProof/>
            <w:webHidden/>
          </w:rPr>
        </w:r>
        <w:r w:rsidR="00552C02">
          <w:rPr>
            <w:noProof/>
            <w:webHidden/>
          </w:rPr>
          <w:fldChar w:fldCharType="separate"/>
        </w:r>
        <w:r w:rsidR="00552C02">
          <w:rPr>
            <w:noProof/>
            <w:webHidden/>
          </w:rPr>
          <w:t>103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0" w:history="1">
        <w:r w:rsidR="00552C02" w:rsidRPr="000B4296">
          <w:rPr>
            <w:rStyle w:val="Hypertextovprepojenie"/>
            <w:noProof/>
          </w:rPr>
          <w:t>Tab.  3</w:t>
        </w:r>
        <w:r w:rsidR="00552C02" w:rsidRPr="000B4296">
          <w:rPr>
            <w:rStyle w:val="Hypertextovprepojenie"/>
            <w:noProof/>
          </w:rPr>
          <w:noBreakHyphen/>
          <w:t xml:space="preserve">6 </w:t>
        </w:r>
        <w:r w:rsidR="00552C02">
          <w:rPr>
            <w:rStyle w:val="Hypertextovprepojenie"/>
            <w:noProof/>
          </w:rPr>
          <w:tab/>
        </w:r>
        <w:r w:rsidR="00552C02" w:rsidRPr="000B4296">
          <w:rPr>
            <w:rStyle w:val="Hypertextovprepojenie"/>
            <w:noProof/>
          </w:rPr>
          <w:t>Legislatíva upravujúca mýtne sadzby v období rokov 2009 – 2020</w:t>
        </w:r>
        <w:r w:rsidR="00552C02">
          <w:rPr>
            <w:noProof/>
            <w:webHidden/>
          </w:rPr>
          <w:tab/>
        </w:r>
        <w:r w:rsidR="00552C02">
          <w:rPr>
            <w:noProof/>
            <w:webHidden/>
          </w:rPr>
          <w:fldChar w:fldCharType="begin"/>
        </w:r>
        <w:r w:rsidR="00552C02">
          <w:rPr>
            <w:noProof/>
            <w:webHidden/>
          </w:rPr>
          <w:instrText xml:space="preserve"> PAGEREF _Toc36664500 \h </w:instrText>
        </w:r>
        <w:r w:rsidR="00552C02">
          <w:rPr>
            <w:noProof/>
            <w:webHidden/>
          </w:rPr>
        </w:r>
        <w:r w:rsidR="00552C02">
          <w:rPr>
            <w:noProof/>
            <w:webHidden/>
          </w:rPr>
          <w:fldChar w:fldCharType="separate"/>
        </w:r>
        <w:r w:rsidR="00552C02">
          <w:rPr>
            <w:noProof/>
            <w:webHidden/>
          </w:rPr>
          <w:t>107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1" w:history="1">
        <w:r w:rsidR="00552C02" w:rsidRPr="000B4296">
          <w:rPr>
            <w:rStyle w:val="Hypertextovprepojenie"/>
            <w:noProof/>
          </w:rPr>
          <w:t>Tab.  3</w:t>
        </w:r>
        <w:r w:rsidR="00552C02" w:rsidRPr="000B4296">
          <w:rPr>
            <w:rStyle w:val="Hypertextovprepojenie"/>
            <w:noProof/>
          </w:rPr>
          <w:noBreakHyphen/>
          <w:t xml:space="preserve">7 </w:t>
        </w:r>
        <w:r w:rsidR="00552C02">
          <w:rPr>
            <w:rStyle w:val="Hypertextovprepojenie"/>
            <w:noProof/>
          </w:rPr>
          <w:tab/>
        </w:r>
        <w:r w:rsidR="00552C02" w:rsidRPr="000B4296">
          <w:rPr>
            <w:rStyle w:val="Hypertextovprepojenie"/>
            <w:noProof/>
          </w:rPr>
          <w:t>Zľavy zo sadzieb mýta</w:t>
        </w:r>
        <w:r w:rsidR="00552C02">
          <w:rPr>
            <w:noProof/>
            <w:webHidden/>
          </w:rPr>
          <w:tab/>
        </w:r>
        <w:r w:rsidR="00552C02">
          <w:rPr>
            <w:noProof/>
            <w:webHidden/>
          </w:rPr>
          <w:fldChar w:fldCharType="begin"/>
        </w:r>
        <w:r w:rsidR="00552C02">
          <w:rPr>
            <w:noProof/>
            <w:webHidden/>
          </w:rPr>
          <w:instrText xml:space="preserve"> PAGEREF _Toc36664501 \h </w:instrText>
        </w:r>
        <w:r w:rsidR="00552C02">
          <w:rPr>
            <w:noProof/>
            <w:webHidden/>
          </w:rPr>
        </w:r>
        <w:r w:rsidR="00552C02">
          <w:rPr>
            <w:noProof/>
            <w:webHidden/>
          </w:rPr>
          <w:fldChar w:fldCharType="separate"/>
        </w:r>
        <w:r w:rsidR="00552C02">
          <w:rPr>
            <w:noProof/>
            <w:webHidden/>
          </w:rPr>
          <w:t>108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2" w:history="1">
        <w:r w:rsidR="00552C02" w:rsidRPr="000B4296">
          <w:rPr>
            <w:rStyle w:val="Hypertextovprepojenie"/>
            <w:noProof/>
          </w:rPr>
          <w:t>Tab.  4</w:t>
        </w:r>
        <w:r w:rsidR="00552C02" w:rsidRPr="000B4296">
          <w:rPr>
            <w:rStyle w:val="Hypertextovprepojenie"/>
            <w:noProof/>
          </w:rPr>
          <w:noBreakHyphen/>
          <w:t xml:space="preserve">1 </w:t>
        </w:r>
        <w:r w:rsidR="00552C02">
          <w:rPr>
            <w:rFonts w:asciiTheme="minorHAnsi" w:eastAsiaTheme="minorEastAsia" w:hAnsiTheme="minorHAnsi" w:cstheme="minorBidi"/>
            <w:noProof/>
            <w:color w:val="auto"/>
            <w:lang w:eastAsia="sk-SK"/>
          </w:rPr>
          <w:tab/>
        </w:r>
        <w:r w:rsidR="00552C02" w:rsidRPr="000B4296">
          <w:rPr>
            <w:rStyle w:val="Hypertextovprepojenie"/>
            <w:noProof/>
          </w:rPr>
          <w:t>Odhad potenciálnych ročných výnosov zo spoplatnenia nespoplatnených úsekov diaľnic a rýchlostných ciest v BA, KE a BB</w:t>
        </w:r>
        <w:r w:rsidR="00552C02">
          <w:rPr>
            <w:noProof/>
            <w:webHidden/>
          </w:rPr>
          <w:tab/>
        </w:r>
        <w:r w:rsidR="00552C02">
          <w:rPr>
            <w:noProof/>
            <w:webHidden/>
          </w:rPr>
          <w:fldChar w:fldCharType="begin"/>
        </w:r>
        <w:r w:rsidR="00552C02">
          <w:rPr>
            <w:noProof/>
            <w:webHidden/>
          </w:rPr>
          <w:instrText xml:space="preserve"> PAGEREF _Toc36664502 \h </w:instrText>
        </w:r>
        <w:r w:rsidR="00552C02">
          <w:rPr>
            <w:noProof/>
            <w:webHidden/>
          </w:rPr>
        </w:r>
        <w:r w:rsidR="00552C02">
          <w:rPr>
            <w:noProof/>
            <w:webHidden/>
          </w:rPr>
          <w:fldChar w:fldCharType="separate"/>
        </w:r>
        <w:r w:rsidR="00552C02">
          <w:rPr>
            <w:noProof/>
            <w:webHidden/>
          </w:rPr>
          <w:t>111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3" w:history="1">
        <w:r w:rsidR="00552C02" w:rsidRPr="000B4296">
          <w:rPr>
            <w:rStyle w:val="Hypertextovprepojenie"/>
            <w:noProof/>
          </w:rPr>
          <w:t>Tab.  4</w:t>
        </w:r>
        <w:r w:rsidR="00552C02" w:rsidRPr="000B4296">
          <w:rPr>
            <w:rStyle w:val="Hypertextovprepojenie"/>
            <w:noProof/>
          </w:rPr>
          <w:noBreakHyphen/>
          <w:t xml:space="preserve">2 </w:t>
        </w:r>
        <w:r w:rsidR="00552C02">
          <w:rPr>
            <w:rFonts w:asciiTheme="minorHAnsi" w:eastAsiaTheme="minorEastAsia" w:hAnsiTheme="minorHAnsi" w:cstheme="minorBidi"/>
            <w:noProof/>
            <w:color w:val="auto"/>
            <w:lang w:eastAsia="sk-SK"/>
          </w:rPr>
          <w:tab/>
        </w:r>
        <w:r w:rsidR="00552C02" w:rsidRPr="000B4296">
          <w:rPr>
            <w:rStyle w:val="Hypertextovprepojenie"/>
            <w:noProof/>
          </w:rPr>
          <w:t>Odhad potenciálnych ročných výnosov zo spoplatnenia nespoplatnených úsekov ciest I. triedy</w:t>
        </w:r>
        <w:r w:rsidR="00552C02">
          <w:rPr>
            <w:noProof/>
            <w:webHidden/>
          </w:rPr>
          <w:tab/>
        </w:r>
        <w:r w:rsidR="00552C02">
          <w:rPr>
            <w:noProof/>
            <w:webHidden/>
          </w:rPr>
          <w:fldChar w:fldCharType="begin"/>
        </w:r>
        <w:r w:rsidR="00552C02">
          <w:rPr>
            <w:noProof/>
            <w:webHidden/>
          </w:rPr>
          <w:instrText xml:space="preserve"> PAGEREF _Toc36664503 \h </w:instrText>
        </w:r>
        <w:r w:rsidR="00552C02">
          <w:rPr>
            <w:noProof/>
            <w:webHidden/>
          </w:rPr>
        </w:r>
        <w:r w:rsidR="00552C02">
          <w:rPr>
            <w:noProof/>
            <w:webHidden/>
          </w:rPr>
          <w:fldChar w:fldCharType="separate"/>
        </w:r>
        <w:r w:rsidR="00552C02">
          <w:rPr>
            <w:noProof/>
            <w:webHidden/>
          </w:rPr>
          <w:t>112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4" w:history="1">
        <w:r w:rsidR="00552C02" w:rsidRPr="000B4296">
          <w:rPr>
            <w:rStyle w:val="Hypertextovprepojenie"/>
            <w:noProof/>
          </w:rPr>
          <w:t>Tab.  4</w:t>
        </w:r>
        <w:r w:rsidR="00552C02" w:rsidRPr="000B4296">
          <w:rPr>
            <w:rStyle w:val="Hypertextovprepojenie"/>
            <w:noProof/>
          </w:rPr>
          <w:noBreakHyphen/>
          <w:t>3 Porovnanie nákladových položiek na kilometer jazdy návesovej súpravy na Slovensku a v Česku.</w:t>
        </w:r>
        <w:r w:rsidR="00552C02">
          <w:rPr>
            <w:noProof/>
            <w:webHidden/>
          </w:rPr>
          <w:tab/>
        </w:r>
        <w:r w:rsidR="00552C02">
          <w:rPr>
            <w:noProof/>
            <w:webHidden/>
          </w:rPr>
          <w:fldChar w:fldCharType="begin"/>
        </w:r>
        <w:r w:rsidR="00552C02">
          <w:rPr>
            <w:noProof/>
            <w:webHidden/>
          </w:rPr>
          <w:instrText xml:space="preserve"> PAGEREF _Toc36664504 \h </w:instrText>
        </w:r>
        <w:r w:rsidR="00552C02">
          <w:rPr>
            <w:noProof/>
            <w:webHidden/>
          </w:rPr>
        </w:r>
        <w:r w:rsidR="00552C02">
          <w:rPr>
            <w:noProof/>
            <w:webHidden/>
          </w:rPr>
          <w:fldChar w:fldCharType="separate"/>
        </w:r>
        <w:r w:rsidR="00552C02">
          <w:rPr>
            <w:noProof/>
            <w:webHidden/>
          </w:rPr>
          <w:t>121</w:t>
        </w:r>
        <w:r w:rsidR="00552C02">
          <w:rPr>
            <w:noProof/>
            <w:webHidden/>
          </w:rPr>
          <w:fldChar w:fldCharType="end"/>
        </w:r>
      </w:hyperlink>
    </w:p>
    <w:p w:rsidR="0025522E" w:rsidRPr="004C1013" w:rsidRDefault="00AE5B8A" w:rsidP="0025522E">
      <w:pPr>
        <w:pStyle w:val="Nadpis8"/>
        <w:tabs>
          <w:tab w:val="right" w:leader="dot" w:pos="8789"/>
        </w:tabs>
        <w:rPr>
          <w:rFonts w:asciiTheme="minorHAnsi" w:hAnsiTheme="minorHAnsi" w:cstheme="minorHAnsi"/>
        </w:rPr>
      </w:pPr>
      <w:r w:rsidRPr="004C1013">
        <w:rPr>
          <w:rFonts w:asciiTheme="minorHAnsi" w:hAnsiTheme="minorHAnsi" w:cstheme="minorHAnsi"/>
          <w:szCs w:val="24"/>
        </w:rPr>
        <w:lastRenderedPageBreak/>
        <w:fldChar w:fldCharType="end"/>
      </w:r>
      <w:bookmarkStart w:id="10" w:name="_Toc20687914"/>
      <w:bookmarkStart w:id="11" w:name="_Toc99168472"/>
      <w:bookmarkEnd w:id="9"/>
      <w:r w:rsidR="0025522E" w:rsidRPr="0025522E">
        <w:rPr>
          <w:rFonts w:asciiTheme="minorHAnsi" w:hAnsiTheme="minorHAnsi" w:cstheme="minorHAnsi"/>
        </w:rPr>
        <w:t xml:space="preserve"> </w:t>
      </w:r>
      <w:bookmarkStart w:id="12" w:name="_Toc36664358"/>
      <w:r w:rsidR="0025522E" w:rsidRPr="004C1013">
        <w:rPr>
          <w:rFonts w:asciiTheme="minorHAnsi" w:hAnsiTheme="minorHAnsi" w:cstheme="minorHAnsi"/>
        </w:rPr>
        <w:t>zoznam obrázkov</w:t>
      </w:r>
      <w:bookmarkEnd w:id="10"/>
      <w:bookmarkEnd w:id="12"/>
    </w:p>
    <w:p w:rsidR="00552C02" w:rsidRDefault="00AE5B8A">
      <w:pPr>
        <w:pStyle w:val="Zoznamobrzkov"/>
        <w:rPr>
          <w:rFonts w:asciiTheme="minorHAnsi" w:eastAsiaTheme="minorEastAsia" w:hAnsiTheme="minorHAnsi" w:cstheme="minorBidi"/>
          <w:noProof/>
          <w:color w:val="auto"/>
          <w:lang w:eastAsia="sk-SK"/>
        </w:rPr>
      </w:pPr>
      <w:r w:rsidRPr="004C1013">
        <w:rPr>
          <w:sz w:val="24"/>
          <w:szCs w:val="24"/>
        </w:rPr>
        <w:fldChar w:fldCharType="begin"/>
      </w:r>
      <w:r w:rsidR="0025522E" w:rsidRPr="004C1013">
        <w:instrText xml:space="preserve"> TOC \h \z \c "Obr." </w:instrText>
      </w:r>
      <w:r w:rsidRPr="004C1013">
        <w:rPr>
          <w:sz w:val="24"/>
          <w:szCs w:val="24"/>
        </w:rPr>
        <w:fldChar w:fldCharType="separate"/>
      </w:r>
      <w:hyperlink w:anchor="_Toc36664505" w:history="1">
        <w:r w:rsidR="00552C02" w:rsidRPr="0026496A">
          <w:rPr>
            <w:rStyle w:val="Hypertextovprepojenie"/>
            <w:noProof/>
          </w:rPr>
          <w:t>Obr. 1</w:t>
        </w:r>
        <w:r w:rsidR="00552C02" w:rsidRPr="0026496A">
          <w:rPr>
            <w:rStyle w:val="Hypertextovprepojenie"/>
            <w:noProof/>
          </w:rPr>
          <w:noBreakHyphen/>
          <w:t>1</w:t>
        </w:r>
        <w:r w:rsidR="00552C02">
          <w:rPr>
            <w:rFonts w:asciiTheme="minorHAnsi" w:eastAsiaTheme="minorEastAsia" w:hAnsiTheme="minorHAnsi" w:cstheme="minorBidi"/>
            <w:noProof/>
            <w:color w:val="auto"/>
            <w:lang w:eastAsia="sk-SK"/>
          </w:rPr>
          <w:tab/>
        </w:r>
        <w:r w:rsidR="00552C02" w:rsidRPr="0026496A">
          <w:rPr>
            <w:rStyle w:val="Hypertextovprepojenie"/>
            <w:noProof/>
          </w:rPr>
          <w:t>Sieť vymedzených úsekov ciest EMS [1]</w:t>
        </w:r>
        <w:r w:rsidR="00552C02">
          <w:rPr>
            <w:noProof/>
            <w:webHidden/>
          </w:rPr>
          <w:tab/>
        </w:r>
        <w:r w:rsidR="00552C02">
          <w:rPr>
            <w:noProof/>
            <w:webHidden/>
          </w:rPr>
          <w:fldChar w:fldCharType="begin"/>
        </w:r>
        <w:r w:rsidR="00552C02">
          <w:rPr>
            <w:noProof/>
            <w:webHidden/>
          </w:rPr>
          <w:instrText xml:space="preserve"> PAGEREF _Toc36664505 \h </w:instrText>
        </w:r>
        <w:r w:rsidR="00552C02">
          <w:rPr>
            <w:noProof/>
            <w:webHidden/>
          </w:rPr>
        </w:r>
        <w:r w:rsidR="00552C02">
          <w:rPr>
            <w:noProof/>
            <w:webHidden/>
          </w:rPr>
          <w:fldChar w:fldCharType="separate"/>
        </w:r>
        <w:r w:rsidR="00552C02">
          <w:rPr>
            <w:noProof/>
            <w:webHidden/>
          </w:rPr>
          <w:t>15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6" w:history="1">
        <w:r w:rsidR="00552C02" w:rsidRPr="0026496A">
          <w:rPr>
            <w:rStyle w:val="Hypertextovprepojenie"/>
            <w:noProof/>
          </w:rPr>
          <w:t>Obr. 1</w:t>
        </w:r>
        <w:r w:rsidR="00552C02" w:rsidRPr="0026496A">
          <w:rPr>
            <w:rStyle w:val="Hypertextovprepojenie"/>
            <w:noProof/>
          </w:rPr>
          <w:noBreakHyphen/>
          <w:t>2</w:t>
        </w:r>
        <w:r w:rsidR="00552C02">
          <w:rPr>
            <w:rFonts w:asciiTheme="minorHAnsi" w:eastAsiaTheme="minorEastAsia" w:hAnsiTheme="minorHAnsi" w:cstheme="minorBidi"/>
            <w:noProof/>
            <w:color w:val="auto"/>
            <w:lang w:eastAsia="sk-SK"/>
          </w:rPr>
          <w:tab/>
        </w:r>
        <w:r w:rsidR="00552C02" w:rsidRPr="0026496A">
          <w:rPr>
            <w:rStyle w:val="Hypertextovprepojenie"/>
            <w:noProof/>
          </w:rPr>
          <w:t>Sieť vymedzených úsekov ciest systému ETC v Nemecku</w:t>
        </w:r>
        <w:r w:rsidR="00552C02">
          <w:rPr>
            <w:noProof/>
            <w:webHidden/>
          </w:rPr>
          <w:tab/>
        </w:r>
        <w:r w:rsidR="00552C02">
          <w:rPr>
            <w:noProof/>
            <w:webHidden/>
          </w:rPr>
          <w:fldChar w:fldCharType="begin"/>
        </w:r>
        <w:r w:rsidR="00552C02">
          <w:rPr>
            <w:noProof/>
            <w:webHidden/>
          </w:rPr>
          <w:instrText xml:space="preserve"> PAGEREF _Toc36664506 \h </w:instrText>
        </w:r>
        <w:r w:rsidR="00552C02">
          <w:rPr>
            <w:noProof/>
            <w:webHidden/>
          </w:rPr>
        </w:r>
        <w:r w:rsidR="00552C02">
          <w:rPr>
            <w:noProof/>
            <w:webHidden/>
          </w:rPr>
          <w:fldChar w:fldCharType="separate"/>
        </w:r>
        <w:r w:rsidR="00552C02">
          <w:rPr>
            <w:noProof/>
            <w:webHidden/>
          </w:rPr>
          <w:t>22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7" w:history="1">
        <w:r w:rsidR="00552C02" w:rsidRPr="0026496A">
          <w:rPr>
            <w:rStyle w:val="Hypertextovprepojenie"/>
            <w:noProof/>
          </w:rPr>
          <w:t>Obr. 1</w:t>
        </w:r>
        <w:r w:rsidR="00552C02" w:rsidRPr="0026496A">
          <w:rPr>
            <w:rStyle w:val="Hypertextovprepojenie"/>
            <w:noProof/>
          </w:rPr>
          <w:noBreakHyphen/>
          <w:t>3</w:t>
        </w:r>
        <w:r w:rsidR="00552C02">
          <w:rPr>
            <w:rFonts w:asciiTheme="minorHAnsi" w:eastAsiaTheme="minorEastAsia" w:hAnsiTheme="minorHAnsi" w:cstheme="minorBidi"/>
            <w:noProof/>
            <w:color w:val="auto"/>
            <w:lang w:eastAsia="sk-SK"/>
          </w:rPr>
          <w:tab/>
        </w:r>
        <w:r w:rsidR="00552C02" w:rsidRPr="0026496A">
          <w:rPr>
            <w:rStyle w:val="Hypertextovprepojenie"/>
            <w:noProof/>
          </w:rPr>
          <w:t>Sieť vymedzených úsekov ciest systému ETC v Rakúsku</w:t>
        </w:r>
        <w:r w:rsidR="00552C02">
          <w:rPr>
            <w:noProof/>
            <w:webHidden/>
          </w:rPr>
          <w:tab/>
        </w:r>
        <w:r w:rsidR="00552C02">
          <w:rPr>
            <w:noProof/>
            <w:webHidden/>
          </w:rPr>
          <w:fldChar w:fldCharType="begin"/>
        </w:r>
        <w:r w:rsidR="00552C02">
          <w:rPr>
            <w:noProof/>
            <w:webHidden/>
          </w:rPr>
          <w:instrText xml:space="preserve"> PAGEREF _Toc36664507 \h </w:instrText>
        </w:r>
        <w:r w:rsidR="00552C02">
          <w:rPr>
            <w:noProof/>
            <w:webHidden/>
          </w:rPr>
        </w:r>
        <w:r w:rsidR="00552C02">
          <w:rPr>
            <w:noProof/>
            <w:webHidden/>
          </w:rPr>
          <w:fldChar w:fldCharType="separate"/>
        </w:r>
        <w:r w:rsidR="00552C02">
          <w:rPr>
            <w:noProof/>
            <w:webHidden/>
          </w:rPr>
          <w:t>27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8" w:history="1">
        <w:r w:rsidR="00552C02" w:rsidRPr="0026496A">
          <w:rPr>
            <w:rStyle w:val="Hypertextovprepojenie"/>
            <w:noProof/>
          </w:rPr>
          <w:t>Obr. 1</w:t>
        </w:r>
        <w:r w:rsidR="00552C02" w:rsidRPr="0026496A">
          <w:rPr>
            <w:rStyle w:val="Hypertextovprepojenie"/>
            <w:noProof/>
          </w:rPr>
          <w:noBreakHyphen/>
          <w:t>4</w:t>
        </w:r>
        <w:r w:rsidR="00552C02">
          <w:rPr>
            <w:rFonts w:asciiTheme="minorHAnsi" w:eastAsiaTheme="minorEastAsia" w:hAnsiTheme="minorHAnsi" w:cstheme="minorBidi"/>
            <w:noProof/>
            <w:color w:val="auto"/>
            <w:lang w:eastAsia="sk-SK"/>
          </w:rPr>
          <w:tab/>
        </w:r>
        <w:r w:rsidR="00552C02" w:rsidRPr="0026496A">
          <w:rPr>
            <w:rStyle w:val="Hypertextovprepojenie"/>
            <w:noProof/>
          </w:rPr>
          <w:t>Sieť vymedzených úsekov ciest v ČR</w:t>
        </w:r>
        <w:r w:rsidR="00552C02">
          <w:rPr>
            <w:noProof/>
            <w:webHidden/>
          </w:rPr>
          <w:tab/>
        </w:r>
        <w:r w:rsidR="00552C02">
          <w:rPr>
            <w:noProof/>
            <w:webHidden/>
          </w:rPr>
          <w:fldChar w:fldCharType="begin"/>
        </w:r>
        <w:r w:rsidR="00552C02">
          <w:rPr>
            <w:noProof/>
            <w:webHidden/>
          </w:rPr>
          <w:instrText xml:space="preserve"> PAGEREF _Toc36664508 \h </w:instrText>
        </w:r>
        <w:r w:rsidR="00552C02">
          <w:rPr>
            <w:noProof/>
            <w:webHidden/>
          </w:rPr>
        </w:r>
        <w:r w:rsidR="00552C02">
          <w:rPr>
            <w:noProof/>
            <w:webHidden/>
          </w:rPr>
          <w:fldChar w:fldCharType="separate"/>
        </w:r>
        <w:r w:rsidR="00552C02">
          <w:rPr>
            <w:noProof/>
            <w:webHidden/>
          </w:rPr>
          <w:t>34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09" w:history="1">
        <w:r w:rsidR="00552C02" w:rsidRPr="0026496A">
          <w:rPr>
            <w:rStyle w:val="Hypertextovprepojenie"/>
            <w:noProof/>
          </w:rPr>
          <w:t>Obr. 1</w:t>
        </w:r>
        <w:r w:rsidR="00552C02" w:rsidRPr="0026496A">
          <w:rPr>
            <w:rStyle w:val="Hypertextovprepojenie"/>
            <w:noProof/>
          </w:rPr>
          <w:noBreakHyphen/>
          <w:t>5</w:t>
        </w:r>
        <w:r w:rsidR="00552C02">
          <w:rPr>
            <w:rFonts w:asciiTheme="minorHAnsi" w:eastAsiaTheme="minorEastAsia" w:hAnsiTheme="minorHAnsi" w:cstheme="minorBidi"/>
            <w:noProof/>
            <w:color w:val="auto"/>
            <w:lang w:eastAsia="sk-SK"/>
          </w:rPr>
          <w:tab/>
        </w:r>
        <w:r w:rsidR="00552C02" w:rsidRPr="0026496A">
          <w:rPr>
            <w:rStyle w:val="Hypertextovprepojenie"/>
            <w:noProof/>
          </w:rPr>
          <w:t>Sieť vymedzených úsekov ciest v Poľsku [41]</w:t>
        </w:r>
        <w:r w:rsidR="00552C02">
          <w:rPr>
            <w:noProof/>
            <w:webHidden/>
          </w:rPr>
          <w:tab/>
        </w:r>
        <w:r w:rsidR="00552C02">
          <w:rPr>
            <w:noProof/>
            <w:webHidden/>
          </w:rPr>
          <w:fldChar w:fldCharType="begin"/>
        </w:r>
        <w:r w:rsidR="00552C02">
          <w:rPr>
            <w:noProof/>
            <w:webHidden/>
          </w:rPr>
          <w:instrText xml:space="preserve"> PAGEREF _Toc36664509 \h </w:instrText>
        </w:r>
        <w:r w:rsidR="00552C02">
          <w:rPr>
            <w:noProof/>
            <w:webHidden/>
          </w:rPr>
        </w:r>
        <w:r w:rsidR="00552C02">
          <w:rPr>
            <w:noProof/>
            <w:webHidden/>
          </w:rPr>
          <w:fldChar w:fldCharType="separate"/>
        </w:r>
        <w:r w:rsidR="00552C02">
          <w:rPr>
            <w:noProof/>
            <w:webHidden/>
          </w:rPr>
          <w:t>41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0" w:history="1">
        <w:r w:rsidR="00552C02" w:rsidRPr="0026496A">
          <w:rPr>
            <w:rStyle w:val="Hypertextovprepojenie"/>
            <w:noProof/>
          </w:rPr>
          <w:t>Obr. 2</w:t>
        </w:r>
        <w:r w:rsidR="00552C02" w:rsidRPr="0026496A">
          <w:rPr>
            <w:rStyle w:val="Hypertextovprepojenie"/>
            <w:noProof/>
          </w:rPr>
          <w:noBreakHyphen/>
          <w:t>1</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Ročná dĺžka spoplatnenej siete systémov ETC</w:t>
        </w:r>
        <w:r w:rsidR="00552C02">
          <w:rPr>
            <w:noProof/>
            <w:webHidden/>
          </w:rPr>
          <w:tab/>
        </w:r>
        <w:r w:rsidR="00552C02">
          <w:rPr>
            <w:noProof/>
            <w:webHidden/>
          </w:rPr>
          <w:fldChar w:fldCharType="begin"/>
        </w:r>
        <w:r w:rsidR="00552C02">
          <w:rPr>
            <w:noProof/>
            <w:webHidden/>
          </w:rPr>
          <w:instrText xml:space="preserve"> PAGEREF _Toc36664510 \h </w:instrText>
        </w:r>
        <w:r w:rsidR="00552C02">
          <w:rPr>
            <w:noProof/>
            <w:webHidden/>
          </w:rPr>
        </w:r>
        <w:r w:rsidR="00552C02">
          <w:rPr>
            <w:noProof/>
            <w:webHidden/>
          </w:rPr>
          <w:fldChar w:fldCharType="separate"/>
        </w:r>
        <w:r w:rsidR="00552C02">
          <w:rPr>
            <w:noProof/>
            <w:webHidden/>
          </w:rPr>
          <w:t>55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1" w:history="1">
        <w:r w:rsidR="00552C02" w:rsidRPr="0026496A">
          <w:rPr>
            <w:rStyle w:val="Hypertextovprepojenie"/>
            <w:noProof/>
          </w:rPr>
          <w:t>Obr. 2</w:t>
        </w:r>
        <w:r w:rsidR="00552C02" w:rsidRPr="0026496A">
          <w:rPr>
            <w:rStyle w:val="Hypertextovprepojenie"/>
            <w:noProof/>
          </w:rPr>
          <w:noBreakHyphen/>
          <w:t>2</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Priemerná ročná dĺžka spoplatnenej siete systémov ETC</w:t>
        </w:r>
        <w:r w:rsidR="00552C02">
          <w:rPr>
            <w:noProof/>
            <w:webHidden/>
          </w:rPr>
          <w:tab/>
        </w:r>
        <w:r w:rsidR="00552C02">
          <w:rPr>
            <w:noProof/>
            <w:webHidden/>
          </w:rPr>
          <w:fldChar w:fldCharType="begin"/>
        </w:r>
        <w:r w:rsidR="00552C02">
          <w:rPr>
            <w:noProof/>
            <w:webHidden/>
          </w:rPr>
          <w:instrText xml:space="preserve"> PAGEREF _Toc36664511 \h </w:instrText>
        </w:r>
        <w:r w:rsidR="00552C02">
          <w:rPr>
            <w:noProof/>
            <w:webHidden/>
          </w:rPr>
        </w:r>
        <w:r w:rsidR="00552C02">
          <w:rPr>
            <w:noProof/>
            <w:webHidden/>
          </w:rPr>
          <w:fldChar w:fldCharType="separate"/>
        </w:r>
        <w:r w:rsidR="00552C02">
          <w:rPr>
            <w:noProof/>
            <w:webHidden/>
          </w:rPr>
          <w:t>56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2" w:history="1">
        <w:r w:rsidR="00552C02" w:rsidRPr="0026496A">
          <w:rPr>
            <w:rStyle w:val="Hypertextovprepojenie"/>
            <w:noProof/>
          </w:rPr>
          <w:t>Obr. 2</w:t>
        </w:r>
        <w:r w:rsidR="00552C02" w:rsidRPr="0026496A">
          <w:rPr>
            <w:rStyle w:val="Hypertextovprepojenie"/>
            <w:noProof/>
          </w:rPr>
          <w:noBreakHyphen/>
          <w:t>3</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Priemerná denná intenzita v prevádzkových rokoch systémov ETC (základný scenár: 1. -  9. rok)</w:t>
        </w:r>
        <w:r w:rsidR="00552C02">
          <w:rPr>
            <w:noProof/>
            <w:webHidden/>
          </w:rPr>
          <w:tab/>
        </w:r>
        <w:r w:rsidR="00552C02">
          <w:rPr>
            <w:noProof/>
            <w:webHidden/>
          </w:rPr>
          <w:fldChar w:fldCharType="begin"/>
        </w:r>
        <w:r w:rsidR="00552C02">
          <w:rPr>
            <w:noProof/>
            <w:webHidden/>
          </w:rPr>
          <w:instrText xml:space="preserve"> PAGEREF _Toc36664512 \h </w:instrText>
        </w:r>
        <w:r w:rsidR="00552C02">
          <w:rPr>
            <w:noProof/>
            <w:webHidden/>
          </w:rPr>
        </w:r>
        <w:r w:rsidR="00552C02">
          <w:rPr>
            <w:noProof/>
            <w:webHidden/>
          </w:rPr>
          <w:fldChar w:fldCharType="separate"/>
        </w:r>
        <w:r w:rsidR="00552C02">
          <w:rPr>
            <w:noProof/>
            <w:webHidden/>
          </w:rPr>
          <w:t>57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3" w:history="1">
        <w:r w:rsidR="00552C02" w:rsidRPr="0026496A">
          <w:rPr>
            <w:rStyle w:val="Hypertextovprepojenie"/>
            <w:noProof/>
          </w:rPr>
          <w:t>Obr. 2</w:t>
        </w:r>
        <w:r w:rsidR="00552C02" w:rsidRPr="0026496A">
          <w:rPr>
            <w:rStyle w:val="Hypertextovprepojenie"/>
            <w:noProof/>
          </w:rPr>
          <w:noBreakHyphen/>
          <w:t>4</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Ročný priemer denných intenzít v SR a zahraničí (základný scenár, subscenár A, subscenár B)</w:t>
        </w:r>
        <w:r w:rsidR="00552C02">
          <w:rPr>
            <w:noProof/>
            <w:webHidden/>
          </w:rPr>
          <w:tab/>
        </w:r>
        <w:r w:rsidR="00552C02">
          <w:rPr>
            <w:noProof/>
            <w:webHidden/>
          </w:rPr>
          <w:fldChar w:fldCharType="begin"/>
        </w:r>
        <w:r w:rsidR="00552C02">
          <w:rPr>
            <w:noProof/>
            <w:webHidden/>
          </w:rPr>
          <w:instrText xml:space="preserve"> PAGEREF _Toc36664513 \h </w:instrText>
        </w:r>
        <w:r w:rsidR="00552C02">
          <w:rPr>
            <w:noProof/>
            <w:webHidden/>
          </w:rPr>
        </w:r>
        <w:r w:rsidR="00552C02">
          <w:rPr>
            <w:noProof/>
            <w:webHidden/>
          </w:rPr>
          <w:fldChar w:fldCharType="separate"/>
        </w:r>
        <w:r w:rsidR="00552C02">
          <w:rPr>
            <w:noProof/>
            <w:webHidden/>
          </w:rPr>
          <w:t>57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4" w:history="1">
        <w:r w:rsidR="00552C02" w:rsidRPr="0026496A">
          <w:rPr>
            <w:rStyle w:val="Hypertextovprepojenie"/>
            <w:noProof/>
          </w:rPr>
          <w:t>Obr. 2</w:t>
        </w:r>
        <w:r w:rsidR="00552C02" w:rsidRPr="0026496A">
          <w:rPr>
            <w:rStyle w:val="Hypertextovprepojenie"/>
            <w:noProof/>
          </w:rPr>
          <w:noBreakHyphen/>
          <w:t>5</w:t>
        </w:r>
        <w:r w:rsidR="00552C02">
          <w:rPr>
            <w:rFonts w:asciiTheme="minorHAnsi" w:eastAsiaTheme="minorEastAsia" w:hAnsiTheme="minorHAnsi" w:cstheme="minorBidi"/>
            <w:noProof/>
            <w:color w:val="auto"/>
            <w:lang w:eastAsia="sk-SK"/>
          </w:rPr>
          <w:tab/>
        </w:r>
        <w:r w:rsidR="00552C02" w:rsidRPr="0026496A">
          <w:rPr>
            <w:rStyle w:val="Hypertextovprepojenie"/>
            <w:noProof/>
          </w:rPr>
          <w:t>Kumulované dopravné výkony v prevádzkových rokoch systémov ETC (základný scenár: 1. -  9. rok)</w:t>
        </w:r>
        <w:r w:rsidR="00552C02">
          <w:rPr>
            <w:noProof/>
            <w:webHidden/>
          </w:rPr>
          <w:tab/>
        </w:r>
        <w:r w:rsidR="00552C02">
          <w:rPr>
            <w:noProof/>
            <w:webHidden/>
          </w:rPr>
          <w:fldChar w:fldCharType="begin"/>
        </w:r>
        <w:r w:rsidR="00552C02">
          <w:rPr>
            <w:noProof/>
            <w:webHidden/>
          </w:rPr>
          <w:instrText xml:space="preserve"> PAGEREF _Toc36664514 \h </w:instrText>
        </w:r>
        <w:r w:rsidR="00552C02">
          <w:rPr>
            <w:noProof/>
            <w:webHidden/>
          </w:rPr>
        </w:r>
        <w:r w:rsidR="00552C02">
          <w:rPr>
            <w:noProof/>
            <w:webHidden/>
          </w:rPr>
          <w:fldChar w:fldCharType="separate"/>
        </w:r>
        <w:r w:rsidR="00552C02">
          <w:rPr>
            <w:noProof/>
            <w:webHidden/>
          </w:rPr>
          <w:t>59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5" w:history="1">
        <w:r w:rsidR="00552C02" w:rsidRPr="0026496A">
          <w:rPr>
            <w:rStyle w:val="Hypertextovprepojenie"/>
            <w:noProof/>
          </w:rPr>
          <w:t>Obr. 2</w:t>
        </w:r>
        <w:r w:rsidR="00552C02" w:rsidRPr="0026496A">
          <w:rPr>
            <w:rStyle w:val="Hypertextovprepojenie"/>
            <w:noProof/>
          </w:rPr>
          <w:noBreakHyphen/>
          <w:t>6</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kumulované dopravné výkony (základný scenár, subscenár A, subscenár B)</w:t>
        </w:r>
        <w:r w:rsidR="00552C02">
          <w:rPr>
            <w:noProof/>
            <w:webHidden/>
          </w:rPr>
          <w:tab/>
        </w:r>
        <w:r w:rsidR="00552C02">
          <w:rPr>
            <w:noProof/>
            <w:webHidden/>
          </w:rPr>
          <w:fldChar w:fldCharType="begin"/>
        </w:r>
        <w:r w:rsidR="00552C02">
          <w:rPr>
            <w:noProof/>
            <w:webHidden/>
          </w:rPr>
          <w:instrText xml:space="preserve"> PAGEREF _Toc36664515 \h </w:instrText>
        </w:r>
        <w:r w:rsidR="00552C02">
          <w:rPr>
            <w:noProof/>
            <w:webHidden/>
          </w:rPr>
        </w:r>
        <w:r w:rsidR="00552C02">
          <w:rPr>
            <w:noProof/>
            <w:webHidden/>
          </w:rPr>
          <w:fldChar w:fldCharType="separate"/>
        </w:r>
        <w:r w:rsidR="00552C02">
          <w:rPr>
            <w:noProof/>
            <w:webHidden/>
          </w:rPr>
          <w:t>59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6" w:history="1">
        <w:r w:rsidR="00552C02" w:rsidRPr="0026496A">
          <w:rPr>
            <w:rStyle w:val="Hypertextovprepojenie"/>
            <w:noProof/>
          </w:rPr>
          <w:t>Obr. 2</w:t>
        </w:r>
        <w:r w:rsidR="00552C02" w:rsidRPr="0026496A">
          <w:rPr>
            <w:rStyle w:val="Hypertextovprepojenie"/>
            <w:noProof/>
          </w:rPr>
          <w:noBreakHyphen/>
          <w:t>7</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Ročné výnosy systémov ETC (základný scenár: 1. -  9. rok)</w:t>
        </w:r>
        <w:r w:rsidR="00552C02">
          <w:rPr>
            <w:noProof/>
            <w:webHidden/>
          </w:rPr>
          <w:tab/>
        </w:r>
        <w:r w:rsidR="00552C02">
          <w:rPr>
            <w:noProof/>
            <w:webHidden/>
          </w:rPr>
          <w:fldChar w:fldCharType="begin"/>
        </w:r>
        <w:r w:rsidR="00552C02">
          <w:rPr>
            <w:noProof/>
            <w:webHidden/>
          </w:rPr>
          <w:instrText xml:space="preserve"> PAGEREF _Toc36664516 \h </w:instrText>
        </w:r>
        <w:r w:rsidR="00552C02">
          <w:rPr>
            <w:noProof/>
            <w:webHidden/>
          </w:rPr>
        </w:r>
        <w:r w:rsidR="00552C02">
          <w:rPr>
            <w:noProof/>
            <w:webHidden/>
          </w:rPr>
          <w:fldChar w:fldCharType="separate"/>
        </w:r>
        <w:r w:rsidR="00552C02">
          <w:rPr>
            <w:noProof/>
            <w:webHidden/>
          </w:rPr>
          <w:t>61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7" w:history="1">
        <w:r w:rsidR="00552C02" w:rsidRPr="0026496A">
          <w:rPr>
            <w:rStyle w:val="Hypertextovprepojenie"/>
            <w:noProof/>
          </w:rPr>
          <w:t>Obr. 2</w:t>
        </w:r>
        <w:r w:rsidR="00552C02" w:rsidRPr="0026496A">
          <w:rPr>
            <w:rStyle w:val="Hypertextovprepojenie"/>
            <w:noProof/>
          </w:rPr>
          <w:noBreakHyphen/>
          <w:t>8</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výnosy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_Toc36664517 \h </w:instrText>
        </w:r>
        <w:r w:rsidR="00552C02">
          <w:rPr>
            <w:noProof/>
            <w:webHidden/>
          </w:rPr>
        </w:r>
        <w:r w:rsidR="00552C02">
          <w:rPr>
            <w:noProof/>
            <w:webHidden/>
          </w:rPr>
          <w:fldChar w:fldCharType="separate"/>
        </w:r>
        <w:r w:rsidR="00552C02">
          <w:rPr>
            <w:noProof/>
            <w:webHidden/>
          </w:rPr>
          <w:t>61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8" w:history="1">
        <w:r w:rsidR="00552C02" w:rsidRPr="0026496A">
          <w:rPr>
            <w:rStyle w:val="Hypertextovprepojenie"/>
            <w:noProof/>
          </w:rPr>
          <w:t>Obr. 2</w:t>
        </w:r>
        <w:r w:rsidR="00552C02" w:rsidRPr="0026496A">
          <w:rPr>
            <w:rStyle w:val="Hypertextovprepojenie"/>
            <w:noProof/>
          </w:rPr>
          <w:noBreakHyphen/>
          <w:t>9</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Ročné výnosy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_Toc36664518 \h </w:instrText>
        </w:r>
        <w:r w:rsidR="00552C02">
          <w:rPr>
            <w:noProof/>
            <w:webHidden/>
          </w:rPr>
        </w:r>
        <w:r w:rsidR="00552C02">
          <w:rPr>
            <w:noProof/>
            <w:webHidden/>
          </w:rPr>
          <w:fldChar w:fldCharType="separate"/>
        </w:r>
        <w:r w:rsidR="00552C02">
          <w:rPr>
            <w:noProof/>
            <w:webHidden/>
          </w:rPr>
          <w:t>63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19" w:history="1">
        <w:r w:rsidR="00552C02" w:rsidRPr="0026496A">
          <w:rPr>
            <w:rStyle w:val="Hypertextovprepojenie"/>
            <w:noProof/>
          </w:rPr>
          <w:t>Obr. 2</w:t>
        </w:r>
        <w:r w:rsidR="00552C02" w:rsidRPr="0026496A">
          <w:rPr>
            <w:rStyle w:val="Hypertextovprepojenie"/>
            <w:noProof/>
          </w:rPr>
          <w:noBreakHyphen/>
          <w:t>10</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náklady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_Toc36664519 \h </w:instrText>
        </w:r>
        <w:r w:rsidR="00552C02">
          <w:rPr>
            <w:noProof/>
            <w:webHidden/>
          </w:rPr>
        </w:r>
        <w:r w:rsidR="00552C02">
          <w:rPr>
            <w:noProof/>
            <w:webHidden/>
          </w:rPr>
          <w:fldChar w:fldCharType="separate"/>
        </w:r>
        <w:r w:rsidR="00552C02">
          <w:rPr>
            <w:noProof/>
            <w:webHidden/>
          </w:rPr>
          <w:t>63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0" w:history="1">
        <w:r w:rsidR="00552C02" w:rsidRPr="0026496A">
          <w:rPr>
            <w:rStyle w:val="Hypertextovprepojenie"/>
            <w:noProof/>
          </w:rPr>
          <w:t>Obr. 2</w:t>
        </w:r>
        <w:r w:rsidR="00552C02" w:rsidRPr="0026496A">
          <w:rPr>
            <w:rStyle w:val="Hypertextovprepojenie"/>
            <w:noProof/>
          </w:rPr>
          <w:noBreakHyphen/>
          <w:t>11</w:t>
        </w:r>
        <w:r w:rsidR="00552C02">
          <w:rPr>
            <w:rFonts w:asciiTheme="minorHAnsi" w:eastAsiaTheme="minorEastAsia" w:hAnsiTheme="minorHAnsi" w:cstheme="minorBidi"/>
            <w:noProof/>
            <w:color w:val="auto"/>
            <w:lang w:eastAsia="sk-SK"/>
          </w:rPr>
          <w:tab/>
        </w:r>
        <w:r w:rsidR="00552C02" w:rsidRPr="0026496A">
          <w:rPr>
            <w:rStyle w:val="Hypertextovprepojenie"/>
            <w:noProof/>
          </w:rPr>
          <w:t>Nákladová výnosnosť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_Toc36664520 \h </w:instrText>
        </w:r>
        <w:r w:rsidR="00552C02">
          <w:rPr>
            <w:noProof/>
            <w:webHidden/>
          </w:rPr>
        </w:r>
        <w:r w:rsidR="00552C02">
          <w:rPr>
            <w:noProof/>
            <w:webHidden/>
          </w:rPr>
          <w:fldChar w:fldCharType="separate"/>
        </w:r>
        <w:r w:rsidR="00552C02">
          <w:rPr>
            <w:noProof/>
            <w:webHidden/>
          </w:rPr>
          <w:t>65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1" w:history="1">
        <w:r w:rsidR="00552C02" w:rsidRPr="0026496A">
          <w:rPr>
            <w:rStyle w:val="Hypertextovprepojenie"/>
            <w:noProof/>
          </w:rPr>
          <w:t>Obr. 2</w:t>
        </w:r>
        <w:r w:rsidR="00552C02" w:rsidRPr="0026496A">
          <w:rPr>
            <w:rStyle w:val="Hypertextovprepojenie"/>
            <w:noProof/>
          </w:rPr>
          <w:noBreakHyphen/>
          <w:t>12</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Priemerná ročná nákladová výnosnosť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_Toc36664521 \h </w:instrText>
        </w:r>
        <w:r w:rsidR="00552C02">
          <w:rPr>
            <w:noProof/>
            <w:webHidden/>
          </w:rPr>
        </w:r>
        <w:r w:rsidR="00552C02">
          <w:rPr>
            <w:noProof/>
            <w:webHidden/>
          </w:rPr>
          <w:fldChar w:fldCharType="separate"/>
        </w:r>
        <w:r w:rsidR="00552C02">
          <w:rPr>
            <w:noProof/>
            <w:webHidden/>
          </w:rPr>
          <w:t>65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2" w:history="1">
        <w:r w:rsidR="00552C02" w:rsidRPr="0026496A">
          <w:rPr>
            <w:rStyle w:val="Hypertextovprepojenie"/>
            <w:noProof/>
          </w:rPr>
          <w:t>Obr. 2</w:t>
        </w:r>
        <w:r w:rsidR="00552C02" w:rsidRPr="0026496A">
          <w:rPr>
            <w:rStyle w:val="Hypertextovprepojenie"/>
            <w:noProof/>
          </w:rPr>
          <w:noBreakHyphen/>
          <w:t>13</w:t>
        </w:r>
        <w:r w:rsidR="00552C02">
          <w:rPr>
            <w:rFonts w:asciiTheme="minorHAnsi" w:eastAsiaTheme="minorEastAsia" w:hAnsiTheme="minorHAnsi" w:cstheme="minorBidi"/>
            <w:noProof/>
            <w:color w:val="auto"/>
            <w:lang w:eastAsia="sk-SK"/>
          </w:rPr>
          <w:tab/>
        </w:r>
        <w:r w:rsidR="00552C02" w:rsidRPr="0026496A">
          <w:rPr>
            <w:rStyle w:val="Hypertextovprepojenie"/>
            <w:noProof/>
          </w:rPr>
          <w:t>Nákladová efektívnosť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_Toc36664522 \h </w:instrText>
        </w:r>
        <w:r w:rsidR="00552C02">
          <w:rPr>
            <w:noProof/>
            <w:webHidden/>
          </w:rPr>
        </w:r>
        <w:r w:rsidR="00552C02">
          <w:rPr>
            <w:noProof/>
            <w:webHidden/>
          </w:rPr>
          <w:fldChar w:fldCharType="separate"/>
        </w:r>
        <w:r w:rsidR="00552C02">
          <w:rPr>
            <w:noProof/>
            <w:webHidden/>
          </w:rPr>
          <w:t>67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3" w:history="1">
        <w:r w:rsidR="00552C02" w:rsidRPr="0026496A">
          <w:rPr>
            <w:rStyle w:val="Hypertextovprepojenie"/>
            <w:noProof/>
          </w:rPr>
          <w:t>Obr. 2</w:t>
        </w:r>
        <w:r w:rsidR="00552C02" w:rsidRPr="0026496A">
          <w:rPr>
            <w:rStyle w:val="Hypertextovprepojenie"/>
            <w:noProof/>
          </w:rPr>
          <w:noBreakHyphen/>
          <w:t>14</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Priemerná ročná nákladová efektívnosť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_Toc36664523 \h </w:instrText>
        </w:r>
        <w:r w:rsidR="00552C02">
          <w:rPr>
            <w:noProof/>
            <w:webHidden/>
          </w:rPr>
        </w:r>
        <w:r w:rsidR="00552C02">
          <w:rPr>
            <w:noProof/>
            <w:webHidden/>
          </w:rPr>
          <w:fldChar w:fldCharType="separate"/>
        </w:r>
        <w:r w:rsidR="00552C02">
          <w:rPr>
            <w:noProof/>
            <w:webHidden/>
          </w:rPr>
          <w:t>67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4" w:history="1">
        <w:r w:rsidR="00552C02" w:rsidRPr="0026496A">
          <w:rPr>
            <w:rStyle w:val="Hypertextovprepojenie"/>
            <w:noProof/>
          </w:rPr>
          <w:t>Obr. 2</w:t>
        </w:r>
        <w:r w:rsidR="00552C02" w:rsidRPr="0026496A">
          <w:rPr>
            <w:rStyle w:val="Hypertextovprepojenie"/>
            <w:noProof/>
          </w:rPr>
          <w:noBreakHyphen/>
          <w:t>15</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Ročné kilometrické výnosy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_Toc36664524 \h </w:instrText>
        </w:r>
        <w:r w:rsidR="00552C02">
          <w:rPr>
            <w:noProof/>
            <w:webHidden/>
          </w:rPr>
        </w:r>
        <w:r w:rsidR="00552C02">
          <w:rPr>
            <w:noProof/>
            <w:webHidden/>
          </w:rPr>
          <w:fldChar w:fldCharType="separate"/>
        </w:r>
        <w:r w:rsidR="00552C02">
          <w:rPr>
            <w:noProof/>
            <w:webHidden/>
          </w:rPr>
          <w:t>70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5" w:history="1">
        <w:r w:rsidR="00552C02" w:rsidRPr="0026496A">
          <w:rPr>
            <w:rStyle w:val="Hypertextovprepojenie"/>
            <w:noProof/>
          </w:rPr>
          <w:t>Obr. 2</w:t>
        </w:r>
        <w:r w:rsidR="00552C02" w:rsidRPr="0026496A">
          <w:rPr>
            <w:rStyle w:val="Hypertextovprepojenie"/>
            <w:noProof/>
          </w:rPr>
          <w:noBreakHyphen/>
          <w:t>16</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kilometrické výnosy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_Toc36664525 \h </w:instrText>
        </w:r>
        <w:r w:rsidR="00552C02">
          <w:rPr>
            <w:noProof/>
            <w:webHidden/>
          </w:rPr>
        </w:r>
        <w:r w:rsidR="00552C02">
          <w:rPr>
            <w:noProof/>
            <w:webHidden/>
          </w:rPr>
          <w:fldChar w:fldCharType="separate"/>
        </w:r>
        <w:r w:rsidR="00552C02">
          <w:rPr>
            <w:noProof/>
            <w:webHidden/>
          </w:rPr>
          <w:t>70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6" w:history="1">
        <w:r w:rsidR="00552C02" w:rsidRPr="0026496A">
          <w:rPr>
            <w:rStyle w:val="Hypertextovprepojenie"/>
            <w:noProof/>
          </w:rPr>
          <w:t>Obr. 2</w:t>
        </w:r>
        <w:r w:rsidR="00552C02" w:rsidRPr="0026496A">
          <w:rPr>
            <w:rStyle w:val="Hypertextovprepojenie"/>
            <w:noProof/>
          </w:rPr>
          <w:noBreakHyphen/>
          <w:t>17</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Ročné vozokilometrické výnosy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_Toc36664526 \h </w:instrText>
        </w:r>
        <w:r w:rsidR="00552C02">
          <w:rPr>
            <w:noProof/>
            <w:webHidden/>
          </w:rPr>
        </w:r>
        <w:r w:rsidR="00552C02">
          <w:rPr>
            <w:noProof/>
            <w:webHidden/>
          </w:rPr>
          <w:fldChar w:fldCharType="separate"/>
        </w:r>
        <w:r w:rsidR="00552C02">
          <w:rPr>
            <w:noProof/>
            <w:webHidden/>
          </w:rPr>
          <w:t>72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7" w:history="1">
        <w:r w:rsidR="00552C02" w:rsidRPr="0026496A">
          <w:rPr>
            <w:rStyle w:val="Hypertextovprepojenie"/>
            <w:noProof/>
          </w:rPr>
          <w:t>Obr. 2</w:t>
        </w:r>
        <w:r w:rsidR="00552C02" w:rsidRPr="0026496A">
          <w:rPr>
            <w:rStyle w:val="Hypertextovprepojenie"/>
            <w:noProof/>
          </w:rPr>
          <w:noBreakHyphen/>
          <w:t>18</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vozokilometrické výnosy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_Toc36664527 \h </w:instrText>
        </w:r>
        <w:r w:rsidR="00552C02">
          <w:rPr>
            <w:noProof/>
            <w:webHidden/>
          </w:rPr>
        </w:r>
        <w:r w:rsidR="00552C02">
          <w:rPr>
            <w:noProof/>
            <w:webHidden/>
          </w:rPr>
          <w:fldChar w:fldCharType="separate"/>
        </w:r>
        <w:r w:rsidR="00552C02">
          <w:rPr>
            <w:noProof/>
            <w:webHidden/>
          </w:rPr>
          <w:t>72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8" w:history="1">
        <w:r w:rsidR="00552C02" w:rsidRPr="0026496A">
          <w:rPr>
            <w:rStyle w:val="Hypertextovprepojenie"/>
            <w:noProof/>
          </w:rPr>
          <w:t>Obr. 2</w:t>
        </w:r>
        <w:r w:rsidR="00552C02" w:rsidRPr="0026496A">
          <w:rPr>
            <w:rStyle w:val="Hypertextovprepojenie"/>
            <w:noProof/>
          </w:rPr>
          <w:noBreakHyphen/>
          <w:t>19</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Ročné kilometrické náklady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_Toc36664528 \h </w:instrText>
        </w:r>
        <w:r w:rsidR="00552C02">
          <w:rPr>
            <w:noProof/>
            <w:webHidden/>
          </w:rPr>
        </w:r>
        <w:r w:rsidR="00552C02">
          <w:rPr>
            <w:noProof/>
            <w:webHidden/>
          </w:rPr>
          <w:fldChar w:fldCharType="separate"/>
        </w:r>
        <w:r w:rsidR="00552C02">
          <w:rPr>
            <w:noProof/>
            <w:webHidden/>
          </w:rPr>
          <w:t>75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29" w:history="1">
        <w:r w:rsidR="00552C02" w:rsidRPr="0026496A">
          <w:rPr>
            <w:rStyle w:val="Hypertextovprepojenie"/>
            <w:noProof/>
          </w:rPr>
          <w:t>Obr. 2</w:t>
        </w:r>
        <w:r w:rsidR="00552C02" w:rsidRPr="0026496A">
          <w:rPr>
            <w:rStyle w:val="Hypertextovprepojenie"/>
            <w:noProof/>
          </w:rPr>
          <w:noBreakHyphen/>
          <w:t>20</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kilometrické náklady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_Toc36664529 \h </w:instrText>
        </w:r>
        <w:r w:rsidR="00552C02">
          <w:rPr>
            <w:noProof/>
            <w:webHidden/>
          </w:rPr>
        </w:r>
        <w:r w:rsidR="00552C02">
          <w:rPr>
            <w:noProof/>
            <w:webHidden/>
          </w:rPr>
          <w:fldChar w:fldCharType="separate"/>
        </w:r>
        <w:r w:rsidR="00552C02">
          <w:rPr>
            <w:noProof/>
            <w:webHidden/>
          </w:rPr>
          <w:t>75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0" w:history="1">
        <w:r w:rsidR="00552C02" w:rsidRPr="0026496A">
          <w:rPr>
            <w:rStyle w:val="Hypertextovprepojenie"/>
            <w:noProof/>
          </w:rPr>
          <w:t>Obr. 2</w:t>
        </w:r>
        <w:r w:rsidR="00552C02" w:rsidRPr="0026496A">
          <w:rPr>
            <w:rStyle w:val="Hypertextovprepojenie"/>
            <w:noProof/>
          </w:rPr>
          <w:noBreakHyphen/>
          <w:t>21</w:t>
        </w:r>
        <w:r w:rsidR="00552C02">
          <w:rPr>
            <w:rFonts w:asciiTheme="minorHAnsi" w:eastAsiaTheme="minorEastAsia" w:hAnsiTheme="minorHAnsi" w:cstheme="minorBidi"/>
            <w:noProof/>
            <w:color w:val="auto"/>
            <w:lang w:eastAsia="sk-SK"/>
          </w:rPr>
          <w:tab/>
        </w:r>
        <w:r w:rsidR="00552C02" w:rsidRPr="0026496A">
          <w:rPr>
            <w:rStyle w:val="Hypertextovprepojenie"/>
            <w:noProof/>
          </w:rPr>
          <w:t>Ročné vozokilometrické náklady systémov ETC v prevádzkových rokoch (základný scenár: 1. -  9. rok)</w:t>
        </w:r>
        <w:r w:rsidR="00552C02">
          <w:rPr>
            <w:noProof/>
            <w:webHidden/>
          </w:rPr>
          <w:tab/>
        </w:r>
        <w:r w:rsidR="00552C02">
          <w:rPr>
            <w:noProof/>
            <w:webHidden/>
          </w:rPr>
          <w:fldChar w:fldCharType="begin"/>
        </w:r>
        <w:r w:rsidR="00552C02">
          <w:rPr>
            <w:noProof/>
            <w:webHidden/>
          </w:rPr>
          <w:instrText xml:space="preserve"> PAGEREF _Toc36664530 \h </w:instrText>
        </w:r>
        <w:r w:rsidR="00552C02">
          <w:rPr>
            <w:noProof/>
            <w:webHidden/>
          </w:rPr>
        </w:r>
        <w:r w:rsidR="00552C02">
          <w:rPr>
            <w:noProof/>
            <w:webHidden/>
          </w:rPr>
          <w:fldChar w:fldCharType="separate"/>
        </w:r>
        <w:r w:rsidR="00552C02">
          <w:rPr>
            <w:noProof/>
            <w:webHidden/>
          </w:rPr>
          <w:t>77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1" w:history="1">
        <w:r w:rsidR="00552C02" w:rsidRPr="0026496A">
          <w:rPr>
            <w:rStyle w:val="Hypertextovprepojenie"/>
            <w:noProof/>
          </w:rPr>
          <w:t>Obr. 2</w:t>
        </w:r>
        <w:r w:rsidR="00552C02" w:rsidRPr="0026496A">
          <w:rPr>
            <w:rStyle w:val="Hypertextovprepojenie"/>
            <w:noProof/>
          </w:rPr>
          <w:noBreakHyphen/>
          <w:t>22</w:t>
        </w:r>
        <w:r w:rsidR="00552C02">
          <w:rPr>
            <w:rFonts w:asciiTheme="minorHAnsi" w:eastAsiaTheme="minorEastAsia" w:hAnsiTheme="minorHAnsi" w:cstheme="minorBidi"/>
            <w:noProof/>
            <w:color w:val="auto"/>
            <w:lang w:eastAsia="sk-SK"/>
          </w:rPr>
          <w:tab/>
        </w:r>
        <w:r w:rsidR="00552C02" w:rsidRPr="0026496A">
          <w:rPr>
            <w:rStyle w:val="Hypertextovprepojenie"/>
            <w:noProof/>
          </w:rPr>
          <w:t>Priemerné ročné vozokilometrické náklady systémov ETC (základný scenár, subscenár A, subscenár B)</w:t>
        </w:r>
        <w:r w:rsidR="00552C02">
          <w:rPr>
            <w:noProof/>
            <w:webHidden/>
          </w:rPr>
          <w:tab/>
        </w:r>
        <w:r w:rsidR="00552C02">
          <w:rPr>
            <w:noProof/>
            <w:webHidden/>
          </w:rPr>
          <w:fldChar w:fldCharType="begin"/>
        </w:r>
        <w:r w:rsidR="00552C02">
          <w:rPr>
            <w:noProof/>
            <w:webHidden/>
          </w:rPr>
          <w:instrText xml:space="preserve"> PAGEREF _Toc36664531 \h </w:instrText>
        </w:r>
        <w:r w:rsidR="00552C02">
          <w:rPr>
            <w:noProof/>
            <w:webHidden/>
          </w:rPr>
        </w:r>
        <w:r w:rsidR="00552C02">
          <w:rPr>
            <w:noProof/>
            <w:webHidden/>
          </w:rPr>
          <w:fldChar w:fldCharType="separate"/>
        </w:r>
        <w:r w:rsidR="00552C02">
          <w:rPr>
            <w:noProof/>
            <w:webHidden/>
          </w:rPr>
          <w:t>77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2" w:history="1">
        <w:r w:rsidR="00552C02" w:rsidRPr="0026496A">
          <w:rPr>
            <w:rStyle w:val="Hypertextovprepojenie"/>
            <w:noProof/>
          </w:rPr>
          <w:t>Obr. 3</w:t>
        </w:r>
        <w:r w:rsidR="00552C02" w:rsidRPr="0026496A">
          <w:rPr>
            <w:rStyle w:val="Hypertextovprepojenie"/>
            <w:noProof/>
          </w:rPr>
          <w:noBreakHyphen/>
          <w:t>1</w:t>
        </w:r>
        <w:r w:rsidR="00552C02">
          <w:rPr>
            <w:rFonts w:asciiTheme="minorHAnsi" w:eastAsiaTheme="minorEastAsia" w:hAnsiTheme="minorHAnsi" w:cstheme="minorBidi"/>
            <w:noProof/>
            <w:color w:val="auto"/>
            <w:lang w:eastAsia="sk-SK"/>
          </w:rPr>
          <w:tab/>
        </w:r>
        <w:r w:rsidR="00552C02" w:rsidRPr="0026496A">
          <w:rPr>
            <w:rStyle w:val="Hypertextovprepojenie"/>
            <w:noProof/>
          </w:rPr>
          <w:t>Prepočítané (2009) tržby z mýta 2010 - 2022 (mil. €)</w:t>
        </w:r>
        <w:r w:rsidR="00552C02">
          <w:rPr>
            <w:noProof/>
            <w:webHidden/>
          </w:rPr>
          <w:tab/>
        </w:r>
        <w:r w:rsidR="00552C02">
          <w:rPr>
            <w:noProof/>
            <w:webHidden/>
          </w:rPr>
          <w:fldChar w:fldCharType="begin"/>
        </w:r>
        <w:r w:rsidR="00552C02">
          <w:rPr>
            <w:noProof/>
            <w:webHidden/>
          </w:rPr>
          <w:instrText xml:space="preserve"> PAGEREF _Toc36664532 \h </w:instrText>
        </w:r>
        <w:r w:rsidR="00552C02">
          <w:rPr>
            <w:noProof/>
            <w:webHidden/>
          </w:rPr>
        </w:r>
        <w:r w:rsidR="00552C02">
          <w:rPr>
            <w:noProof/>
            <w:webHidden/>
          </w:rPr>
          <w:fldChar w:fldCharType="separate"/>
        </w:r>
        <w:r w:rsidR="00552C02">
          <w:rPr>
            <w:noProof/>
            <w:webHidden/>
          </w:rPr>
          <w:t>83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3" w:history="1">
        <w:r w:rsidR="00552C02" w:rsidRPr="0026496A">
          <w:rPr>
            <w:rStyle w:val="Hypertextovprepojenie"/>
            <w:noProof/>
          </w:rPr>
          <w:t>Obr. 3</w:t>
        </w:r>
        <w:r w:rsidR="00552C02" w:rsidRPr="0026496A">
          <w:rPr>
            <w:rStyle w:val="Hypertextovprepojenie"/>
            <w:noProof/>
          </w:rPr>
          <w:noBreakHyphen/>
          <w:t>2</w:t>
        </w:r>
        <w:r w:rsidR="00552C02">
          <w:rPr>
            <w:rFonts w:asciiTheme="minorHAnsi" w:eastAsiaTheme="minorEastAsia" w:hAnsiTheme="minorHAnsi" w:cstheme="minorBidi"/>
            <w:noProof/>
            <w:color w:val="auto"/>
            <w:lang w:eastAsia="sk-SK"/>
          </w:rPr>
          <w:tab/>
        </w:r>
        <w:r w:rsidR="00552C02" w:rsidRPr="0026496A">
          <w:rPr>
            <w:rStyle w:val="Hypertextovprepojenie"/>
            <w:noProof/>
          </w:rPr>
          <w:t>Skutočné tržby z mýta 2010 - 2018 (mil. €)</w:t>
        </w:r>
        <w:r w:rsidR="00552C02">
          <w:rPr>
            <w:noProof/>
            <w:webHidden/>
          </w:rPr>
          <w:tab/>
        </w:r>
        <w:r w:rsidR="00552C02">
          <w:rPr>
            <w:noProof/>
            <w:webHidden/>
          </w:rPr>
          <w:fldChar w:fldCharType="begin"/>
        </w:r>
        <w:r w:rsidR="00552C02">
          <w:rPr>
            <w:noProof/>
            <w:webHidden/>
          </w:rPr>
          <w:instrText xml:space="preserve"> PAGEREF _Toc36664533 \h </w:instrText>
        </w:r>
        <w:r w:rsidR="00552C02">
          <w:rPr>
            <w:noProof/>
            <w:webHidden/>
          </w:rPr>
        </w:r>
        <w:r w:rsidR="00552C02">
          <w:rPr>
            <w:noProof/>
            <w:webHidden/>
          </w:rPr>
          <w:fldChar w:fldCharType="separate"/>
        </w:r>
        <w:r w:rsidR="00552C02">
          <w:rPr>
            <w:noProof/>
            <w:webHidden/>
          </w:rPr>
          <w:t>83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4" w:history="1">
        <w:r w:rsidR="00552C02" w:rsidRPr="0026496A">
          <w:rPr>
            <w:rStyle w:val="Hypertextovprepojenie"/>
            <w:noProof/>
          </w:rPr>
          <w:t>Obr. 3</w:t>
        </w:r>
        <w:r w:rsidR="00552C02" w:rsidRPr="0026496A">
          <w:rPr>
            <w:rStyle w:val="Hypertextovprepojenie"/>
            <w:noProof/>
          </w:rPr>
          <w:noBreakHyphen/>
          <w:t>3</w:t>
        </w:r>
        <w:r w:rsidR="00552C02">
          <w:rPr>
            <w:rFonts w:asciiTheme="minorHAnsi" w:eastAsiaTheme="minorEastAsia" w:hAnsiTheme="minorHAnsi" w:cstheme="minorBidi"/>
            <w:noProof/>
            <w:color w:val="auto"/>
            <w:lang w:eastAsia="sk-SK"/>
          </w:rPr>
          <w:tab/>
        </w:r>
        <w:r w:rsidR="00552C02" w:rsidRPr="0026496A">
          <w:rPr>
            <w:rStyle w:val="Hypertextovprepojenie"/>
            <w:noProof/>
          </w:rPr>
          <w:t>Plánovaná (2009, 2011) a skutočná dĺžka siete D a RC počas prevádzky EMS (km)</w:t>
        </w:r>
        <w:r w:rsidR="00552C02">
          <w:rPr>
            <w:noProof/>
            <w:webHidden/>
          </w:rPr>
          <w:tab/>
        </w:r>
        <w:r w:rsidR="00552C02">
          <w:rPr>
            <w:noProof/>
            <w:webHidden/>
          </w:rPr>
          <w:fldChar w:fldCharType="begin"/>
        </w:r>
        <w:r w:rsidR="00552C02">
          <w:rPr>
            <w:noProof/>
            <w:webHidden/>
          </w:rPr>
          <w:instrText xml:space="preserve"> PAGEREF _Toc36664534 \h </w:instrText>
        </w:r>
        <w:r w:rsidR="00552C02">
          <w:rPr>
            <w:noProof/>
            <w:webHidden/>
          </w:rPr>
        </w:r>
        <w:r w:rsidR="00552C02">
          <w:rPr>
            <w:noProof/>
            <w:webHidden/>
          </w:rPr>
          <w:fldChar w:fldCharType="separate"/>
        </w:r>
        <w:r w:rsidR="00552C02">
          <w:rPr>
            <w:noProof/>
            <w:webHidden/>
          </w:rPr>
          <w:t>85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5" w:history="1">
        <w:r w:rsidR="00552C02" w:rsidRPr="0026496A">
          <w:rPr>
            <w:rStyle w:val="Hypertextovprepojenie"/>
            <w:noProof/>
          </w:rPr>
          <w:t>Obr. 3</w:t>
        </w:r>
        <w:r w:rsidR="00552C02" w:rsidRPr="0026496A">
          <w:rPr>
            <w:rStyle w:val="Hypertextovprepojenie"/>
            <w:noProof/>
          </w:rPr>
          <w:noBreakHyphen/>
          <w:t>4</w:t>
        </w:r>
        <w:r w:rsidR="00552C02">
          <w:rPr>
            <w:rFonts w:asciiTheme="minorHAnsi" w:eastAsiaTheme="minorEastAsia" w:hAnsiTheme="minorHAnsi" w:cstheme="minorBidi"/>
            <w:noProof/>
            <w:color w:val="auto"/>
            <w:lang w:eastAsia="sk-SK"/>
          </w:rPr>
          <w:tab/>
        </w:r>
        <w:r w:rsidR="00552C02" w:rsidRPr="0026496A">
          <w:rPr>
            <w:rStyle w:val="Hypertextovprepojenie"/>
            <w:noProof/>
          </w:rPr>
          <w:t>Plánovaná (2009) a skutočná dĺžka spoplatnených úsekov D a RC počas prevádzky EMS (km)</w:t>
        </w:r>
        <w:r w:rsidR="00552C02">
          <w:rPr>
            <w:noProof/>
            <w:webHidden/>
          </w:rPr>
          <w:tab/>
        </w:r>
        <w:r w:rsidR="00552C02">
          <w:rPr>
            <w:noProof/>
            <w:webHidden/>
          </w:rPr>
          <w:fldChar w:fldCharType="begin"/>
        </w:r>
        <w:r w:rsidR="00552C02">
          <w:rPr>
            <w:noProof/>
            <w:webHidden/>
          </w:rPr>
          <w:instrText xml:space="preserve"> PAGEREF _Toc36664535 \h </w:instrText>
        </w:r>
        <w:r w:rsidR="00552C02">
          <w:rPr>
            <w:noProof/>
            <w:webHidden/>
          </w:rPr>
        </w:r>
        <w:r w:rsidR="00552C02">
          <w:rPr>
            <w:noProof/>
            <w:webHidden/>
          </w:rPr>
          <w:fldChar w:fldCharType="separate"/>
        </w:r>
        <w:r w:rsidR="00552C02">
          <w:rPr>
            <w:noProof/>
            <w:webHidden/>
          </w:rPr>
          <w:t>85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6" w:history="1">
        <w:r w:rsidR="00552C02" w:rsidRPr="0026496A">
          <w:rPr>
            <w:rStyle w:val="Hypertextovprepojenie"/>
            <w:noProof/>
          </w:rPr>
          <w:t>Obr. 3</w:t>
        </w:r>
        <w:r w:rsidR="00552C02" w:rsidRPr="0026496A">
          <w:rPr>
            <w:rStyle w:val="Hypertextovprepojenie"/>
            <w:noProof/>
          </w:rPr>
          <w:noBreakHyphen/>
          <w:t>5</w:t>
        </w:r>
        <w:r w:rsidR="00552C02">
          <w:rPr>
            <w:rFonts w:asciiTheme="minorHAnsi" w:eastAsiaTheme="minorEastAsia" w:hAnsiTheme="minorHAnsi" w:cstheme="minorBidi"/>
            <w:noProof/>
            <w:color w:val="auto"/>
            <w:lang w:eastAsia="sk-SK"/>
          </w:rPr>
          <w:tab/>
        </w:r>
        <w:r w:rsidR="00552C02" w:rsidRPr="0026496A">
          <w:rPr>
            <w:rStyle w:val="Hypertextovprepojenie"/>
            <w:noProof/>
          </w:rPr>
          <w:t>Plánovaná (2009) a skutočná dĺžka spoplatnených úsekov ciest I. triedy počas prevádzky EMS (km)</w:t>
        </w:r>
        <w:r w:rsidR="00552C02">
          <w:rPr>
            <w:noProof/>
            <w:webHidden/>
          </w:rPr>
          <w:tab/>
        </w:r>
        <w:r w:rsidR="00552C02">
          <w:rPr>
            <w:noProof/>
            <w:webHidden/>
          </w:rPr>
          <w:fldChar w:fldCharType="begin"/>
        </w:r>
        <w:r w:rsidR="00552C02">
          <w:rPr>
            <w:noProof/>
            <w:webHidden/>
          </w:rPr>
          <w:instrText xml:space="preserve"> PAGEREF _Toc36664536 \h </w:instrText>
        </w:r>
        <w:r w:rsidR="00552C02">
          <w:rPr>
            <w:noProof/>
            <w:webHidden/>
          </w:rPr>
        </w:r>
        <w:r w:rsidR="00552C02">
          <w:rPr>
            <w:noProof/>
            <w:webHidden/>
          </w:rPr>
          <w:fldChar w:fldCharType="separate"/>
        </w:r>
        <w:r w:rsidR="00552C02">
          <w:rPr>
            <w:noProof/>
            <w:webHidden/>
          </w:rPr>
          <w:t>86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7" w:history="1">
        <w:r w:rsidR="00552C02" w:rsidRPr="0026496A">
          <w:rPr>
            <w:rStyle w:val="Hypertextovprepojenie"/>
            <w:noProof/>
          </w:rPr>
          <w:t>Obr. 3</w:t>
        </w:r>
        <w:r w:rsidR="00552C02" w:rsidRPr="0026496A">
          <w:rPr>
            <w:rStyle w:val="Hypertextovprepojenie"/>
            <w:noProof/>
          </w:rPr>
          <w:noBreakHyphen/>
          <w:t>6</w:t>
        </w:r>
        <w:r w:rsidR="00552C02">
          <w:rPr>
            <w:rFonts w:asciiTheme="minorHAnsi" w:eastAsiaTheme="minorEastAsia" w:hAnsiTheme="minorHAnsi" w:cstheme="minorBidi"/>
            <w:noProof/>
            <w:color w:val="auto"/>
            <w:lang w:eastAsia="sk-SK"/>
          </w:rPr>
          <w:tab/>
        </w:r>
        <w:r w:rsidR="00552C02" w:rsidRPr="0026496A">
          <w:rPr>
            <w:rStyle w:val="Hypertextovprepojenie"/>
            <w:noProof/>
          </w:rPr>
          <w:t>Plánovaná (2009) a skutočná celková dĺžka spoplatnených úsekov ciest počas prevádzky EMS (km)</w:t>
        </w:r>
        <w:r w:rsidR="00552C02">
          <w:rPr>
            <w:noProof/>
            <w:webHidden/>
          </w:rPr>
          <w:tab/>
        </w:r>
        <w:r w:rsidR="00552C02">
          <w:rPr>
            <w:noProof/>
            <w:webHidden/>
          </w:rPr>
          <w:fldChar w:fldCharType="begin"/>
        </w:r>
        <w:r w:rsidR="00552C02">
          <w:rPr>
            <w:noProof/>
            <w:webHidden/>
          </w:rPr>
          <w:instrText xml:space="preserve"> PAGEREF _Toc36664537 \h </w:instrText>
        </w:r>
        <w:r w:rsidR="00552C02">
          <w:rPr>
            <w:noProof/>
            <w:webHidden/>
          </w:rPr>
        </w:r>
        <w:r w:rsidR="00552C02">
          <w:rPr>
            <w:noProof/>
            <w:webHidden/>
          </w:rPr>
          <w:fldChar w:fldCharType="separate"/>
        </w:r>
        <w:r w:rsidR="00552C02">
          <w:rPr>
            <w:noProof/>
            <w:webHidden/>
          </w:rPr>
          <w:t>87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8" w:history="1">
        <w:r w:rsidR="00552C02" w:rsidRPr="0026496A">
          <w:rPr>
            <w:rStyle w:val="Hypertextovprepojenie"/>
            <w:noProof/>
          </w:rPr>
          <w:t>Obr. 3</w:t>
        </w:r>
        <w:r w:rsidR="00552C02" w:rsidRPr="0026496A">
          <w:rPr>
            <w:rStyle w:val="Hypertextovprepojenie"/>
            <w:noProof/>
          </w:rPr>
          <w:noBreakHyphen/>
          <w:t>7</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skutočných (2009, 2019) a ekonomických sadzieb mýta v SR -  diaľnice a rýchlostné cesty, nákladné vozidlá s hmotnosťou od 3,5 do 12 ton (€/km)</w:t>
        </w:r>
        <w:r w:rsidR="00552C02">
          <w:rPr>
            <w:noProof/>
            <w:webHidden/>
          </w:rPr>
          <w:tab/>
        </w:r>
        <w:r w:rsidR="00552C02">
          <w:rPr>
            <w:noProof/>
            <w:webHidden/>
          </w:rPr>
          <w:fldChar w:fldCharType="begin"/>
        </w:r>
        <w:r w:rsidR="00552C02">
          <w:rPr>
            <w:noProof/>
            <w:webHidden/>
          </w:rPr>
          <w:instrText xml:space="preserve"> PAGEREF _Toc36664538 \h </w:instrText>
        </w:r>
        <w:r w:rsidR="00552C02">
          <w:rPr>
            <w:noProof/>
            <w:webHidden/>
          </w:rPr>
        </w:r>
        <w:r w:rsidR="00552C02">
          <w:rPr>
            <w:noProof/>
            <w:webHidden/>
          </w:rPr>
          <w:fldChar w:fldCharType="separate"/>
        </w:r>
        <w:r w:rsidR="00552C02">
          <w:rPr>
            <w:noProof/>
            <w:webHidden/>
          </w:rPr>
          <w:t>88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39" w:history="1">
        <w:r w:rsidR="00552C02" w:rsidRPr="0026496A">
          <w:rPr>
            <w:rStyle w:val="Hypertextovprepojenie"/>
            <w:noProof/>
          </w:rPr>
          <w:t>Obr. 3</w:t>
        </w:r>
        <w:r w:rsidR="00552C02" w:rsidRPr="0026496A">
          <w:rPr>
            <w:rStyle w:val="Hypertextovprepojenie"/>
            <w:noProof/>
          </w:rPr>
          <w:noBreakHyphen/>
          <w:t>8</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skutočných (2009, 2019) a ekonomických sadzieb mýta v SR  -  diaľnice a rýchlostné cesty, autobusy s hmotnosťou od 3,5 do 12 ton (€/km)</w:t>
        </w:r>
        <w:r w:rsidR="00552C02">
          <w:rPr>
            <w:noProof/>
            <w:webHidden/>
          </w:rPr>
          <w:tab/>
        </w:r>
        <w:r w:rsidR="00552C02">
          <w:rPr>
            <w:noProof/>
            <w:webHidden/>
          </w:rPr>
          <w:fldChar w:fldCharType="begin"/>
        </w:r>
        <w:r w:rsidR="00552C02">
          <w:rPr>
            <w:noProof/>
            <w:webHidden/>
          </w:rPr>
          <w:instrText xml:space="preserve"> PAGEREF _Toc36664539 \h </w:instrText>
        </w:r>
        <w:r w:rsidR="00552C02">
          <w:rPr>
            <w:noProof/>
            <w:webHidden/>
          </w:rPr>
        </w:r>
        <w:r w:rsidR="00552C02">
          <w:rPr>
            <w:noProof/>
            <w:webHidden/>
          </w:rPr>
          <w:fldChar w:fldCharType="separate"/>
        </w:r>
        <w:r w:rsidR="00552C02">
          <w:rPr>
            <w:noProof/>
            <w:webHidden/>
          </w:rPr>
          <w:t>88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0" w:history="1">
        <w:r w:rsidR="00552C02" w:rsidRPr="0026496A">
          <w:rPr>
            <w:rStyle w:val="Hypertextovprepojenie"/>
            <w:noProof/>
          </w:rPr>
          <w:t>Obr. 3</w:t>
        </w:r>
        <w:r w:rsidR="00552C02" w:rsidRPr="0026496A">
          <w:rPr>
            <w:rStyle w:val="Hypertextovprepojenie"/>
            <w:noProof/>
          </w:rPr>
          <w:noBreakHyphen/>
          <w:t>9</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skutočných (2009, 2019) a ekonomických sadzieb mýta v SR - cesty I. triedy (nesúbežné), nákladné vozidlá s hmotnosťou od 3,5 do 12 ton (€/km)</w:t>
        </w:r>
        <w:r w:rsidR="00552C02">
          <w:rPr>
            <w:noProof/>
            <w:webHidden/>
          </w:rPr>
          <w:tab/>
        </w:r>
        <w:r w:rsidR="00552C02">
          <w:rPr>
            <w:noProof/>
            <w:webHidden/>
          </w:rPr>
          <w:fldChar w:fldCharType="begin"/>
        </w:r>
        <w:r w:rsidR="00552C02">
          <w:rPr>
            <w:noProof/>
            <w:webHidden/>
          </w:rPr>
          <w:instrText xml:space="preserve"> PAGEREF _Toc36664540 \h </w:instrText>
        </w:r>
        <w:r w:rsidR="00552C02">
          <w:rPr>
            <w:noProof/>
            <w:webHidden/>
          </w:rPr>
        </w:r>
        <w:r w:rsidR="00552C02">
          <w:rPr>
            <w:noProof/>
            <w:webHidden/>
          </w:rPr>
          <w:fldChar w:fldCharType="separate"/>
        </w:r>
        <w:r w:rsidR="00552C02">
          <w:rPr>
            <w:noProof/>
            <w:webHidden/>
          </w:rPr>
          <w:t>89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1" w:history="1">
        <w:r w:rsidR="00552C02" w:rsidRPr="0026496A">
          <w:rPr>
            <w:rStyle w:val="Hypertextovprepojenie"/>
            <w:noProof/>
          </w:rPr>
          <w:t>Obr. 3</w:t>
        </w:r>
        <w:r w:rsidR="00552C02" w:rsidRPr="0026496A">
          <w:rPr>
            <w:rStyle w:val="Hypertextovprepojenie"/>
            <w:noProof/>
          </w:rPr>
          <w:noBreakHyphen/>
          <w:t>10</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skutočných (2009, 2019) a ekonomických sadzieb mýta v SR - cesty I. triedy (nesúbežné), autobusy s hmotnosťou od 3,5 do 12 ton (€/km)</w:t>
        </w:r>
        <w:r w:rsidR="00552C02">
          <w:rPr>
            <w:noProof/>
            <w:webHidden/>
          </w:rPr>
          <w:tab/>
        </w:r>
        <w:r w:rsidR="00552C02">
          <w:rPr>
            <w:noProof/>
            <w:webHidden/>
          </w:rPr>
          <w:fldChar w:fldCharType="begin"/>
        </w:r>
        <w:r w:rsidR="00552C02">
          <w:rPr>
            <w:noProof/>
            <w:webHidden/>
          </w:rPr>
          <w:instrText xml:space="preserve"> PAGEREF _Toc36664541 \h </w:instrText>
        </w:r>
        <w:r w:rsidR="00552C02">
          <w:rPr>
            <w:noProof/>
            <w:webHidden/>
          </w:rPr>
        </w:r>
        <w:r w:rsidR="00552C02">
          <w:rPr>
            <w:noProof/>
            <w:webHidden/>
          </w:rPr>
          <w:fldChar w:fldCharType="separate"/>
        </w:r>
        <w:r w:rsidR="00552C02">
          <w:rPr>
            <w:noProof/>
            <w:webHidden/>
          </w:rPr>
          <w:t>89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2" w:history="1">
        <w:r w:rsidR="00552C02" w:rsidRPr="0026496A">
          <w:rPr>
            <w:rStyle w:val="Hypertextovprepojenie"/>
            <w:noProof/>
          </w:rPr>
          <w:t>Obr. 3</w:t>
        </w:r>
        <w:r w:rsidR="00552C02" w:rsidRPr="0026496A">
          <w:rPr>
            <w:rStyle w:val="Hypertextovprepojenie"/>
            <w:noProof/>
          </w:rPr>
          <w:noBreakHyphen/>
          <w:t>11</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mýtnych sadzieb na diaľniciach a rýchlostných cestách v SR v rokoch 2010-2018/EURO IV.</w:t>
        </w:r>
        <w:r w:rsidR="00552C02">
          <w:rPr>
            <w:noProof/>
            <w:webHidden/>
          </w:rPr>
          <w:tab/>
        </w:r>
        <w:r w:rsidR="00552C02">
          <w:rPr>
            <w:noProof/>
            <w:webHidden/>
          </w:rPr>
          <w:fldChar w:fldCharType="begin"/>
        </w:r>
        <w:r w:rsidR="00552C02">
          <w:rPr>
            <w:noProof/>
            <w:webHidden/>
          </w:rPr>
          <w:instrText xml:space="preserve"> PAGEREF _Toc36664542 \h </w:instrText>
        </w:r>
        <w:r w:rsidR="00552C02">
          <w:rPr>
            <w:noProof/>
            <w:webHidden/>
          </w:rPr>
        </w:r>
        <w:r w:rsidR="00552C02">
          <w:rPr>
            <w:noProof/>
            <w:webHidden/>
          </w:rPr>
          <w:fldChar w:fldCharType="separate"/>
        </w:r>
        <w:r w:rsidR="00552C02">
          <w:rPr>
            <w:noProof/>
            <w:webHidden/>
          </w:rPr>
          <w:t>91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3" w:history="1">
        <w:r w:rsidR="00552C02" w:rsidRPr="0026496A">
          <w:rPr>
            <w:rStyle w:val="Hypertextovprepojenie"/>
            <w:noProof/>
          </w:rPr>
          <w:t>Obr. 3</w:t>
        </w:r>
        <w:r w:rsidR="00552C02" w:rsidRPr="0026496A">
          <w:rPr>
            <w:rStyle w:val="Hypertextovprepojenie"/>
            <w:noProof/>
          </w:rPr>
          <w:noBreakHyphen/>
          <w:t>12</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mýtnych sadzieb na cestách I. triedy nesúbežných s diaľnicami a rýchlostnými cestami v SR v rokoch 2010-2018/EURO IV.</w:t>
        </w:r>
        <w:r w:rsidR="00552C02">
          <w:rPr>
            <w:noProof/>
            <w:webHidden/>
          </w:rPr>
          <w:tab/>
        </w:r>
        <w:r w:rsidR="00552C02">
          <w:rPr>
            <w:noProof/>
            <w:webHidden/>
          </w:rPr>
          <w:fldChar w:fldCharType="begin"/>
        </w:r>
        <w:r w:rsidR="00552C02">
          <w:rPr>
            <w:noProof/>
            <w:webHidden/>
          </w:rPr>
          <w:instrText xml:space="preserve"> PAGEREF _Toc36664543 \h </w:instrText>
        </w:r>
        <w:r w:rsidR="00552C02">
          <w:rPr>
            <w:noProof/>
            <w:webHidden/>
          </w:rPr>
        </w:r>
        <w:r w:rsidR="00552C02">
          <w:rPr>
            <w:noProof/>
            <w:webHidden/>
          </w:rPr>
          <w:fldChar w:fldCharType="separate"/>
        </w:r>
        <w:r w:rsidR="00552C02">
          <w:rPr>
            <w:noProof/>
            <w:webHidden/>
          </w:rPr>
          <w:t>91</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4" w:history="1">
        <w:r w:rsidR="00552C02" w:rsidRPr="0026496A">
          <w:rPr>
            <w:rStyle w:val="Hypertextovprepojenie"/>
            <w:noProof/>
          </w:rPr>
          <w:t>Obr. 3</w:t>
        </w:r>
        <w:r w:rsidR="00552C02" w:rsidRPr="0026496A">
          <w:rPr>
            <w:rStyle w:val="Hypertextovprepojenie"/>
            <w:noProof/>
          </w:rPr>
          <w:noBreakHyphen/>
          <w:t>13</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mýtnych sadzieb na diaľniciach a štátnych cestách v Nemecku v rokoch 2010-2018/EURO IV.</w:t>
        </w:r>
        <w:r w:rsidR="00552C02">
          <w:rPr>
            <w:noProof/>
            <w:webHidden/>
          </w:rPr>
          <w:tab/>
        </w:r>
        <w:r w:rsidR="00552C02">
          <w:rPr>
            <w:noProof/>
            <w:webHidden/>
          </w:rPr>
          <w:fldChar w:fldCharType="begin"/>
        </w:r>
        <w:r w:rsidR="00552C02">
          <w:rPr>
            <w:noProof/>
            <w:webHidden/>
          </w:rPr>
          <w:instrText xml:space="preserve"> PAGEREF _Toc36664544 \h </w:instrText>
        </w:r>
        <w:r w:rsidR="00552C02">
          <w:rPr>
            <w:noProof/>
            <w:webHidden/>
          </w:rPr>
        </w:r>
        <w:r w:rsidR="00552C02">
          <w:rPr>
            <w:noProof/>
            <w:webHidden/>
          </w:rPr>
          <w:fldChar w:fldCharType="separate"/>
        </w:r>
        <w:r w:rsidR="00552C02">
          <w:rPr>
            <w:noProof/>
            <w:webHidden/>
          </w:rPr>
          <w:t>92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5" w:history="1">
        <w:r w:rsidR="00552C02" w:rsidRPr="0026496A">
          <w:rPr>
            <w:rStyle w:val="Hypertextovprepojenie"/>
            <w:noProof/>
          </w:rPr>
          <w:t>Obr. 3</w:t>
        </w:r>
        <w:r w:rsidR="00552C02" w:rsidRPr="0026496A">
          <w:rPr>
            <w:rStyle w:val="Hypertextovprepojenie"/>
            <w:noProof/>
          </w:rPr>
          <w:noBreakHyphen/>
          <w:t>14</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sadzieb na cestách v Rakúsku v rokoch 2010-2018/EURO IV.</w:t>
        </w:r>
        <w:r w:rsidR="00552C02">
          <w:rPr>
            <w:noProof/>
            <w:webHidden/>
          </w:rPr>
          <w:tab/>
        </w:r>
        <w:r w:rsidR="00552C02">
          <w:rPr>
            <w:noProof/>
            <w:webHidden/>
          </w:rPr>
          <w:fldChar w:fldCharType="begin"/>
        </w:r>
        <w:r w:rsidR="00552C02">
          <w:rPr>
            <w:noProof/>
            <w:webHidden/>
          </w:rPr>
          <w:instrText xml:space="preserve"> PAGEREF _Toc36664545 \h </w:instrText>
        </w:r>
        <w:r w:rsidR="00552C02">
          <w:rPr>
            <w:noProof/>
            <w:webHidden/>
          </w:rPr>
        </w:r>
        <w:r w:rsidR="00552C02">
          <w:rPr>
            <w:noProof/>
            <w:webHidden/>
          </w:rPr>
          <w:fldChar w:fldCharType="separate"/>
        </w:r>
        <w:r w:rsidR="00552C02">
          <w:rPr>
            <w:noProof/>
            <w:webHidden/>
          </w:rPr>
          <w:t>92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6" w:history="1">
        <w:r w:rsidR="00552C02" w:rsidRPr="0026496A">
          <w:rPr>
            <w:rStyle w:val="Hypertextovprepojenie"/>
            <w:noProof/>
          </w:rPr>
          <w:t>Obr. 3</w:t>
        </w:r>
        <w:r w:rsidR="00552C02" w:rsidRPr="0026496A">
          <w:rPr>
            <w:rStyle w:val="Hypertextovprepojenie"/>
            <w:noProof/>
          </w:rPr>
          <w:noBreakHyphen/>
          <w:t>15</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mýtnych sadzieb na diaľniciach a rýchlostných cestách v ČR v rokoch 2010-2018/EURO IV.</w:t>
        </w:r>
        <w:r w:rsidR="00552C02">
          <w:rPr>
            <w:noProof/>
            <w:webHidden/>
          </w:rPr>
          <w:tab/>
        </w:r>
        <w:r w:rsidR="00552C02">
          <w:rPr>
            <w:noProof/>
            <w:webHidden/>
          </w:rPr>
          <w:fldChar w:fldCharType="begin"/>
        </w:r>
        <w:r w:rsidR="00552C02">
          <w:rPr>
            <w:noProof/>
            <w:webHidden/>
          </w:rPr>
          <w:instrText xml:space="preserve"> PAGEREF _Toc36664546 \h </w:instrText>
        </w:r>
        <w:r w:rsidR="00552C02">
          <w:rPr>
            <w:noProof/>
            <w:webHidden/>
          </w:rPr>
        </w:r>
        <w:r w:rsidR="00552C02">
          <w:rPr>
            <w:noProof/>
            <w:webHidden/>
          </w:rPr>
          <w:fldChar w:fldCharType="separate"/>
        </w:r>
        <w:r w:rsidR="00552C02">
          <w:rPr>
            <w:noProof/>
            <w:webHidden/>
          </w:rPr>
          <w:t>93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7" w:history="1">
        <w:r w:rsidR="00552C02" w:rsidRPr="0026496A">
          <w:rPr>
            <w:rStyle w:val="Hypertextovprepojenie"/>
            <w:noProof/>
          </w:rPr>
          <w:t>Obr. 3</w:t>
        </w:r>
        <w:r w:rsidR="00552C02" w:rsidRPr="0026496A">
          <w:rPr>
            <w:rStyle w:val="Hypertextovprepojenie"/>
            <w:noProof/>
          </w:rPr>
          <w:noBreakHyphen/>
          <w:t>16</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mýtnych sadzieb na cestách I. triedy v ČR v rokoch 2010-2018/EURO IV.</w:t>
        </w:r>
        <w:r w:rsidR="00552C02">
          <w:rPr>
            <w:noProof/>
            <w:webHidden/>
          </w:rPr>
          <w:tab/>
        </w:r>
        <w:r w:rsidR="00552C02">
          <w:rPr>
            <w:noProof/>
            <w:webHidden/>
          </w:rPr>
          <w:fldChar w:fldCharType="begin"/>
        </w:r>
        <w:r w:rsidR="00552C02">
          <w:rPr>
            <w:noProof/>
            <w:webHidden/>
          </w:rPr>
          <w:instrText xml:space="preserve"> PAGEREF _Toc36664547 \h </w:instrText>
        </w:r>
        <w:r w:rsidR="00552C02">
          <w:rPr>
            <w:noProof/>
            <w:webHidden/>
          </w:rPr>
        </w:r>
        <w:r w:rsidR="00552C02">
          <w:rPr>
            <w:noProof/>
            <w:webHidden/>
          </w:rPr>
          <w:fldChar w:fldCharType="separate"/>
        </w:r>
        <w:r w:rsidR="00552C02">
          <w:rPr>
            <w:noProof/>
            <w:webHidden/>
          </w:rPr>
          <w:t>93</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8" w:history="1">
        <w:r w:rsidR="00552C02" w:rsidRPr="0026496A">
          <w:rPr>
            <w:rStyle w:val="Hypertextovprepojenie"/>
            <w:noProof/>
          </w:rPr>
          <w:t>Obr. 3</w:t>
        </w:r>
        <w:r w:rsidR="00552C02" w:rsidRPr="0026496A">
          <w:rPr>
            <w:rStyle w:val="Hypertextovprepojenie"/>
            <w:noProof/>
          </w:rPr>
          <w:noBreakHyphen/>
          <w:t>17</w:t>
        </w:r>
        <w:r w:rsidR="00552C02">
          <w:rPr>
            <w:rFonts w:asciiTheme="minorHAnsi" w:eastAsiaTheme="minorEastAsia" w:hAnsiTheme="minorHAnsi" w:cstheme="minorBidi"/>
            <w:noProof/>
            <w:color w:val="auto"/>
            <w:lang w:eastAsia="sk-SK"/>
          </w:rPr>
          <w:tab/>
        </w:r>
        <w:r w:rsidR="00552C02" w:rsidRPr="0026496A">
          <w:rPr>
            <w:rStyle w:val="Hypertextovprepojenie"/>
            <w:noProof/>
          </w:rPr>
          <w:t>Vývoj sadzieb na diaľniciach a rýchlostných cestách v PL v rokoch 2010-2018/EURO IV.</w:t>
        </w:r>
        <w:r w:rsidR="00552C02">
          <w:rPr>
            <w:noProof/>
            <w:webHidden/>
          </w:rPr>
          <w:tab/>
        </w:r>
        <w:r w:rsidR="00552C02">
          <w:rPr>
            <w:noProof/>
            <w:webHidden/>
          </w:rPr>
          <w:fldChar w:fldCharType="begin"/>
        </w:r>
        <w:r w:rsidR="00552C02">
          <w:rPr>
            <w:noProof/>
            <w:webHidden/>
          </w:rPr>
          <w:instrText xml:space="preserve"> PAGEREF _Toc36664548 \h </w:instrText>
        </w:r>
        <w:r w:rsidR="00552C02">
          <w:rPr>
            <w:noProof/>
            <w:webHidden/>
          </w:rPr>
        </w:r>
        <w:r w:rsidR="00552C02">
          <w:rPr>
            <w:noProof/>
            <w:webHidden/>
          </w:rPr>
          <w:fldChar w:fldCharType="separate"/>
        </w:r>
        <w:r w:rsidR="00552C02">
          <w:rPr>
            <w:noProof/>
            <w:webHidden/>
          </w:rPr>
          <w:t>94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49" w:history="1">
        <w:r w:rsidR="00552C02" w:rsidRPr="0026496A">
          <w:rPr>
            <w:rStyle w:val="Hypertextovprepojenie"/>
            <w:rFonts w:cstheme="minorHAnsi"/>
            <w:noProof/>
          </w:rPr>
          <w:t>Obr. 3</w:t>
        </w:r>
        <w:r w:rsidR="00552C02" w:rsidRPr="0026496A">
          <w:rPr>
            <w:rStyle w:val="Hypertextovprepojenie"/>
            <w:rFonts w:cstheme="minorHAnsi"/>
            <w:noProof/>
          </w:rPr>
          <w:noBreakHyphen/>
          <w:t>18</w:t>
        </w:r>
        <w:r w:rsidR="00552C02">
          <w:rPr>
            <w:rFonts w:asciiTheme="minorHAnsi" w:eastAsiaTheme="minorEastAsia" w:hAnsiTheme="minorHAnsi" w:cstheme="minorBidi"/>
            <w:noProof/>
            <w:color w:val="auto"/>
            <w:lang w:eastAsia="sk-SK"/>
          </w:rPr>
          <w:tab/>
        </w:r>
        <w:r w:rsidR="00552C02" w:rsidRPr="0026496A">
          <w:rPr>
            <w:rStyle w:val="Hypertextovprepojenie"/>
            <w:rFonts w:cstheme="minorHAnsi"/>
            <w:noProof/>
          </w:rPr>
          <w:t>Vývoj sadzieb na štátnych cestách v PL v rokoch 2010-2018/EURO IV.</w:t>
        </w:r>
        <w:r w:rsidR="00552C02">
          <w:rPr>
            <w:noProof/>
            <w:webHidden/>
          </w:rPr>
          <w:tab/>
        </w:r>
        <w:r w:rsidR="00552C02">
          <w:rPr>
            <w:noProof/>
            <w:webHidden/>
          </w:rPr>
          <w:fldChar w:fldCharType="begin"/>
        </w:r>
        <w:r w:rsidR="00552C02">
          <w:rPr>
            <w:noProof/>
            <w:webHidden/>
          </w:rPr>
          <w:instrText xml:space="preserve"> PAGEREF _Toc36664549 \h </w:instrText>
        </w:r>
        <w:r w:rsidR="00552C02">
          <w:rPr>
            <w:noProof/>
            <w:webHidden/>
          </w:rPr>
        </w:r>
        <w:r w:rsidR="00552C02">
          <w:rPr>
            <w:noProof/>
            <w:webHidden/>
          </w:rPr>
          <w:fldChar w:fldCharType="separate"/>
        </w:r>
        <w:r w:rsidR="00552C02">
          <w:rPr>
            <w:noProof/>
            <w:webHidden/>
          </w:rPr>
          <w:t>94</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0" w:history="1">
        <w:r w:rsidR="00552C02" w:rsidRPr="0026496A">
          <w:rPr>
            <w:rStyle w:val="Hypertextovprepojenie"/>
            <w:noProof/>
          </w:rPr>
          <w:t>Obr. 3</w:t>
        </w:r>
        <w:r w:rsidR="00552C02" w:rsidRPr="0026496A">
          <w:rPr>
            <w:rStyle w:val="Hypertextovprepojenie"/>
            <w:noProof/>
          </w:rPr>
          <w:noBreakHyphen/>
          <w:t xml:space="preserve">19 </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sadzieb štátov na diaľniciach a RC pre jednotlivé kategórie vozidiel/EURO IV.</w:t>
        </w:r>
        <w:r w:rsidR="00552C02">
          <w:rPr>
            <w:noProof/>
            <w:webHidden/>
          </w:rPr>
          <w:tab/>
        </w:r>
        <w:r w:rsidR="00552C02">
          <w:rPr>
            <w:noProof/>
            <w:webHidden/>
          </w:rPr>
          <w:fldChar w:fldCharType="begin"/>
        </w:r>
        <w:r w:rsidR="00552C02">
          <w:rPr>
            <w:noProof/>
            <w:webHidden/>
          </w:rPr>
          <w:instrText xml:space="preserve"> PAGEREF _Toc36664550 \h </w:instrText>
        </w:r>
        <w:r w:rsidR="00552C02">
          <w:rPr>
            <w:noProof/>
            <w:webHidden/>
          </w:rPr>
        </w:r>
        <w:r w:rsidR="00552C02">
          <w:rPr>
            <w:noProof/>
            <w:webHidden/>
          </w:rPr>
          <w:fldChar w:fldCharType="separate"/>
        </w:r>
        <w:r w:rsidR="00552C02">
          <w:rPr>
            <w:noProof/>
            <w:webHidden/>
          </w:rPr>
          <w:t>95</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1" w:history="1">
        <w:r w:rsidR="00552C02" w:rsidRPr="0026496A">
          <w:rPr>
            <w:rStyle w:val="Hypertextovprepojenie"/>
            <w:noProof/>
          </w:rPr>
          <w:t>Obr. 3</w:t>
        </w:r>
        <w:r w:rsidR="00552C02" w:rsidRPr="0026496A">
          <w:rPr>
            <w:rStyle w:val="Hypertextovprepojenie"/>
            <w:noProof/>
          </w:rPr>
          <w:noBreakHyphen/>
          <w:t xml:space="preserve">20 </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sadzieb štátov na cestách I. triedy pre jednotlivé kategórie vozidiel/EURO IV.</w:t>
        </w:r>
        <w:r w:rsidR="00552C02">
          <w:rPr>
            <w:noProof/>
            <w:webHidden/>
          </w:rPr>
          <w:tab/>
        </w:r>
        <w:r w:rsidR="00552C02">
          <w:rPr>
            <w:noProof/>
            <w:webHidden/>
          </w:rPr>
          <w:fldChar w:fldCharType="begin"/>
        </w:r>
        <w:r w:rsidR="00552C02">
          <w:rPr>
            <w:noProof/>
            <w:webHidden/>
          </w:rPr>
          <w:instrText xml:space="preserve"> PAGEREF _Toc36664551 \h </w:instrText>
        </w:r>
        <w:r w:rsidR="00552C02">
          <w:rPr>
            <w:noProof/>
            <w:webHidden/>
          </w:rPr>
        </w:r>
        <w:r w:rsidR="00552C02">
          <w:rPr>
            <w:noProof/>
            <w:webHidden/>
          </w:rPr>
          <w:fldChar w:fldCharType="separate"/>
        </w:r>
        <w:r w:rsidR="00552C02">
          <w:rPr>
            <w:noProof/>
            <w:webHidden/>
          </w:rPr>
          <w:t>96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2" w:history="1">
        <w:r w:rsidR="00552C02" w:rsidRPr="0026496A">
          <w:rPr>
            <w:rStyle w:val="Hypertextovprepojenie"/>
            <w:noProof/>
          </w:rPr>
          <w:t>Obr. 3</w:t>
        </w:r>
        <w:r w:rsidR="00552C02" w:rsidRPr="0026496A">
          <w:rPr>
            <w:rStyle w:val="Hypertextovprepojenie"/>
            <w:noProof/>
          </w:rPr>
          <w:noBreakHyphen/>
          <w:t xml:space="preserve">21 </w:t>
        </w:r>
        <w:r w:rsidR="00552C02">
          <w:rPr>
            <w:rFonts w:asciiTheme="minorHAnsi" w:eastAsiaTheme="minorEastAsia" w:hAnsiTheme="minorHAnsi" w:cstheme="minorBidi"/>
            <w:noProof/>
            <w:color w:val="auto"/>
            <w:lang w:eastAsia="sk-SK"/>
          </w:rPr>
          <w:tab/>
        </w:r>
        <w:r w:rsidR="00552C02" w:rsidRPr="0026496A">
          <w:rPr>
            <w:rStyle w:val="Hypertextovprepojenie"/>
            <w:noProof/>
          </w:rPr>
          <w:t>Plánované (2009) a skutočné kumulované dopravné výkony povinných vozidiel na D a RC</w:t>
        </w:r>
        <w:r w:rsidR="00552C02">
          <w:rPr>
            <w:noProof/>
            <w:webHidden/>
          </w:rPr>
          <w:tab/>
        </w:r>
        <w:r w:rsidR="00552C02">
          <w:rPr>
            <w:noProof/>
            <w:webHidden/>
          </w:rPr>
          <w:fldChar w:fldCharType="begin"/>
        </w:r>
        <w:r w:rsidR="00552C02">
          <w:rPr>
            <w:noProof/>
            <w:webHidden/>
          </w:rPr>
          <w:instrText xml:space="preserve"> PAGEREF _Toc36664552 \h </w:instrText>
        </w:r>
        <w:r w:rsidR="00552C02">
          <w:rPr>
            <w:noProof/>
            <w:webHidden/>
          </w:rPr>
        </w:r>
        <w:r w:rsidR="00552C02">
          <w:rPr>
            <w:noProof/>
            <w:webHidden/>
          </w:rPr>
          <w:fldChar w:fldCharType="separate"/>
        </w:r>
        <w:r w:rsidR="00552C02">
          <w:rPr>
            <w:noProof/>
            <w:webHidden/>
          </w:rPr>
          <w:t>98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3" w:history="1">
        <w:r w:rsidR="00552C02" w:rsidRPr="0026496A">
          <w:rPr>
            <w:rStyle w:val="Hypertextovprepojenie"/>
            <w:noProof/>
          </w:rPr>
          <w:t>Obr. 3</w:t>
        </w:r>
        <w:r w:rsidR="00552C02" w:rsidRPr="0026496A">
          <w:rPr>
            <w:rStyle w:val="Hypertextovprepojenie"/>
            <w:noProof/>
          </w:rPr>
          <w:noBreakHyphen/>
          <w:t xml:space="preserve">22 </w:t>
        </w:r>
        <w:r w:rsidR="00552C02">
          <w:rPr>
            <w:rFonts w:asciiTheme="minorHAnsi" w:eastAsiaTheme="minorEastAsia" w:hAnsiTheme="minorHAnsi" w:cstheme="minorBidi"/>
            <w:noProof/>
            <w:color w:val="auto"/>
            <w:lang w:eastAsia="sk-SK"/>
          </w:rPr>
          <w:tab/>
        </w:r>
        <w:r w:rsidR="00552C02" w:rsidRPr="0026496A">
          <w:rPr>
            <w:rStyle w:val="Hypertextovprepojenie"/>
            <w:noProof/>
          </w:rPr>
          <w:t>Plánované (2009) a skutočné  kumulované dopravné výkony povinných vozidiel na cestách I. triedy</w:t>
        </w:r>
        <w:r w:rsidR="00552C02">
          <w:rPr>
            <w:noProof/>
            <w:webHidden/>
          </w:rPr>
          <w:tab/>
        </w:r>
        <w:r w:rsidR="00552C02">
          <w:rPr>
            <w:noProof/>
            <w:webHidden/>
          </w:rPr>
          <w:fldChar w:fldCharType="begin"/>
        </w:r>
        <w:r w:rsidR="00552C02">
          <w:rPr>
            <w:noProof/>
            <w:webHidden/>
          </w:rPr>
          <w:instrText xml:space="preserve"> PAGEREF _Toc36664553 \h </w:instrText>
        </w:r>
        <w:r w:rsidR="00552C02">
          <w:rPr>
            <w:noProof/>
            <w:webHidden/>
          </w:rPr>
        </w:r>
        <w:r w:rsidR="00552C02">
          <w:rPr>
            <w:noProof/>
            <w:webHidden/>
          </w:rPr>
          <w:fldChar w:fldCharType="separate"/>
        </w:r>
        <w:r w:rsidR="00552C02">
          <w:rPr>
            <w:noProof/>
            <w:webHidden/>
          </w:rPr>
          <w:t>98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4" w:history="1">
        <w:r w:rsidR="00552C02" w:rsidRPr="0026496A">
          <w:rPr>
            <w:rStyle w:val="Hypertextovprepojenie"/>
            <w:noProof/>
          </w:rPr>
          <w:t>Obr. 3</w:t>
        </w:r>
        <w:r w:rsidR="00552C02" w:rsidRPr="0026496A">
          <w:rPr>
            <w:rStyle w:val="Hypertextovprepojenie"/>
            <w:noProof/>
          </w:rPr>
          <w:noBreakHyphen/>
          <w:t xml:space="preserve">23 </w:t>
        </w:r>
        <w:r w:rsidR="00552C02">
          <w:rPr>
            <w:rFonts w:asciiTheme="minorHAnsi" w:eastAsiaTheme="minorEastAsia" w:hAnsiTheme="minorHAnsi" w:cstheme="minorBidi"/>
            <w:noProof/>
            <w:color w:val="auto"/>
            <w:lang w:eastAsia="sk-SK"/>
          </w:rPr>
          <w:tab/>
        </w:r>
        <w:r w:rsidR="00552C02" w:rsidRPr="0026496A">
          <w:rPr>
            <w:rStyle w:val="Hypertextovprepojenie"/>
            <w:noProof/>
          </w:rPr>
          <w:t>Porovnanie sadzieb štátov na cestách I. triedy pre jednotlivé kategórie vozidiel/EURO IV.</w:t>
        </w:r>
        <w:r w:rsidR="00552C02">
          <w:rPr>
            <w:noProof/>
            <w:webHidden/>
          </w:rPr>
          <w:tab/>
        </w:r>
        <w:r w:rsidR="00552C02">
          <w:rPr>
            <w:noProof/>
            <w:webHidden/>
          </w:rPr>
          <w:fldChar w:fldCharType="begin"/>
        </w:r>
        <w:r w:rsidR="00552C02">
          <w:rPr>
            <w:noProof/>
            <w:webHidden/>
          </w:rPr>
          <w:instrText xml:space="preserve"> PAGEREF _Toc36664554 \h </w:instrText>
        </w:r>
        <w:r w:rsidR="00552C02">
          <w:rPr>
            <w:noProof/>
            <w:webHidden/>
          </w:rPr>
        </w:r>
        <w:r w:rsidR="00552C02">
          <w:rPr>
            <w:noProof/>
            <w:webHidden/>
          </w:rPr>
          <w:fldChar w:fldCharType="separate"/>
        </w:r>
        <w:r w:rsidR="00552C02">
          <w:rPr>
            <w:noProof/>
            <w:webHidden/>
          </w:rPr>
          <w:t>99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5" w:history="1">
        <w:r w:rsidR="00552C02" w:rsidRPr="0026496A">
          <w:rPr>
            <w:rStyle w:val="Hypertextovprepojenie"/>
            <w:noProof/>
          </w:rPr>
          <w:t>Obr. 4</w:t>
        </w:r>
        <w:r w:rsidR="00552C02" w:rsidRPr="0026496A">
          <w:rPr>
            <w:rStyle w:val="Hypertextovprepojenie"/>
            <w:noProof/>
          </w:rPr>
          <w:noBreakHyphen/>
          <w:t>1</w:t>
        </w:r>
        <w:r w:rsidR="00552C02">
          <w:rPr>
            <w:rFonts w:asciiTheme="minorHAnsi" w:eastAsiaTheme="minorEastAsia" w:hAnsiTheme="minorHAnsi" w:cstheme="minorBidi"/>
            <w:noProof/>
            <w:color w:val="auto"/>
            <w:lang w:eastAsia="sk-SK"/>
          </w:rPr>
          <w:tab/>
        </w:r>
        <w:r w:rsidR="00552C02" w:rsidRPr="0026496A">
          <w:rPr>
            <w:rStyle w:val="Hypertextovprepojenie"/>
            <w:noProof/>
          </w:rPr>
          <w:t>Teoretická výška výnosov systému ETC v SR pri skutočných nákladoch systému (NDS, a.s.) – zahraničný model efektívnosti</w:t>
        </w:r>
        <w:r w:rsidR="00552C02">
          <w:rPr>
            <w:noProof/>
            <w:webHidden/>
          </w:rPr>
          <w:tab/>
        </w:r>
        <w:r w:rsidR="00552C02">
          <w:rPr>
            <w:noProof/>
            <w:webHidden/>
          </w:rPr>
          <w:fldChar w:fldCharType="begin"/>
        </w:r>
        <w:r w:rsidR="00552C02">
          <w:rPr>
            <w:noProof/>
            <w:webHidden/>
          </w:rPr>
          <w:instrText xml:space="preserve"> PAGEREF _Toc36664555 \h </w:instrText>
        </w:r>
        <w:r w:rsidR="00552C02">
          <w:rPr>
            <w:noProof/>
            <w:webHidden/>
          </w:rPr>
        </w:r>
        <w:r w:rsidR="00552C02">
          <w:rPr>
            <w:noProof/>
            <w:webHidden/>
          </w:rPr>
          <w:fldChar w:fldCharType="separate"/>
        </w:r>
        <w:r w:rsidR="00552C02">
          <w:rPr>
            <w:noProof/>
            <w:webHidden/>
          </w:rPr>
          <w:t>109</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6" w:history="1">
        <w:r w:rsidR="00552C02" w:rsidRPr="0026496A">
          <w:rPr>
            <w:rStyle w:val="Hypertextovprepojenie"/>
            <w:noProof/>
          </w:rPr>
          <w:t>Obr. 4</w:t>
        </w:r>
        <w:r w:rsidR="00552C02" w:rsidRPr="0026496A">
          <w:rPr>
            <w:rStyle w:val="Hypertextovprepojenie"/>
            <w:noProof/>
          </w:rPr>
          <w:noBreakHyphen/>
          <w:t xml:space="preserve">2 </w:t>
        </w:r>
        <w:r w:rsidR="00552C02">
          <w:rPr>
            <w:rStyle w:val="Hypertextovprepojenie"/>
            <w:noProof/>
          </w:rPr>
          <w:tab/>
        </w:r>
        <w:r w:rsidR="00552C02" w:rsidRPr="0026496A">
          <w:rPr>
            <w:rStyle w:val="Hypertextovprepojenie"/>
            <w:noProof/>
          </w:rPr>
          <w:t>Priemerná ročná teoretická výška výnosov systému EMS SR pri skutočných nákladoch systému (NDS, a.s.) – zahraničný model efektívnosti</w:t>
        </w:r>
        <w:r w:rsidR="00552C02">
          <w:rPr>
            <w:noProof/>
            <w:webHidden/>
          </w:rPr>
          <w:tab/>
        </w:r>
        <w:r w:rsidR="00552C02">
          <w:rPr>
            <w:noProof/>
            <w:webHidden/>
          </w:rPr>
          <w:fldChar w:fldCharType="begin"/>
        </w:r>
        <w:r w:rsidR="00552C02">
          <w:rPr>
            <w:noProof/>
            <w:webHidden/>
          </w:rPr>
          <w:instrText xml:space="preserve"> PAGEREF _Toc36664556 \h </w:instrText>
        </w:r>
        <w:r w:rsidR="00552C02">
          <w:rPr>
            <w:noProof/>
            <w:webHidden/>
          </w:rPr>
        </w:r>
        <w:r w:rsidR="00552C02">
          <w:rPr>
            <w:noProof/>
            <w:webHidden/>
          </w:rPr>
          <w:fldChar w:fldCharType="separate"/>
        </w:r>
        <w:r w:rsidR="00552C02">
          <w:rPr>
            <w:noProof/>
            <w:webHidden/>
          </w:rPr>
          <w:t>110</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7" w:history="1">
        <w:r w:rsidR="00552C02" w:rsidRPr="0026496A">
          <w:rPr>
            <w:rStyle w:val="Hypertextovprepojenie"/>
            <w:noProof/>
          </w:rPr>
          <w:t>Obr. 4</w:t>
        </w:r>
        <w:r w:rsidR="00552C02" w:rsidRPr="0026496A">
          <w:rPr>
            <w:rStyle w:val="Hypertextovprepojenie"/>
            <w:noProof/>
          </w:rPr>
          <w:noBreakHyphen/>
          <w:t xml:space="preserve">3 </w:t>
        </w:r>
        <w:r w:rsidR="00552C02">
          <w:rPr>
            <w:rStyle w:val="Hypertextovprepojenie"/>
            <w:noProof/>
          </w:rPr>
          <w:tab/>
        </w:r>
        <w:r w:rsidR="00552C02" w:rsidRPr="0026496A">
          <w:rPr>
            <w:rStyle w:val="Hypertextovprepojenie"/>
            <w:noProof/>
          </w:rPr>
          <w:t>Sieť diaľnic a rýchlostných ciest na Slovensku [10]</w:t>
        </w:r>
        <w:r w:rsidR="00552C02">
          <w:rPr>
            <w:noProof/>
            <w:webHidden/>
          </w:rPr>
          <w:tab/>
        </w:r>
        <w:r w:rsidR="00552C02">
          <w:rPr>
            <w:noProof/>
            <w:webHidden/>
          </w:rPr>
          <w:fldChar w:fldCharType="begin"/>
        </w:r>
        <w:r w:rsidR="00552C02">
          <w:rPr>
            <w:noProof/>
            <w:webHidden/>
          </w:rPr>
          <w:instrText xml:space="preserve"> PAGEREF _Toc36664557 \h </w:instrText>
        </w:r>
        <w:r w:rsidR="00552C02">
          <w:rPr>
            <w:noProof/>
            <w:webHidden/>
          </w:rPr>
        </w:r>
        <w:r w:rsidR="00552C02">
          <w:rPr>
            <w:noProof/>
            <w:webHidden/>
          </w:rPr>
          <w:fldChar w:fldCharType="separate"/>
        </w:r>
        <w:r w:rsidR="00552C02">
          <w:rPr>
            <w:noProof/>
            <w:webHidden/>
          </w:rPr>
          <w:t>116</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8" w:history="1">
        <w:r w:rsidR="00552C02" w:rsidRPr="0026496A">
          <w:rPr>
            <w:rStyle w:val="Hypertextovprepojenie"/>
            <w:noProof/>
          </w:rPr>
          <w:t>Obr. 4</w:t>
        </w:r>
        <w:r w:rsidR="00552C02" w:rsidRPr="0026496A">
          <w:rPr>
            <w:rStyle w:val="Hypertextovprepojenie"/>
            <w:noProof/>
          </w:rPr>
          <w:noBreakHyphen/>
          <w:t xml:space="preserve">4 </w:t>
        </w:r>
        <w:r w:rsidR="00552C02">
          <w:rPr>
            <w:rStyle w:val="Hypertextovprepojenie"/>
            <w:noProof/>
          </w:rPr>
          <w:tab/>
        </w:r>
        <w:r w:rsidR="00552C02" w:rsidRPr="0026496A">
          <w:rPr>
            <w:rStyle w:val="Hypertextovprepojenie"/>
            <w:noProof/>
          </w:rPr>
          <w:t>Predpokladaný nárast intenzít vozidiel v jednotlivých krajoch SR v období rokov 2018-2023</w:t>
        </w:r>
        <w:r w:rsidR="00552C02">
          <w:rPr>
            <w:noProof/>
            <w:webHidden/>
          </w:rPr>
          <w:tab/>
        </w:r>
        <w:r w:rsidR="00552C02">
          <w:rPr>
            <w:noProof/>
            <w:webHidden/>
          </w:rPr>
          <w:fldChar w:fldCharType="begin"/>
        </w:r>
        <w:r w:rsidR="00552C02">
          <w:rPr>
            <w:noProof/>
            <w:webHidden/>
          </w:rPr>
          <w:instrText xml:space="preserve"> PAGEREF _Toc36664558 \h </w:instrText>
        </w:r>
        <w:r w:rsidR="00552C02">
          <w:rPr>
            <w:noProof/>
            <w:webHidden/>
          </w:rPr>
        </w:r>
        <w:r w:rsidR="00552C02">
          <w:rPr>
            <w:noProof/>
            <w:webHidden/>
          </w:rPr>
          <w:fldChar w:fldCharType="separate"/>
        </w:r>
        <w:r w:rsidR="00552C02">
          <w:rPr>
            <w:noProof/>
            <w:webHidden/>
          </w:rPr>
          <w:t>117</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59" w:history="1">
        <w:r w:rsidR="00552C02" w:rsidRPr="0026496A">
          <w:rPr>
            <w:rStyle w:val="Hypertextovprepojenie"/>
            <w:noProof/>
          </w:rPr>
          <w:t>Obr. 4</w:t>
        </w:r>
        <w:r w:rsidR="00552C02" w:rsidRPr="0026496A">
          <w:rPr>
            <w:rStyle w:val="Hypertextovprepojenie"/>
            <w:noProof/>
          </w:rPr>
          <w:noBreakHyphen/>
          <w:t xml:space="preserve">5 </w:t>
        </w:r>
        <w:r w:rsidR="00552C02">
          <w:rPr>
            <w:rStyle w:val="Hypertextovprepojenie"/>
            <w:noProof/>
          </w:rPr>
          <w:tab/>
        </w:r>
        <w:r w:rsidR="00552C02" w:rsidRPr="0026496A">
          <w:rPr>
            <w:rStyle w:val="Hypertextovprepojenie"/>
            <w:noProof/>
          </w:rPr>
          <w:t>Prepočítaný rast výnosov na spoplatnených úsekoch  ciest EMS SR  v období rokov 2019 - 2023</w:t>
        </w:r>
        <w:r w:rsidR="00552C02">
          <w:rPr>
            <w:noProof/>
            <w:webHidden/>
          </w:rPr>
          <w:tab/>
        </w:r>
        <w:r w:rsidR="00552C02">
          <w:rPr>
            <w:noProof/>
            <w:webHidden/>
          </w:rPr>
          <w:fldChar w:fldCharType="begin"/>
        </w:r>
        <w:r w:rsidR="00552C02">
          <w:rPr>
            <w:noProof/>
            <w:webHidden/>
          </w:rPr>
          <w:instrText xml:space="preserve"> PAGEREF _Toc36664559 \h </w:instrText>
        </w:r>
        <w:r w:rsidR="00552C02">
          <w:rPr>
            <w:noProof/>
            <w:webHidden/>
          </w:rPr>
        </w:r>
        <w:r w:rsidR="00552C02">
          <w:rPr>
            <w:noProof/>
            <w:webHidden/>
          </w:rPr>
          <w:fldChar w:fldCharType="separate"/>
        </w:r>
        <w:r w:rsidR="00552C02">
          <w:rPr>
            <w:noProof/>
            <w:webHidden/>
          </w:rPr>
          <w:t>118</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60" w:history="1">
        <w:r w:rsidR="00552C02" w:rsidRPr="0026496A">
          <w:rPr>
            <w:rStyle w:val="Hypertextovprepojenie"/>
            <w:noProof/>
          </w:rPr>
          <w:t>Obr. 4</w:t>
        </w:r>
        <w:r w:rsidR="00552C02" w:rsidRPr="0026496A">
          <w:rPr>
            <w:rStyle w:val="Hypertextovprepojenie"/>
            <w:noProof/>
          </w:rPr>
          <w:noBreakHyphen/>
          <w:t xml:space="preserve">6 </w:t>
        </w:r>
        <w:r w:rsidR="00552C02">
          <w:rPr>
            <w:rStyle w:val="Hypertextovprepojenie"/>
            <w:noProof/>
          </w:rPr>
          <w:tab/>
        </w:r>
        <w:r w:rsidR="00552C02" w:rsidRPr="0026496A">
          <w:rPr>
            <w:rStyle w:val="Hypertextovprepojenie"/>
            <w:noProof/>
          </w:rPr>
          <w:t>Porovnanie podielu nákladov na mýto k celkovým nákladom autodopravcov SR a ČR</w:t>
        </w:r>
        <w:r w:rsidR="00552C02">
          <w:rPr>
            <w:noProof/>
            <w:webHidden/>
          </w:rPr>
          <w:tab/>
        </w:r>
        <w:r w:rsidR="00552C02">
          <w:rPr>
            <w:noProof/>
            <w:webHidden/>
          </w:rPr>
          <w:fldChar w:fldCharType="begin"/>
        </w:r>
        <w:r w:rsidR="00552C02">
          <w:rPr>
            <w:noProof/>
            <w:webHidden/>
          </w:rPr>
          <w:instrText xml:space="preserve"> PAGEREF _Toc36664560 \h </w:instrText>
        </w:r>
        <w:r w:rsidR="00552C02">
          <w:rPr>
            <w:noProof/>
            <w:webHidden/>
          </w:rPr>
        </w:r>
        <w:r w:rsidR="00552C02">
          <w:rPr>
            <w:noProof/>
            <w:webHidden/>
          </w:rPr>
          <w:fldChar w:fldCharType="separate"/>
        </w:r>
        <w:r w:rsidR="00552C02">
          <w:rPr>
            <w:noProof/>
            <w:webHidden/>
          </w:rPr>
          <w:t>122</w:t>
        </w:r>
        <w:r w:rsidR="00552C02">
          <w:rPr>
            <w:noProof/>
            <w:webHidden/>
          </w:rPr>
          <w:fldChar w:fldCharType="end"/>
        </w:r>
      </w:hyperlink>
    </w:p>
    <w:p w:rsidR="00552C02" w:rsidRDefault="00C40D3F">
      <w:pPr>
        <w:pStyle w:val="Zoznamobrzkov"/>
        <w:rPr>
          <w:rFonts w:asciiTheme="minorHAnsi" w:eastAsiaTheme="minorEastAsia" w:hAnsiTheme="minorHAnsi" w:cstheme="minorBidi"/>
          <w:noProof/>
          <w:color w:val="auto"/>
          <w:lang w:eastAsia="sk-SK"/>
        </w:rPr>
      </w:pPr>
      <w:hyperlink w:anchor="_Toc36664561" w:history="1">
        <w:r w:rsidR="00552C02" w:rsidRPr="0026496A">
          <w:rPr>
            <w:rStyle w:val="Hypertextovprepojenie"/>
            <w:noProof/>
          </w:rPr>
          <w:t>Obr. 4</w:t>
        </w:r>
        <w:r w:rsidR="00552C02" w:rsidRPr="0026496A">
          <w:rPr>
            <w:rStyle w:val="Hypertextovprepojenie"/>
            <w:noProof/>
          </w:rPr>
          <w:noBreakHyphen/>
          <w:t xml:space="preserve">7 </w:t>
        </w:r>
        <w:r w:rsidR="00552C02">
          <w:rPr>
            <w:rStyle w:val="Hypertextovprepojenie"/>
            <w:noProof/>
          </w:rPr>
          <w:tab/>
        </w:r>
        <w:r w:rsidR="00552C02" w:rsidRPr="0026496A">
          <w:rPr>
            <w:rStyle w:val="Hypertextovprepojenie"/>
            <w:noProof/>
          </w:rPr>
          <w:t>Porovnanie vybraných nákladových položiek na kilometer jazdy slovenskej, českej a poľskej návesovej súpravy</w:t>
        </w:r>
        <w:r w:rsidR="00552C02">
          <w:rPr>
            <w:noProof/>
            <w:webHidden/>
          </w:rPr>
          <w:tab/>
        </w:r>
        <w:r w:rsidR="00552C02">
          <w:rPr>
            <w:noProof/>
            <w:webHidden/>
          </w:rPr>
          <w:fldChar w:fldCharType="begin"/>
        </w:r>
        <w:r w:rsidR="00552C02">
          <w:rPr>
            <w:noProof/>
            <w:webHidden/>
          </w:rPr>
          <w:instrText xml:space="preserve"> PAGEREF _Toc36664561 \h </w:instrText>
        </w:r>
        <w:r w:rsidR="00552C02">
          <w:rPr>
            <w:noProof/>
            <w:webHidden/>
          </w:rPr>
        </w:r>
        <w:r w:rsidR="00552C02">
          <w:rPr>
            <w:noProof/>
            <w:webHidden/>
          </w:rPr>
          <w:fldChar w:fldCharType="separate"/>
        </w:r>
        <w:r w:rsidR="00552C02">
          <w:rPr>
            <w:noProof/>
            <w:webHidden/>
          </w:rPr>
          <w:t>123</w:t>
        </w:r>
        <w:r w:rsidR="00552C02">
          <w:rPr>
            <w:noProof/>
            <w:webHidden/>
          </w:rPr>
          <w:fldChar w:fldCharType="end"/>
        </w:r>
      </w:hyperlink>
    </w:p>
    <w:p w:rsidR="00AD769E" w:rsidRDefault="00AE5B8A" w:rsidP="0025522E">
      <w:pPr>
        <w:pStyle w:val="Normaltext"/>
      </w:pPr>
      <w:r w:rsidRPr="004C1013">
        <w:rPr>
          <w:rFonts w:asciiTheme="minorHAnsi" w:hAnsiTheme="minorHAnsi" w:cstheme="minorHAnsi"/>
        </w:rPr>
        <w:fldChar w:fldCharType="end"/>
      </w:r>
      <w:bookmarkEnd w:id="11"/>
    </w:p>
    <w:p w:rsidR="00CC4E03" w:rsidRDefault="00CC4E03" w:rsidP="00842A7F">
      <w:pPr>
        <w:pStyle w:val="Nadpis8"/>
      </w:pPr>
      <w:bookmarkStart w:id="13" w:name="_Toc99168473"/>
      <w:bookmarkStart w:id="14" w:name="_Toc36664359"/>
      <w:r>
        <w:lastRenderedPageBreak/>
        <w:t>zoznam skratiek</w:t>
      </w:r>
      <w:bookmarkEnd w:id="13"/>
      <w:bookmarkEnd w:id="14"/>
    </w:p>
    <w:tbl>
      <w:tblPr>
        <w:tblW w:w="4881" w:type="pct"/>
        <w:tblInd w:w="108" w:type="dxa"/>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Look w:val="01E0" w:firstRow="1" w:lastRow="1" w:firstColumn="1" w:lastColumn="1" w:noHBand="0" w:noVBand="0"/>
      </w:tblPr>
      <w:tblGrid>
        <w:gridCol w:w="1570"/>
        <w:gridCol w:w="7773"/>
      </w:tblGrid>
      <w:tr w:rsidR="0025522E" w:rsidTr="00183705">
        <w:tc>
          <w:tcPr>
            <w:tcW w:w="840" w:type="pct"/>
            <w:shd w:val="clear" w:color="auto" w:fill="auto"/>
          </w:tcPr>
          <w:p w:rsidR="0025522E" w:rsidRPr="004C1013" w:rsidRDefault="0025522E" w:rsidP="0025522E">
            <w:r w:rsidRPr="004C1013">
              <w:t>ETC</w:t>
            </w:r>
          </w:p>
        </w:tc>
        <w:tc>
          <w:tcPr>
            <w:tcW w:w="4160" w:type="pct"/>
            <w:shd w:val="clear" w:color="auto" w:fill="auto"/>
          </w:tcPr>
          <w:p w:rsidR="0025522E" w:rsidRPr="004C1013" w:rsidRDefault="0025522E" w:rsidP="0025522E">
            <w:r w:rsidRPr="004C1013">
              <w:t>Elektronický výber mýta/Electronic toll collection</w:t>
            </w:r>
          </w:p>
        </w:tc>
      </w:tr>
      <w:tr w:rsidR="0025522E" w:rsidTr="00183705">
        <w:tc>
          <w:tcPr>
            <w:tcW w:w="840" w:type="pct"/>
            <w:shd w:val="clear" w:color="auto" w:fill="auto"/>
          </w:tcPr>
          <w:p w:rsidR="0025522E" w:rsidRPr="004C1013" w:rsidRDefault="0025522E" w:rsidP="0025522E">
            <w:r w:rsidRPr="004C1013">
              <w:t>EMS</w:t>
            </w:r>
          </w:p>
        </w:tc>
        <w:tc>
          <w:tcPr>
            <w:tcW w:w="4160" w:type="pct"/>
            <w:shd w:val="clear" w:color="auto" w:fill="auto"/>
          </w:tcPr>
          <w:p w:rsidR="0025522E" w:rsidRPr="004C1013" w:rsidRDefault="0025522E" w:rsidP="0025522E">
            <w:r w:rsidRPr="004C1013">
              <w:t>Elektronický mýtny systém Slovenskej republiky</w:t>
            </w:r>
          </w:p>
        </w:tc>
      </w:tr>
      <w:tr w:rsidR="0025522E" w:rsidTr="00183705">
        <w:tc>
          <w:tcPr>
            <w:tcW w:w="840" w:type="pct"/>
            <w:shd w:val="clear" w:color="auto" w:fill="auto"/>
          </w:tcPr>
          <w:p w:rsidR="0025522E" w:rsidRPr="004C1013" w:rsidRDefault="0025522E" w:rsidP="0025522E">
            <w:pPr>
              <w:rPr>
                <w:color w:val="29527B"/>
              </w:rPr>
            </w:pPr>
            <w:r w:rsidRPr="004C1013">
              <w:t>ASECAP</w:t>
            </w:r>
          </w:p>
        </w:tc>
        <w:tc>
          <w:tcPr>
            <w:tcW w:w="4160" w:type="pct"/>
            <w:shd w:val="clear" w:color="auto" w:fill="auto"/>
          </w:tcPr>
          <w:p w:rsidR="0025522E" w:rsidRPr="004C1013" w:rsidRDefault="0025522E" w:rsidP="0025522E">
            <w:pPr>
              <w:rPr>
                <w:iCs/>
              </w:rPr>
            </w:pPr>
            <w:r w:rsidRPr="004C1013">
              <w:t>Európska asociácia prevádzkovateľov infraštruktúry podliehajúcej mýtu/ angl. European Association of Operators of Toll Road Infrastructures</w:t>
            </w:r>
          </w:p>
        </w:tc>
      </w:tr>
      <w:tr w:rsidR="0025522E" w:rsidTr="00183705">
        <w:tc>
          <w:tcPr>
            <w:tcW w:w="840" w:type="pct"/>
            <w:shd w:val="clear" w:color="auto" w:fill="auto"/>
          </w:tcPr>
          <w:p w:rsidR="0025522E" w:rsidRPr="004C1013" w:rsidRDefault="0025522E" w:rsidP="0025522E">
            <w:r w:rsidRPr="004C1013">
              <w:t>DSRC</w:t>
            </w:r>
          </w:p>
        </w:tc>
        <w:tc>
          <w:tcPr>
            <w:tcW w:w="4160" w:type="pct"/>
            <w:shd w:val="clear" w:color="auto" w:fill="auto"/>
          </w:tcPr>
          <w:p w:rsidR="0025522E" w:rsidRPr="004C1013" w:rsidRDefault="0025522E" w:rsidP="0025522E">
            <w:r w:rsidRPr="004C1013">
              <w:t>Dedicated Short Range Communication</w:t>
            </w:r>
          </w:p>
        </w:tc>
      </w:tr>
      <w:tr w:rsidR="0025522E" w:rsidTr="00183705">
        <w:tc>
          <w:tcPr>
            <w:tcW w:w="840" w:type="pct"/>
            <w:shd w:val="clear" w:color="auto" w:fill="auto"/>
          </w:tcPr>
          <w:p w:rsidR="0025522E" w:rsidRPr="004C1013" w:rsidRDefault="0025522E" w:rsidP="0025522E">
            <w:r w:rsidRPr="004C1013">
              <w:t>MD</w:t>
            </w:r>
          </w:p>
        </w:tc>
        <w:tc>
          <w:tcPr>
            <w:tcW w:w="4160" w:type="pct"/>
            <w:shd w:val="clear" w:color="auto" w:fill="auto"/>
          </w:tcPr>
          <w:p w:rsidR="0025522E" w:rsidRPr="004C1013" w:rsidRDefault="0025522E" w:rsidP="0025522E">
            <w:r w:rsidRPr="004C1013">
              <w:t>Ministerstvo dopravy</w:t>
            </w:r>
          </w:p>
        </w:tc>
      </w:tr>
      <w:tr w:rsidR="0025522E" w:rsidTr="00183705">
        <w:tc>
          <w:tcPr>
            <w:tcW w:w="840" w:type="pct"/>
            <w:shd w:val="clear" w:color="auto" w:fill="auto"/>
          </w:tcPr>
          <w:p w:rsidR="0025522E" w:rsidRPr="004C1013" w:rsidRDefault="0025522E" w:rsidP="0025522E">
            <w:r w:rsidRPr="004C1013">
              <w:t>ŘSD</w:t>
            </w:r>
          </w:p>
        </w:tc>
        <w:tc>
          <w:tcPr>
            <w:tcW w:w="4160" w:type="pct"/>
            <w:shd w:val="clear" w:color="auto" w:fill="auto"/>
          </w:tcPr>
          <w:p w:rsidR="0025522E" w:rsidRPr="004C1013" w:rsidRDefault="0025522E" w:rsidP="0025522E">
            <w:r w:rsidRPr="004C1013">
              <w:t>Ředitelství silníc a dálníc ČR</w:t>
            </w:r>
          </w:p>
        </w:tc>
      </w:tr>
      <w:tr w:rsidR="0025522E" w:rsidTr="00183705">
        <w:tc>
          <w:tcPr>
            <w:tcW w:w="840" w:type="pct"/>
            <w:shd w:val="clear" w:color="auto" w:fill="auto"/>
          </w:tcPr>
          <w:p w:rsidR="0025522E" w:rsidRPr="004C1013" w:rsidRDefault="0025522E" w:rsidP="0025522E">
            <w:r w:rsidRPr="004C1013">
              <w:t>GDDKiA</w:t>
            </w:r>
          </w:p>
        </w:tc>
        <w:tc>
          <w:tcPr>
            <w:tcW w:w="4160" w:type="pct"/>
            <w:shd w:val="clear" w:color="auto" w:fill="auto"/>
          </w:tcPr>
          <w:p w:rsidR="0025522E" w:rsidRPr="004C1013" w:rsidRDefault="0025522E" w:rsidP="0025522E">
            <w:r w:rsidRPr="004C1013">
              <w:t>Generalna Dyrekcja Dróg Krajowych i Autostrad/  Generálne riaditeľstvo pre národné cesty a diaľnice</w:t>
            </w:r>
          </w:p>
        </w:tc>
      </w:tr>
      <w:tr w:rsidR="0025522E" w:rsidTr="00183705">
        <w:tc>
          <w:tcPr>
            <w:tcW w:w="840" w:type="pct"/>
            <w:shd w:val="clear" w:color="auto" w:fill="auto"/>
          </w:tcPr>
          <w:p w:rsidR="0025522E" w:rsidRPr="004C1013" w:rsidRDefault="0025522E" w:rsidP="0025522E">
            <w:r w:rsidRPr="004C1013">
              <w:t>GPS</w:t>
            </w:r>
          </w:p>
        </w:tc>
        <w:tc>
          <w:tcPr>
            <w:tcW w:w="4160" w:type="pct"/>
            <w:shd w:val="clear" w:color="auto" w:fill="auto"/>
          </w:tcPr>
          <w:p w:rsidR="0025522E" w:rsidRPr="004C1013" w:rsidRDefault="0025522E" w:rsidP="0025522E">
            <w:r w:rsidRPr="004C1013">
              <w:t>Globálny navigačný systém/Global Positioning System</w:t>
            </w:r>
          </w:p>
        </w:tc>
      </w:tr>
      <w:tr w:rsidR="0025522E" w:rsidTr="00183705">
        <w:tc>
          <w:tcPr>
            <w:tcW w:w="840" w:type="pct"/>
            <w:shd w:val="clear" w:color="auto" w:fill="auto"/>
          </w:tcPr>
          <w:p w:rsidR="0025522E" w:rsidRPr="004C1013" w:rsidRDefault="0025522E" w:rsidP="0025522E">
            <w:r w:rsidRPr="004C1013">
              <w:t>NBS</w:t>
            </w:r>
          </w:p>
        </w:tc>
        <w:tc>
          <w:tcPr>
            <w:tcW w:w="4160" w:type="pct"/>
            <w:shd w:val="clear" w:color="auto" w:fill="auto"/>
          </w:tcPr>
          <w:p w:rsidR="0025522E" w:rsidRPr="004C1013" w:rsidRDefault="0025522E" w:rsidP="0025522E">
            <w:r w:rsidRPr="004C1013">
              <w:t>Národná banka Slovenska</w:t>
            </w:r>
          </w:p>
        </w:tc>
      </w:tr>
      <w:tr w:rsidR="0025522E" w:rsidTr="00183705">
        <w:tc>
          <w:tcPr>
            <w:tcW w:w="840" w:type="pct"/>
            <w:shd w:val="clear" w:color="auto" w:fill="auto"/>
          </w:tcPr>
          <w:p w:rsidR="0025522E" w:rsidRPr="004C1013" w:rsidRDefault="0025522E" w:rsidP="0025522E">
            <w:r w:rsidRPr="004C1013">
              <w:t>NKÚ</w:t>
            </w:r>
          </w:p>
        </w:tc>
        <w:tc>
          <w:tcPr>
            <w:tcW w:w="4160" w:type="pct"/>
            <w:shd w:val="clear" w:color="auto" w:fill="auto"/>
          </w:tcPr>
          <w:p w:rsidR="0025522E" w:rsidRPr="004C1013" w:rsidRDefault="0025522E" w:rsidP="0025522E">
            <w:r w:rsidRPr="004C1013">
              <w:t>Najvyšší kontrolný úrad</w:t>
            </w:r>
          </w:p>
        </w:tc>
      </w:tr>
      <w:tr w:rsidR="0025522E" w:rsidTr="00183705">
        <w:tc>
          <w:tcPr>
            <w:tcW w:w="840" w:type="pct"/>
            <w:shd w:val="clear" w:color="auto" w:fill="auto"/>
          </w:tcPr>
          <w:p w:rsidR="0025522E" w:rsidRPr="004C1013" w:rsidRDefault="0025522E" w:rsidP="0025522E">
            <w:bookmarkStart w:id="15" w:name="_Toc82934911"/>
            <w:bookmarkStart w:id="16" w:name="_Toc82934981"/>
            <w:bookmarkStart w:id="17" w:name="_Toc82934899"/>
            <w:bookmarkStart w:id="18" w:name="_Toc82934949"/>
            <w:bookmarkStart w:id="19" w:name="_Toc82934969"/>
            <w:r w:rsidRPr="004C1013">
              <w:t>NIK</w:t>
            </w:r>
          </w:p>
        </w:tc>
        <w:tc>
          <w:tcPr>
            <w:tcW w:w="4160" w:type="pct"/>
            <w:shd w:val="clear" w:color="auto" w:fill="auto"/>
          </w:tcPr>
          <w:p w:rsidR="0025522E" w:rsidRPr="004C1013" w:rsidRDefault="0025522E" w:rsidP="0025522E">
            <w:r w:rsidRPr="004C1013">
              <w:t xml:space="preserve">Najvyšší kontrolný úrad v Poľsku/ </w:t>
            </w:r>
            <w:r w:rsidRPr="004C1013">
              <w:rPr>
                <w:sz w:val="20"/>
              </w:rPr>
              <w:t>Najwyższa Izba Kontroli</w:t>
            </w:r>
          </w:p>
        </w:tc>
      </w:tr>
      <w:tr w:rsidR="00DF2C15" w:rsidTr="00183705">
        <w:tc>
          <w:tcPr>
            <w:tcW w:w="840" w:type="pct"/>
            <w:shd w:val="clear" w:color="auto" w:fill="auto"/>
          </w:tcPr>
          <w:p w:rsidR="00DF2C15" w:rsidRPr="004C1013" w:rsidRDefault="00DF2C15" w:rsidP="0025522E">
            <w:r>
              <w:t xml:space="preserve">BAG </w:t>
            </w:r>
          </w:p>
        </w:tc>
        <w:tc>
          <w:tcPr>
            <w:tcW w:w="4160" w:type="pct"/>
            <w:shd w:val="clear" w:color="auto" w:fill="auto"/>
          </w:tcPr>
          <w:p w:rsidR="00DF2C15" w:rsidRPr="004C1013" w:rsidRDefault="00DF2C15" w:rsidP="008B1500">
            <w:r>
              <w:t>Federálny úrad pre nákladnú dopravu Nemecka/</w:t>
            </w:r>
            <w:r w:rsidRPr="00DF2C15">
              <w:t xml:space="preserve">Bundesamt für Güterverkehr </w:t>
            </w:r>
          </w:p>
        </w:tc>
      </w:tr>
      <w:tr w:rsidR="00DD7078" w:rsidTr="00183705">
        <w:tc>
          <w:tcPr>
            <w:tcW w:w="840" w:type="pct"/>
            <w:shd w:val="clear" w:color="auto" w:fill="auto"/>
          </w:tcPr>
          <w:p w:rsidR="00DD7078" w:rsidRDefault="00DD7078" w:rsidP="0025522E">
            <w:r>
              <w:t>acc.</w:t>
            </w:r>
          </w:p>
        </w:tc>
        <w:tc>
          <w:tcPr>
            <w:tcW w:w="4160" w:type="pct"/>
            <w:shd w:val="clear" w:color="auto" w:fill="auto"/>
          </w:tcPr>
          <w:p w:rsidR="00DD7078" w:rsidRDefault="00DD7078" w:rsidP="008B1500">
            <w:r>
              <w:t>podľa/according</w:t>
            </w:r>
          </w:p>
        </w:tc>
      </w:tr>
      <w:tr w:rsidR="00FB0069" w:rsidTr="00183705">
        <w:tc>
          <w:tcPr>
            <w:tcW w:w="840" w:type="pct"/>
            <w:shd w:val="clear" w:color="auto" w:fill="auto"/>
          </w:tcPr>
          <w:p w:rsidR="00FB0069" w:rsidRDefault="00FB0069" w:rsidP="0025522E">
            <w:r>
              <w:t>UNAS</w:t>
            </w:r>
          </w:p>
        </w:tc>
        <w:tc>
          <w:tcPr>
            <w:tcW w:w="4160" w:type="pct"/>
            <w:shd w:val="clear" w:color="auto" w:fill="auto"/>
          </w:tcPr>
          <w:p w:rsidR="00FB0069" w:rsidRDefault="00873E50" w:rsidP="008B1500">
            <w:r w:rsidRPr="00873E50">
              <w:t>Únia Autodopravcov Slovenska</w:t>
            </w:r>
          </w:p>
        </w:tc>
      </w:tr>
      <w:tr w:rsidR="00FB0069" w:rsidTr="00183705">
        <w:tc>
          <w:tcPr>
            <w:tcW w:w="840" w:type="pct"/>
            <w:shd w:val="clear" w:color="auto" w:fill="auto"/>
          </w:tcPr>
          <w:p w:rsidR="00FB0069" w:rsidRDefault="00FB0069" w:rsidP="0025522E">
            <w:r>
              <w:t>NDS</w:t>
            </w:r>
          </w:p>
        </w:tc>
        <w:tc>
          <w:tcPr>
            <w:tcW w:w="4160" w:type="pct"/>
            <w:shd w:val="clear" w:color="auto" w:fill="auto"/>
          </w:tcPr>
          <w:p w:rsidR="00FB0069" w:rsidRDefault="00873E50" w:rsidP="008B1500">
            <w:r>
              <w:t>Národná diaľničná spoločnosť</w:t>
            </w:r>
          </w:p>
        </w:tc>
      </w:tr>
      <w:tr w:rsidR="00FB0069" w:rsidTr="00183705">
        <w:tc>
          <w:tcPr>
            <w:tcW w:w="840" w:type="pct"/>
            <w:shd w:val="clear" w:color="auto" w:fill="auto"/>
          </w:tcPr>
          <w:p w:rsidR="00FB0069" w:rsidRDefault="00FB0069" w:rsidP="0025522E">
            <w:r>
              <w:t>SSC</w:t>
            </w:r>
          </w:p>
        </w:tc>
        <w:tc>
          <w:tcPr>
            <w:tcW w:w="4160" w:type="pct"/>
            <w:shd w:val="clear" w:color="auto" w:fill="auto"/>
          </w:tcPr>
          <w:p w:rsidR="00FB0069" w:rsidRDefault="00873E50" w:rsidP="008B1500">
            <w:r>
              <w:t>Slovenská správa ciest</w:t>
            </w:r>
          </w:p>
        </w:tc>
      </w:tr>
      <w:tr w:rsidR="00FB0069" w:rsidTr="00183705">
        <w:tc>
          <w:tcPr>
            <w:tcW w:w="840" w:type="pct"/>
            <w:shd w:val="clear" w:color="auto" w:fill="auto"/>
          </w:tcPr>
          <w:p w:rsidR="00FB0069" w:rsidRDefault="00FB0069" w:rsidP="0025522E">
            <w:r>
              <w:t>SSÚD</w:t>
            </w:r>
          </w:p>
        </w:tc>
        <w:tc>
          <w:tcPr>
            <w:tcW w:w="4160" w:type="pct"/>
            <w:shd w:val="clear" w:color="auto" w:fill="auto"/>
          </w:tcPr>
          <w:p w:rsidR="00FB0069" w:rsidRDefault="00873E50" w:rsidP="00873E50">
            <w:r>
              <w:t>stredisko správy a údržby diaľnic</w:t>
            </w:r>
          </w:p>
        </w:tc>
      </w:tr>
      <w:tr w:rsidR="00FB0069" w:rsidTr="00183705">
        <w:tc>
          <w:tcPr>
            <w:tcW w:w="840" w:type="pct"/>
            <w:shd w:val="clear" w:color="auto" w:fill="auto"/>
          </w:tcPr>
          <w:p w:rsidR="00FB0069" w:rsidRDefault="00FB0069" w:rsidP="0025522E">
            <w:r>
              <w:t>SSÚR</w:t>
            </w:r>
          </w:p>
        </w:tc>
        <w:tc>
          <w:tcPr>
            <w:tcW w:w="4160" w:type="pct"/>
            <w:shd w:val="clear" w:color="auto" w:fill="auto"/>
          </w:tcPr>
          <w:p w:rsidR="00FB0069" w:rsidRDefault="00873E50" w:rsidP="008B1500">
            <w:r>
              <w:t>stredisko správy a údržby rýchlostných ciest</w:t>
            </w:r>
          </w:p>
        </w:tc>
      </w:tr>
      <w:tr w:rsidR="0092236F" w:rsidTr="00183705">
        <w:tc>
          <w:tcPr>
            <w:tcW w:w="840" w:type="pct"/>
            <w:shd w:val="clear" w:color="auto" w:fill="auto"/>
          </w:tcPr>
          <w:p w:rsidR="0092236F" w:rsidRDefault="0092236F" w:rsidP="0025522E">
            <w:r>
              <w:t>NV</w:t>
            </w:r>
          </w:p>
        </w:tc>
        <w:tc>
          <w:tcPr>
            <w:tcW w:w="4160" w:type="pct"/>
            <w:shd w:val="clear" w:color="auto" w:fill="auto"/>
          </w:tcPr>
          <w:p w:rsidR="0092236F" w:rsidRDefault="00873E50" w:rsidP="008B1500">
            <w:r>
              <w:t>Nákladné vozidlo</w:t>
            </w:r>
          </w:p>
        </w:tc>
      </w:tr>
    </w:tbl>
    <w:p w:rsidR="00B80251" w:rsidRDefault="00B80251" w:rsidP="006B1C25">
      <w:pPr>
        <w:pStyle w:val="Popis"/>
      </w:pPr>
    </w:p>
    <w:p w:rsidR="006438F0" w:rsidRPr="006438F0" w:rsidRDefault="006438F0" w:rsidP="006438F0">
      <w:pPr>
        <w:pStyle w:val="Normaltext"/>
      </w:pPr>
    </w:p>
    <w:p w:rsidR="006438F0" w:rsidRDefault="006438F0" w:rsidP="006B1C25">
      <w:pPr>
        <w:pStyle w:val="Popis"/>
        <w:sectPr w:rsidR="006438F0" w:rsidSect="00EE3480">
          <w:headerReference w:type="even" r:id="rId14"/>
          <w:headerReference w:type="default" r:id="rId15"/>
          <w:footerReference w:type="even" r:id="rId16"/>
          <w:footerReference w:type="default" r:id="rId17"/>
          <w:headerReference w:type="first" r:id="rId18"/>
          <w:pgSz w:w="11907" w:h="16840" w:code="9"/>
          <w:pgMar w:top="1985" w:right="1134" w:bottom="1418" w:left="1418" w:header="567" w:footer="958" w:gutter="0"/>
          <w:pgNumType w:fmt="upperRoman"/>
          <w:cols w:space="240"/>
          <w:docGrid w:linePitch="299"/>
        </w:sectPr>
      </w:pPr>
    </w:p>
    <w:p w:rsidR="0025522E" w:rsidRPr="004C1013" w:rsidRDefault="0025522E" w:rsidP="0025522E">
      <w:pPr>
        <w:pStyle w:val="Nadpis1"/>
        <w:rPr>
          <w:rFonts w:asciiTheme="minorHAnsi" w:hAnsiTheme="minorHAnsi" w:cstheme="minorHAnsi"/>
        </w:rPr>
      </w:pPr>
      <w:bookmarkStart w:id="20" w:name="_Toc20687917"/>
      <w:bookmarkStart w:id="21" w:name="_Toc36664360"/>
      <w:bookmarkEnd w:id="15"/>
      <w:bookmarkEnd w:id="16"/>
      <w:bookmarkEnd w:id="17"/>
      <w:bookmarkEnd w:id="18"/>
      <w:bookmarkEnd w:id="19"/>
      <w:r w:rsidRPr="004C1013">
        <w:rPr>
          <w:rFonts w:asciiTheme="minorHAnsi" w:hAnsiTheme="minorHAnsi" w:cstheme="minorHAnsi"/>
        </w:rPr>
        <w:lastRenderedPageBreak/>
        <w:t>Analýza systémov elektronického výberu mýta v SR a zahraničí</w:t>
      </w:r>
      <w:bookmarkEnd w:id="20"/>
      <w:bookmarkEnd w:id="21"/>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Analýza mýtnych systémov je zameraná na základné charakteristiky systémov elektronického výberu mýta (ďalej len „systémy ETC“) v SR a zahraničí. Jej cieľom je vytvorenie súboru charakteristických identifikátorov týchto mýtnych systémov ako aj identifikátorov ich efektívnosti. Analýza je zameraná na technické, dopravné a finančné aspekty prevádzkovania systémov ETC v SR a vybraných krajinách v zahraničí.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Vybranými krajinami v zahraničí sú Nemecko, Česká Republika, Rakúsko a Poľsko. Hlavnými kritériami výberu týchto krajín do komplexnej komparatívnej analýzy ich systémov ETC bolo splnenie nasledujúcich požiadaviek: </w:t>
      </w:r>
    </w:p>
    <w:p w:rsidR="0025522E" w:rsidRPr="004C1013" w:rsidRDefault="0025522E" w:rsidP="002812CC">
      <w:pPr>
        <w:pStyle w:val="Normaltext"/>
        <w:numPr>
          <w:ilvl w:val="0"/>
          <w:numId w:val="19"/>
        </w:numPr>
        <w:spacing w:line="276" w:lineRule="auto"/>
        <w:rPr>
          <w:rFonts w:asciiTheme="minorHAnsi" w:hAnsiTheme="minorHAnsi" w:cstheme="minorHAnsi"/>
        </w:rPr>
      </w:pPr>
      <w:r w:rsidRPr="004C1013">
        <w:rPr>
          <w:rFonts w:asciiTheme="minorHAnsi" w:hAnsiTheme="minorHAnsi" w:cstheme="minorHAnsi"/>
        </w:rPr>
        <w:t>výkonové spoplatnenie nákladných vozidiel na cestnej sieti,</w:t>
      </w:r>
    </w:p>
    <w:p w:rsidR="0025522E" w:rsidRPr="004C1013" w:rsidRDefault="0025522E" w:rsidP="002812CC">
      <w:pPr>
        <w:pStyle w:val="Normaltext"/>
        <w:numPr>
          <w:ilvl w:val="0"/>
          <w:numId w:val="19"/>
        </w:numPr>
        <w:spacing w:line="276" w:lineRule="auto"/>
        <w:rPr>
          <w:rFonts w:asciiTheme="minorHAnsi" w:hAnsiTheme="minorHAnsi" w:cstheme="minorHAnsi"/>
        </w:rPr>
      </w:pPr>
      <w:r w:rsidRPr="004C1013">
        <w:rPr>
          <w:rFonts w:asciiTheme="minorHAnsi" w:hAnsiTheme="minorHAnsi" w:cstheme="minorHAnsi"/>
        </w:rPr>
        <w:t>aspoň jedna krajina so satelitnou technológiou systému ETC,</w:t>
      </w:r>
    </w:p>
    <w:p w:rsidR="0025522E" w:rsidRPr="004C1013" w:rsidRDefault="0025522E" w:rsidP="002812CC">
      <w:pPr>
        <w:pStyle w:val="Normaltext"/>
        <w:numPr>
          <w:ilvl w:val="0"/>
          <w:numId w:val="19"/>
        </w:numPr>
        <w:spacing w:line="276" w:lineRule="auto"/>
        <w:rPr>
          <w:rFonts w:asciiTheme="minorHAnsi" w:hAnsiTheme="minorHAnsi" w:cstheme="minorHAnsi"/>
        </w:rPr>
      </w:pPr>
      <w:r w:rsidRPr="004C1013">
        <w:rPr>
          <w:rFonts w:asciiTheme="minorHAnsi" w:hAnsiTheme="minorHAnsi" w:cstheme="minorHAnsi"/>
        </w:rPr>
        <w:t xml:space="preserve">aspoň dve susedné krajiny, </w:t>
      </w:r>
    </w:p>
    <w:p w:rsidR="0025522E" w:rsidRPr="004C1013" w:rsidRDefault="0025522E" w:rsidP="002812CC">
      <w:pPr>
        <w:pStyle w:val="Normaltext"/>
        <w:numPr>
          <w:ilvl w:val="0"/>
          <w:numId w:val="19"/>
        </w:numPr>
        <w:spacing w:line="276" w:lineRule="auto"/>
        <w:rPr>
          <w:rFonts w:asciiTheme="minorHAnsi" w:hAnsiTheme="minorHAnsi" w:cstheme="minorHAnsi"/>
        </w:rPr>
      </w:pPr>
      <w:r w:rsidRPr="004C1013">
        <w:rPr>
          <w:rFonts w:asciiTheme="minorHAnsi" w:hAnsiTheme="minorHAnsi" w:cstheme="minorHAnsi"/>
        </w:rPr>
        <w:t>jeden prevádzkovateľ systému ETC,</w:t>
      </w:r>
    </w:p>
    <w:p w:rsidR="0025522E" w:rsidRPr="004C1013" w:rsidRDefault="0025522E" w:rsidP="002812CC">
      <w:pPr>
        <w:pStyle w:val="Normaltext"/>
        <w:numPr>
          <w:ilvl w:val="0"/>
          <w:numId w:val="19"/>
        </w:numPr>
        <w:spacing w:line="276" w:lineRule="auto"/>
        <w:rPr>
          <w:rFonts w:asciiTheme="minorHAnsi" w:hAnsiTheme="minorHAnsi" w:cstheme="minorHAnsi"/>
        </w:rPr>
      </w:pPr>
      <w:r w:rsidRPr="004C1013">
        <w:rPr>
          <w:rFonts w:asciiTheme="minorHAnsi" w:hAnsiTheme="minorHAnsi" w:cstheme="minorHAnsi"/>
        </w:rPr>
        <w:t>dostupnosť údajov.</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Analýza jednotlivých systémov ETC je realizovaná v nasledujúcej štruktúre: </w:t>
      </w:r>
    </w:p>
    <w:p w:rsidR="0025522E" w:rsidRPr="004C1013" w:rsidRDefault="0025522E" w:rsidP="002812CC">
      <w:pPr>
        <w:pStyle w:val="Normaltext"/>
        <w:numPr>
          <w:ilvl w:val="0"/>
          <w:numId w:val="20"/>
        </w:numPr>
        <w:rPr>
          <w:rFonts w:asciiTheme="minorHAnsi" w:hAnsiTheme="minorHAnsi" w:cstheme="minorHAnsi"/>
        </w:rPr>
      </w:pPr>
      <w:r w:rsidRPr="004C1013">
        <w:rPr>
          <w:rFonts w:asciiTheme="minorHAnsi" w:hAnsiTheme="minorHAnsi" w:cstheme="minorHAnsi"/>
        </w:rPr>
        <w:t>Základné technické charakteristiky systémov</w:t>
      </w:r>
    </w:p>
    <w:p w:rsidR="0025522E" w:rsidRPr="004C1013" w:rsidRDefault="0025522E" w:rsidP="002812CC">
      <w:pPr>
        <w:pStyle w:val="Normaltext"/>
        <w:numPr>
          <w:ilvl w:val="0"/>
          <w:numId w:val="20"/>
        </w:numPr>
        <w:rPr>
          <w:rFonts w:asciiTheme="minorHAnsi" w:hAnsiTheme="minorHAnsi" w:cstheme="minorHAnsi"/>
        </w:rPr>
      </w:pPr>
      <w:r w:rsidRPr="004C1013">
        <w:rPr>
          <w:rFonts w:asciiTheme="minorHAnsi" w:hAnsiTheme="minorHAnsi" w:cstheme="minorHAnsi"/>
        </w:rPr>
        <w:t>Sieť vymedzených úsekov ciest</w:t>
      </w:r>
    </w:p>
    <w:p w:rsidR="0025522E" w:rsidRPr="004C1013" w:rsidRDefault="0025522E" w:rsidP="002812CC">
      <w:pPr>
        <w:pStyle w:val="Normaltext"/>
        <w:numPr>
          <w:ilvl w:val="0"/>
          <w:numId w:val="20"/>
        </w:numPr>
        <w:rPr>
          <w:rFonts w:asciiTheme="minorHAnsi" w:hAnsiTheme="minorHAnsi" w:cstheme="minorHAnsi"/>
        </w:rPr>
      </w:pPr>
      <w:r w:rsidRPr="004C1013">
        <w:rPr>
          <w:rFonts w:asciiTheme="minorHAnsi" w:hAnsiTheme="minorHAnsi" w:cstheme="minorHAnsi"/>
        </w:rPr>
        <w:t>Dopravné výkony na vymedzených úsekoch ciest</w:t>
      </w:r>
    </w:p>
    <w:p w:rsidR="0025522E" w:rsidRPr="004C1013" w:rsidRDefault="0025522E" w:rsidP="002812CC">
      <w:pPr>
        <w:pStyle w:val="Normaltext"/>
        <w:numPr>
          <w:ilvl w:val="1"/>
          <w:numId w:val="20"/>
        </w:numPr>
        <w:rPr>
          <w:rFonts w:asciiTheme="minorHAnsi" w:hAnsiTheme="minorHAnsi" w:cstheme="minorHAnsi"/>
        </w:rPr>
      </w:pPr>
      <w:r w:rsidRPr="004C1013">
        <w:rPr>
          <w:rFonts w:asciiTheme="minorHAnsi" w:hAnsiTheme="minorHAnsi" w:cstheme="minorHAnsi"/>
        </w:rPr>
        <w:t>Dopravné intenzity na priemernom 1km spoplatnenej siete</w:t>
      </w:r>
    </w:p>
    <w:p w:rsidR="0025522E" w:rsidRPr="004C1013" w:rsidRDefault="0025522E" w:rsidP="002812CC">
      <w:pPr>
        <w:pStyle w:val="Normaltext"/>
        <w:numPr>
          <w:ilvl w:val="1"/>
          <w:numId w:val="20"/>
        </w:numPr>
        <w:rPr>
          <w:rFonts w:asciiTheme="minorHAnsi" w:hAnsiTheme="minorHAnsi" w:cstheme="minorHAnsi"/>
        </w:rPr>
      </w:pPr>
      <w:r w:rsidRPr="004C1013">
        <w:rPr>
          <w:rFonts w:asciiTheme="minorHAnsi" w:hAnsiTheme="minorHAnsi" w:cstheme="minorHAnsi"/>
        </w:rPr>
        <w:t>Kumulované ročné dopravné výkony na spoplatnenej sieti</w:t>
      </w:r>
    </w:p>
    <w:p w:rsidR="0025522E" w:rsidRPr="004C1013" w:rsidRDefault="0025522E" w:rsidP="002812CC">
      <w:pPr>
        <w:pStyle w:val="Normaltext"/>
        <w:numPr>
          <w:ilvl w:val="0"/>
          <w:numId w:val="20"/>
        </w:numPr>
        <w:rPr>
          <w:rFonts w:asciiTheme="minorHAnsi" w:hAnsiTheme="minorHAnsi" w:cstheme="minorHAnsi"/>
        </w:rPr>
      </w:pPr>
      <w:r w:rsidRPr="004C1013">
        <w:rPr>
          <w:rFonts w:asciiTheme="minorHAnsi" w:hAnsiTheme="minorHAnsi" w:cstheme="minorHAnsi"/>
        </w:rPr>
        <w:t>Výnosy a náklady systémov ETC</w:t>
      </w:r>
    </w:p>
    <w:p w:rsidR="0025522E" w:rsidRPr="004C1013" w:rsidRDefault="0025522E" w:rsidP="002812CC">
      <w:pPr>
        <w:pStyle w:val="Normaltext"/>
        <w:numPr>
          <w:ilvl w:val="1"/>
          <w:numId w:val="20"/>
        </w:numPr>
        <w:rPr>
          <w:rFonts w:asciiTheme="minorHAnsi" w:hAnsiTheme="minorHAnsi" w:cstheme="minorHAnsi"/>
        </w:rPr>
      </w:pPr>
      <w:r w:rsidRPr="004C1013">
        <w:rPr>
          <w:rFonts w:asciiTheme="minorHAnsi" w:hAnsiTheme="minorHAnsi" w:cstheme="minorHAnsi"/>
        </w:rPr>
        <w:t>Výnosy systému ETC</w:t>
      </w:r>
    </w:p>
    <w:p w:rsidR="0025522E" w:rsidRPr="004C1013" w:rsidRDefault="0025522E" w:rsidP="002812CC">
      <w:pPr>
        <w:pStyle w:val="Normaltext"/>
        <w:numPr>
          <w:ilvl w:val="1"/>
          <w:numId w:val="20"/>
        </w:numPr>
        <w:rPr>
          <w:rFonts w:asciiTheme="minorHAnsi" w:hAnsiTheme="minorHAnsi" w:cstheme="minorHAnsi"/>
        </w:rPr>
      </w:pPr>
      <w:r w:rsidRPr="004C1013">
        <w:rPr>
          <w:rFonts w:asciiTheme="minorHAnsi" w:hAnsiTheme="minorHAnsi" w:cstheme="minorHAnsi"/>
        </w:rPr>
        <w:t>Náklady na systém ETC</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Riešiteľský kolektív podrobne analyzoval dostupné literárne zdroje, pričom pozornosť sústredil najmä na dôveryhodné zdroje informácií:</w:t>
      </w:r>
    </w:p>
    <w:p w:rsidR="0025522E" w:rsidRPr="004C1013" w:rsidRDefault="0025522E" w:rsidP="002812CC">
      <w:pPr>
        <w:pStyle w:val="Normaltext"/>
        <w:numPr>
          <w:ilvl w:val="0"/>
          <w:numId w:val="21"/>
        </w:numPr>
        <w:spacing w:line="276" w:lineRule="auto"/>
        <w:rPr>
          <w:rFonts w:asciiTheme="minorHAnsi" w:hAnsiTheme="minorHAnsi" w:cstheme="minorHAnsi"/>
        </w:rPr>
      </w:pPr>
      <w:r w:rsidRPr="004C1013">
        <w:rPr>
          <w:rFonts w:asciiTheme="minorHAnsi" w:hAnsiTheme="minorHAnsi" w:cstheme="minorHAnsi"/>
        </w:rPr>
        <w:t xml:space="preserve">publikované dokumenty ASECAP </w:t>
      </w:r>
    </w:p>
    <w:p w:rsidR="0025522E" w:rsidRPr="004C1013" w:rsidRDefault="0025522E" w:rsidP="002812CC">
      <w:pPr>
        <w:pStyle w:val="Normaltext"/>
        <w:numPr>
          <w:ilvl w:val="0"/>
          <w:numId w:val="21"/>
        </w:numPr>
        <w:spacing w:line="276" w:lineRule="auto"/>
        <w:rPr>
          <w:rFonts w:asciiTheme="minorHAnsi" w:hAnsiTheme="minorHAnsi" w:cstheme="minorHAnsi"/>
        </w:rPr>
      </w:pPr>
      <w:r w:rsidRPr="004C1013">
        <w:rPr>
          <w:rFonts w:asciiTheme="minorHAnsi" w:hAnsiTheme="minorHAnsi" w:cstheme="minorHAnsi"/>
        </w:rPr>
        <w:t>oficiálne správy, dokumenty a štatistiky štátnych inštitúcií,</w:t>
      </w:r>
    </w:p>
    <w:p w:rsidR="0025522E" w:rsidRPr="004C1013" w:rsidRDefault="0025522E" w:rsidP="002812CC">
      <w:pPr>
        <w:pStyle w:val="Normaltext"/>
        <w:numPr>
          <w:ilvl w:val="0"/>
          <w:numId w:val="21"/>
        </w:numPr>
        <w:spacing w:line="276" w:lineRule="auto"/>
        <w:rPr>
          <w:rFonts w:asciiTheme="minorHAnsi" w:hAnsiTheme="minorHAnsi" w:cstheme="minorHAnsi"/>
        </w:rPr>
      </w:pPr>
      <w:r w:rsidRPr="004C1013">
        <w:rPr>
          <w:rFonts w:asciiTheme="minorHAnsi" w:hAnsiTheme="minorHAnsi" w:cstheme="minorHAnsi"/>
        </w:rPr>
        <w:t>oficiálne správy, dokumenty a štatistiky prevádzkovateľov systému ETC,</w:t>
      </w:r>
    </w:p>
    <w:p w:rsidR="0025522E" w:rsidRPr="004C1013" w:rsidRDefault="0025522E" w:rsidP="002812CC">
      <w:pPr>
        <w:pStyle w:val="Normaltext"/>
        <w:numPr>
          <w:ilvl w:val="0"/>
          <w:numId w:val="21"/>
        </w:numPr>
        <w:spacing w:line="276" w:lineRule="auto"/>
        <w:rPr>
          <w:rFonts w:asciiTheme="minorHAnsi" w:hAnsiTheme="minorHAnsi" w:cstheme="minorHAnsi"/>
        </w:rPr>
      </w:pPr>
      <w:r w:rsidRPr="004C1013">
        <w:rPr>
          <w:rFonts w:asciiTheme="minorHAnsi" w:hAnsiTheme="minorHAnsi" w:cstheme="minorHAnsi"/>
        </w:rPr>
        <w:t>odborné štúdie akademických obcí,</w:t>
      </w:r>
    </w:p>
    <w:p w:rsidR="0025522E" w:rsidRPr="004C1013" w:rsidRDefault="0025522E" w:rsidP="002812CC">
      <w:pPr>
        <w:pStyle w:val="Normaltext"/>
        <w:numPr>
          <w:ilvl w:val="0"/>
          <w:numId w:val="21"/>
        </w:numPr>
        <w:spacing w:line="276" w:lineRule="auto"/>
        <w:rPr>
          <w:rFonts w:asciiTheme="minorHAnsi" w:hAnsiTheme="minorHAnsi" w:cstheme="minorHAnsi"/>
        </w:rPr>
      </w:pPr>
      <w:r w:rsidRPr="004C1013">
        <w:rPr>
          <w:rFonts w:asciiTheme="minorHAnsi" w:hAnsiTheme="minorHAnsi" w:cstheme="minorHAnsi"/>
        </w:rPr>
        <w:t>tlačové správy (s odkazmi na štátne inštitúcie/prevádzkovateľa systému ETC/akademické obce).</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Pre účely definitívnej špecifikácie reprezentatívnych ukazovateľov jednotlivých systémov ETC vstupujúcich do komparatívnej analýzy boli informácie z dostupných zdrojov navzájom porovnávané </w:t>
      </w:r>
      <w:r w:rsidRPr="004C1013">
        <w:rPr>
          <w:rFonts w:asciiTheme="minorHAnsi" w:hAnsiTheme="minorHAnsi" w:cstheme="minorHAnsi"/>
        </w:rPr>
        <w:lastRenderedPageBreak/>
        <w:t>a validované z hľadiska ich správnosti a relevantnosti. Pre overenie správnosti dostupných údajov týkajúcich sa dopravných výkonov na spoplatnenej sieti boli navyše realizované nasledujúce vzájomné prepočty:</w:t>
      </w:r>
    </w:p>
    <w:p w:rsidR="0025522E" w:rsidRPr="004C1013" w:rsidRDefault="0025522E" w:rsidP="0025522E">
      <w:pPr>
        <w:pStyle w:val="Normaltext"/>
        <w:spacing w:line="276" w:lineRule="auto"/>
        <w:rPr>
          <w:rFonts w:asciiTheme="minorHAnsi" w:hAnsiTheme="minorHAnsi" w:cstheme="minorHAnsi"/>
          <w:sz w:val="20"/>
        </w:rPr>
      </w:pPr>
      <w:r w:rsidRPr="004C1013">
        <w:rPr>
          <w:rFonts w:asciiTheme="minorHAnsi" w:hAnsiTheme="minorHAnsi" w:cstheme="minorHAnsi"/>
          <w:sz w:val="20"/>
        </w:rPr>
        <w:tab/>
      </w:r>
      <w:r w:rsidRPr="004C1013">
        <w:rPr>
          <w:rFonts w:asciiTheme="minorHAnsi" w:hAnsiTheme="minorHAnsi" w:cstheme="minorHAnsi"/>
          <w:b/>
          <w:sz w:val="20"/>
        </w:rPr>
        <w:t xml:space="preserve"> </w:t>
      </w:r>
      <m:oMath>
        <m:r>
          <m:rPr>
            <m:sty m:val="bi"/>
          </m:rPr>
          <w:rPr>
            <w:rFonts w:ascii="Cambria Math" w:hAnsi="Cambria Math" w:cstheme="minorHAnsi"/>
            <w:sz w:val="20"/>
          </w:rPr>
          <m:t>dopravné výkony na priemernom 1 km (voz):</m:t>
        </m:r>
      </m:oMath>
    </w:p>
    <w:p w:rsidR="0025522E" w:rsidRPr="004C1013" w:rsidRDefault="00C40D3F" w:rsidP="0025522E">
      <w:pPr>
        <w:pStyle w:val="Normaltext"/>
        <w:spacing w:line="276" w:lineRule="auto"/>
        <w:rPr>
          <w:rFonts w:asciiTheme="minorHAnsi" w:hAnsiTheme="minorHAnsi" w:cstheme="minorHAnsi"/>
          <w:sz w:val="20"/>
        </w:rPr>
      </w:pPr>
      <m:oMathPara>
        <m:oMath>
          <m:f>
            <m:fPr>
              <m:ctrlPr>
                <w:rPr>
                  <w:rFonts w:ascii="Cambria Math" w:hAnsi="Cambria Math" w:cstheme="minorHAnsi"/>
                  <w:i/>
                  <w:sz w:val="20"/>
                </w:rPr>
              </m:ctrlPr>
            </m:fPr>
            <m:num>
              <m:r>
                <w:rPr>
                  <w:rFonts w:ascii="Cambria Math" w:hAnsi="Cambria Math" w:cstheme="minorHAnsi"/>
                  <w:sz w:val="20"/>
                </w:rPr>
                <m:t xml:space="preserve">kumulované dopravné výkony </m:t>
              </m:r>
              <m:d>
                <m:dPr>
                  <m:ctrlPr>
                    <w:rPr>
                      <w:rFonts w:ascii="Cambria Math" w:hAnsi="Cambria Math" w:cstheme="minorHAnsi"/>
                      <w:i/>
                      <w:sz w:val="20"/>
                    </w:rPr>
                  </m:ctrlPr>
                </m:dPr>
                <m:e>
                  <m:f>
                    <m:fPr>
                      <m:type m:val="lin"/>
                      <m:ctrlPr>
                        <w:rPr>
                          <w:rFonts w:ascii="Cambria Math" w:hAnsi="Cambria Math" w:cstheme="minorHAnsi"/>
                          <w:i/>
                          <w:sz w:val="20"/>
                        </w:rPr>
                      </m:ctrlPr>
                    </m:fPr>
                    <m:num>
                      <m:r>
                        <w:rPr>
                          <w:rFonts w:ascii="Cambria Math" w:hAnsi="Cambria Math" w:cstheme="minorHAnsi"/>
                          <w:sz w:val="20"/>
                        </w:rPr>
                        <m:t>vkm</m:t>
                      </m:r>
                    </m:num>
                    <m:den>
                      <m:r>
                        <w:rPr>
                          <w:rFonts w:ascii="Cambria Math" w:hAnsi="Cambria Math" w:cstheme="minorHAnsi"/>
                          <w:sz w:val="20"/>
                        </w:rPr>
                        <m:t>rok</m:t>
                      </m:r>
                    </m:den>
                  </m:f>
                </m:e>
              </m:d>
              <m:r>
                <w:rPr>
                  <w:rFonts w:ascii="Cambria Math" w:hAnsi="Cambria Math" w:cstheme="minorHAnsi"/>
                  <w:sz w:val="20"/>
                </w:rPr>
                <m:t>÷365</m:t>
              </m:r>
            </m:num>
            <m:den>
              <m:r>
                <w:rPr>
                  <w:rFonts w:ascii="Cambria Math" w:hAnsi="Cambria Math" w:cstheme="minorHAnsi"/>
                  <w:sz w:val="20"/>
                </w:rPr>
                <m:t>dĺžka spoplatnených úsekov (km)</m:t>
              </m:r>
            </m:den>
          </m:f>
        </m:oMath>
      </m:oMathPara>
    </w:p>
    <w:p w:rsidR="0025522E" w:rsidRPr="004C1013" w:rsidRDefault="0025522E" w:rsidP="0025522E">
      <w:pPr>
        <w:pStyle w:val="Normaltext"/>
        <w:spacing w:line="276" w:lineRule="auto"/>
        <w:rPr>
          <w:rFonts w:asciiTheme="minorHAnsi" w:hAnsiTheme="minorHAnsi" w:cstheme="minorHAnsi"/>
          <w:sz w:val="20"/>
        </w:rPr>
      </w:pPr>
    </w:p>
    <w:p w:rsidR="0025522E" w:rsidRPr="004C1013" w:rsidRDefault="0025522E" w:rsidP="0025522E">
      <w:pPr>
        <w:pStyle w:val="Normaltext"/>
        <w:spacing w:line="276" w:lineRule="auto"/>
        <w:rPr>
          <w:rFonts w:asciiTheme="minorHAnsi" w:hAnsiTheme="minorHAnsi" w:cstheme="minorHAnsi"/>
          <w:sz w:val="20"/>
        </w:rPr>
      </w:pPr>
      <w:r w:rsidRPr="004C1013">
        <w:rPr>
          <w:rFonts w:asciiTheme="minorHAnsi" w:hAnsiTheme="minorHAnsi" w:cstheme="minorHAnsi"/>
          <w:sz w:val="20"/>
        </w:rPr>
        <w:tab/>
        <w:t xml:space="preserve"> </w:t>
      </w:r>
      <m:oMath>
        <m:r>
          <m:rPr>
            <m:sty m:val="bi"/>
          </m:rPr>
          <w:rPr>
            <w:rFonts w:ascii="Cambria Math" w:hAnsi="Cambria Math" w:cstheme="minorHAnsi"/>
            <w:sz w:val="20"/>
          </w:rPr>
          <m:t>kumulované dopravné výkony (vkm/rok):</m:t>
        </m:r>
        <m:r>
          <w:rPr>
            <w:rFonts w:ascii="Cambria Math" w:hAnsi="Cambria Math" w:cstheme="minorHAnsi"/>
            <w:sz w:val="20"/>
          </w:rPr>
          <m:t xml:space="preserve"> </m:t>
        </m:r>
        <m:r>
          <m:rPr>
            <m:sty m:val="p"/>
          </m:rPr>
          <w:rPr>
            <w:rFonts w:ascii="Cambria Math" w:hAnsi="Cambria Math" w:cstheme="minorHAnsi"/>
            <w:sz w:val="20"/>
          </w:rPr>
          <m:t xml:space="preserve"> </m:t>
        </m:r>
      </m:oMath>
    </w:p>
    <w:p w:rsidR="0025522E" w:rsidRPr="004C1013" w:rsidRDefault="0025522E" w:rsidP="0025522E">
      <w:pPr>
        <w:pStyle w:val="Normaltext"/>
        <w:spacing w:line="276" w:lineRule="auto"/>
        <w:jc w:val="center"/>
        <w:rPr>
          <w:rFonts w:asciiTheme="minorHAnsi" w:hAnsiTheme="minorHAnsi" w:cstheme="minorHAnsi"/>
          <w:sz w:val="20"/>
        </w:rPr>
      </w:pPr>
      <m:oMathPara>
        <m:oMath>
          <m:r>
            <w:rPr>
              <w:rFonts w:ascii="Cambria Math" w:hAnsi="Cambria Math" w:cstheme="minorHAnsi"/>
              <w:sz w:val="20"/>
            </w:rPr>
            <m:t>dopravné výkony na priemernom 1 km (voz)*365* dĺžka spoplatnených úsekov (km)</m:t>
          </m:r>
        </m:oMath>
      </m:oMathPara>
    </w:p>
    <w:p w:rsidR="0025522E" w:rsidRPr="004C1013" w:rsidRDefault="0025522E" w:rsidP="0025522E">
      <w:pPr>
        <w:pStyle w:val="Normaltext"/>
        <w:spacing w:line="276" w:lineRule="auto"/>
        <w:rPr>
          <w:rFonts w:asciiTheme="minorHAnsi" w:hAnsiTheme="minorHAnsi" w:cstheme="minorHAnsi"/>
        </w:rPr>
      </w:pP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Pri definovaní chýbajúcich údajov boli použité všeobecné matematické metódy – extrapolácia, intrapolácia. Pri chýbajúcich údajoch dopravnej intenzity boli použité výsledky prepočtov podľa vzťahov uvedených vyššie.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Z časového hľadis</w:t>
      </w:r>
      <w:r w:rsidR="0072424E">
        <w:rPr>
          <w:rFonts w:asciiTheme="minorHAnsi" w:hAnsiTheme="minorHAnsi" w:cstheme="minorHAnsi"/>
        </w:rPr>
        <w:t>ka je analýza zameraná na cel</w:t>
      </w:r>
      <w:r w:rsidRPr="004C1013">
        <w:rPr>
          <w:rFonts w:asciiTheme="minorHAnsi" w:hAnsiTheme="minorHAnsi" w:cstheme="minorHAnsi"/>
        </w:rPr>
        <w:t>é obdobie prevádzkovania systémov ETC, t.j. od začiatku ich prevádzky po koniec roka 2018.</w:t>
      </w:r>
    </w:p>
    <w:p w:rsidR="0025522E" w:rsidRPr="004C1013" w:rsidRDefault="0025522E" w:rsidP="0025522E">
      <w:pPr>
        <w:pStyle w:val="Nadpis2"/>
        <w:rPr>
          <w:rFonts w:asciiTheme="minorHAnsi" w:hAnsiTheme="minorHAnsi" w:cstheme="minorHAnsi"/>
        </w:rPr>
      </w:pPr>
      <w:bookmarkStart w:id="22" w:name="_Toc20687918"/>
      <w:bookmarkStart w:id="23" w:name="_Toc36664361"/>
      <w:r w:rsidRPr="004C1013">
        <w:rPr>
          <w:rFonts w:asciiTheme="minorHAnsi" w:hAnsiTheme="minorHAnsi" w:cstheme="minorHAnsi"/>
        </w:rPr>
        <w:t>Elektronický mýtny systém v SR</w:t>
      </w:r>
      <w:bookmarkEnd w:id="22"/>
      <w:bookmarkEnd w:id="23"/>
    </w:p>
    <w:p w:rsidR="0025522E" w:rsidRPr="004C1013" w:rsidRDefault="0025522E" w:rsidP="0025522E">
      <w:r w:rsidRPr="004C1013">
        <w:t>Základným legislatívnym predpisom v oblasti elektronického výberu mýta je zákon č. 474/2013 Z. z. o výbere mýta za užívanie vymedzených úsekov pozemných komunikácií a o zmene a doplnení niektorých zákonov v platnom znení. Súvisiace právne predpisy a vykonávaciu legislatívu podzákonnej právnej formy v oblasti elektronického výberu mýta reprezentujú predovšetkým [1]:</w:t>
      </w:r>
    </w:p>
    <w:p w:rsidR="0025522E" w:rsidRPr="004C1013" w:rsidRDefault="0025522E" w:rsidP="002812CC">
      <w:pPr>
        <w:pStyle w:val="Odsekzoznamu"/>
        <w:numPr>
          <w:ilvl w:val="0"/>
          <w:numId w:val="26"/>
        </w:numPr>
        <w:ind w:left="851"/>
      </w:pPr>
      <w:r w:rsidRPr="004C1013">
        <w:t>vyhláška Ministerstva dopravy, výstavby a regionálneho rozvoja Slovenskej republiky č. 475/2013 Z. z., ktorou sa vymedzujú úseky diaľnic, rýchlostných ciest, ciest I. triedy, ciest II. triedy a ciest III. triedy s výberom mýta v platnom znení,</w:t>
      </w:r>
    </w:p>
    <w:p w:rsidR="0025522E" w:rsidRPr="004C1013" w:rsidRDefault="0025522E" w:rsidP="002812CC">
      <w:pPr>
        <w:pStyle w:val="Odsekzoznamu"/>
        <w:numPr>
          <w:ilvl w:val="0"/>
          <w:numId w:val="26"/>
        </w:numPr>
        <w:ind w:left="851"/>
      </w:pPr>
      <w:r w:rsidRPr="004C1013">
        <w:t>nariadenie vlády Slovenskej republiky č. 497/2013 Z. z., ktorým sa ustanovuje spôsob výpočtu mýta, výška sadzby mýta a systém zliav zo sadzieb mýta za užívanie vymedzených úsekov pozemných komunikácií v platnom znení,</w:t>
      </w:r>
    </w:p>
    <w:p w:rsidR="0025522E" w:rsidRPr="004C1013" w:rsidRDefault="0025522E" w:rsidP="002812CC">
      <w:pPr>
        <w:pStyle w:val="Odsekzoznamu"/>
        <w:numPr>
          <w:ilvl w:val="0"/>
          <w:numId w:val="26"/>
        </w:numPr>
        <w:ind w:left="851"/>
        <w:rPr>
          <w:b/>
          <w:caps/>
          <w:color w:val="29527B"/>
          <w:spacing w:val="-4"/>
          <w:kern w:val="28"/>
        </w:rPr>
      </w:pPr>
      <w:r w:rsidRPr="004C1013">
        <w:t xml:space="preserve">vyhláška Ministerstva dopravy, výstavby a regionálneho rozvoja Slovenskej republiky č. 476/2013 Z. z., ktorou sa vykonávajú niektoré ustanovenia zákona o výbere mýta za užívanie vymedzených úsekov pozemných komunikácií a o zmene a doplnení niektorých zákonov v platnom znení. </w:t>
      </w:r>
    </w:p>
    <w:p w:rsidR="0025522E" w:rsidRPr="004C1013" w:rsidRDefault="0025522E" w:rsidP="0025522E">
      <w:pPr>
        <w:pStyle w:val="Nadpis3"/>
        <w:rPr>
          <w:rFonts w:asciiTheme="minorHAnsi" w:hAnsiTheme="minorHAnsi" w:cstheme="minorHAnsi"/>
        </w:rPr>
      </w:pPr>
      <w:bookmarkStart w:id="24" w:name="_Toc20687919"/>
      <w:bookmarkStart w:id="25" w:name="_Toc36664362"/>
      <w:r w:rsidRPr="004C1013">
        <w:rPr>
          <w:rFonts w:asciiTheme="minorHAnsi" w:hAnsiTheme="minorHAnsi" w:cstheme="minorHAnsi"/>
        </w:rPr>
        <w:t>Základné charakteristiky systému ETC</w:t>
      </w:r>
      <w:bookmarkEnd w:id="24"/>
      <w:bookmarkEnd w:id="25"/>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Elektronický mýtny systém (ďalej len „EMS“) je v podmienkach SR prevádzkovaný od 1. januára 2010. Prevádzkovateľom systému je spoločnosť SkyToll, a.s. Správcom výberu mýt</w:t>
      </w:r>
      <w:r w:rsidR="00F863E2">
        <w:rPr>
          <w:rFonts w:asciiTheme="minorHAnsi" w:hAnsiTheme="minorHAnsi" w:cstheme="minorHAnsi"/>
        </w:rPr>
        <w:t>a</w:t>
      </w:r>
      <w:r w:rsidRPr="004C1013">
        <w:rPr>
          <w:rFonts w:asciiTheme="minorHAnsi" w:hAnsiTheme="minorHAnsi" w:cstheme="minorHAnsi"/>
        </w:rPr>
        <w:t xml:space="preserve"> je Národná diaľničná spoločnosť, a.s. ako akciová spoločnosť v majetkovej účasti štátu v zastúpení MDV SR.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Prehľad základných technických charakteristík systému </w:t>
      </w:r>
      <w:r w:rsidR="00F863E2">
        <w:rPr>
          <w:rFonts w:asciiTheme="minorHAnsi" w:hAnsiTheme="minorHAnsi" w:cstheme="minorHAnsi"/>
        </w:rPr>
        <w:t xml:space="preserve">je </w:t>
      </w:r>
      <w:r w:rsidRPr="004C1013">
        <w:rPr>
          <w:rFonts w:asciiTheme="minorHAnsi" w:hAnsiTheme="minorHAnsi" w:cstheme="minorHAnsi"/>
        </w:rPr>
        <w:t>uveden</w:t>
      </w:r>
      <w:r w:rsidR="00F863E2">
        <w:rPr>
          <w:rFonts w:asciiTheme="minorHAnsi" w:hAnsiTheme="minorHAnsi" w:cstheme="minorHAnsi"/>
        </w:rPr>
        <w:t xml:space="preserve">ý </w:t>
      </w:r>
      <w:r w:rsidRPr="004C1013">
        <w:rPr>
          <w:rFonts w:asciiTheme="minorHAnsi" w:hAnsiTheme="minorHAnsi" w:cstheme="minorHAnsi"/>
        </w:rPr>
        <w:t>v nasledujúcej tabuľke (</w:t>
      </w:r>
      <w:r w:rsidR="00C40D3F">
        <w:fldChar w:fldCharType="begin"/>
      </w:r>
      <w:r w:rsidR="00C40D3F">
        <w:instrText xml:space="preserve"> REF _Ref19810907 \</w:instrText>
      </w:r>
      <w:r w:rsidR="00C40D3F">
        <w:instrText xml:space="preserve">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w:t>
      </w:r>
      <w:r w:rsidR="00C40D3F">
        <w:fldChar w:fldCharType="end"/>
      </w:r>
      <w:r w:rsidRPr="004C1013">
        <w:rPr>
          <w:rFonts w:asciiTheme="minorHAnsi" w:hAnsiTheme="minorHAnsi" w:cstheme="minorHAnsi"/>
        </w:rPr>
        <w:t>).</w:t>
      </w:r>
    </w:p>
    <w:p w:rsidR="0025522E" w:rsidRPr="004C1013" w:rsidRDefault="0025522E" w:rsidP="006B1C25">
      <w:pPr>
        <w:pStyle w:val="tabstyl"/>
      </w:pPr>
      <w:bookmarkStart w:id="26" w:name="_Ref19810907"/>
      <w:bookmarkStart w:id="27" w:name="_Toc36664443"/>
      <w:r w:rsidRPr="004C1013">
        <w:lastRenderedPageBreak/>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w:t>
      </w:r>
      <w:r w:rsidR="00C40D3F">
        <w:rPr>
          <w:noProof/>
        </w:rPr>
        <w:fldChar w:fldCharType="end"/>
      </w:r>
      <w:bookmarkEnd w:id="26"/>
      <w:r w:rsidRPr="004C1013">
        <w:t xml:space="preserve"> </w:t>
      </w:r>
      <w:r w:rsidRPr="004C1013">
        <w:tab/>
        <w:t>Prehľad základných charakteristík systému ETC v SR</w:t>
      </w:r>
      <w:bookmarkEnd w:id="27"/>
    </w:p>
    <w:tbl>
      <w:tblPr>
        <w:tblStyle w:val="tabulkaVUD"/>
        <w:tblW w:w="5000" w:type="pct"/>
        <w:tblLook w:val="04A0" w:firstRow="1" w:lastRow="0" w:firstColumn="1" w:lastColumn="0" w:noHBand="0" w:noVBand="1"/>
      </w:tblPr>
      <w:tblGrid>
        <w:gridCol w:w="3288"/>
        <w:gridCol w:w="6123"/>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rPr>
        <w:tc>
          <w:tcPr>
            <w:tcW w:w="1747" w:type="pct"/>
            <w:shd w:val="clear" w:color="auto" w:fill="7F7F7F" w:themeFill="text1" w:themeFillTint="80"/>
            <w:hideMark/>
          </w:tcPr>
          <w:p w:rsidR="0025522E" w:rsidRPr="004C1013" w:rsidRDefault="0025522E" w:rsidP="0025522E">
            <w:pPr>
              <w:pStyle w:val="tabukasivystyl"/>
            </w:pPr>
            <w:r w:rsidRPr="004C1013">
              <w:t>Technológia</w:t>
            </w:r>
          </w:p>
        </w:tc>
        <w:tc>
          <w:tcPr>
            <w:tcW w:w="3253" w:type="pct"/>
            <w:shd w:val="clear" w:color="auto" w:fill="auto"/>
            <w:hideMark/>
          </w:tcPr>
          <w:p w:rsidR="0025522E" w:rsidRPr="004C1013" w:rsidRDefault="0025522E" w:rsidP="0025522E">
            <w:pPr>
              <w:pStyle w:val="tabbielystyl"/>
            </w:pPr>
            <w:r w:rsidRPr="004C1013">
              <w:t>GPS/GSM</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Správca systému</w:t>
            </w:r>
          </w:p>
        </w:tc>
        <w:tc>
          <w:tcPr>
            <w:tcW w:w="3253" w:type="pct"/>
            <w:hideMark/>
          </w:tcPr>
          <w:p w:rsidR="0025522E" w:rsidRPr="004C1013" w:rsidRDefault="0025522E" w:rsidP="0025522E">
            <w:pPr>
              <w:pStyle w:val="tabbielystyl"/>
            </w:pPr>
            <w:r w:rsidRPr="004C1013">
              <w:t>Národná diaľničná spoločnosť, a.s.</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Prevádzkovateľ systému</w:t>
            </w:r>
          </w:p>
        </w:tc>
        <w:tc>
          <w:tcPr>
            <w:tcW w:w="3253" w:type="pct"/>
            <w:hideMark/>
          </w:tcPr>
          <w:p w:rsidR="0025522E" w:rsidRPr="004C1013" w:rsidRDefault="0025522E" w:rsidP="0025522E">
            <w:pPr>
              <w:pStyle w:val="tabbielystyl"/>
            </w:pPr>
            <w:r w:rsidRPr="004C1013">
              <w:t xml:space="preserve">SkyToll, a.s. </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Uvedenie do prevádzky</w:t>
            </w:r>
          </w:p>
        </w:tc>
        <w:tc>
          <w:tcPr>
            <w:tcW w:w="3253" w:type="pct"/>
            <w:hideMark/>
          </w:tcPr>
          <w:p w:rsidR="0025522E" w:rsidRPr="004C1013" w:rsidRDefault="0025522E" w:rsidP="0025522E">
            <w:pPr>
              <w:pStyle w:val="tabbielystyl"/>
            </w:pPr>
            <w:r w:rsidRPr="004C1013">
              <w:t>1.1.2010</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Zmluvná doba prevádzky (roky)</w:t>
            </w:r>
          </w:p>
        </w:tc>
        <w:tc>
          <w:tcPr>
            <w:tcW w:w="3253" w:type="pct"/>
            <w:hideMark/>
          </w:tcPr>
          <w:p w:rsidR="0025522E" w:rsidRPr="004C1013" w:rsidRDefault="0025522E" w:rsidP="0025522E">
            <w:pPr>
              <w:pStyle w:val="tabbielystyl"/>
            </w:pPr>
            <w:r w:rsidRPr="004C1013">
              <w:t>13</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Doba prevádzky k 31.12.2018  (roky)</w:t>
            </w:r>
          </w:p>
        </w:tc>
        <w:tc>
          <w:tcPr>
            <w:tcW w:w="3253" w:type="pct"/>
            <w:hideMark/>
          </w:tcPr>
          <w:p w:rsidR="0025522E" w:rsidRPr="004C1013" w:rsidRDefault="0025522E" w:rsidP="0025522E">
            <w:pPr>
              <w:pStyle w:val="tabbielystyl"/>
            </w:pPr>
            <w:r w:rsidRPr="004C1013">
              <w:t>9</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Spoplatnené vozidlá (kategória)</w:t>
            </w:r>
          </w:p>
        </w:tc>
        <w:tc>
          <w:tcPr>
            <w:tcW w:w="3253" w:type="pct"/>
            <w:hideMark/>
          </w:tcPr>
          <w:p w:rsidR="0025522E" w:rsidRPr="004C1013" w:rsidRDefault="0025522E" w:rsidP="0025522E">
            <w:pPr>
              <w:pStyle w:val="tabbielystyl"/>
            </w:pPr>
            <w:r w:rsidRPr="004C1013">
              <w:t>Nákladné vozidla&gt;3,5t, autobusy</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Elektronický mýtny systém predstavuje súbor prostriedkov výpočtovej a telekomunikačnej techniky vrátane programového vybavenia a dát, ktorý umožňuje najmä vyrubenie mýta technickým zariadením počas jazdy vozidla na vymedzených úsekoch ciest podliehajúcich mýtnej povinnosti. Technickými zariadeniami elektronického mýtneho systému sú palubné jednotky umiestnené a inštalované vo vozidle. Palubné jednotky sú hybridné a integrujúce v sebe tri technológie [1]:  </w:t>
      </w:r>
    </w:p>
    <w:p w:rsidR="0025522E" w:rsidRPr="004C1013" w:rsidRDefault="0025522E" w:rsidP="002812CC">
      <w:pPr>
        <w:pStyle w:val="Normaltext"/>
        <w:numPr>
          <w:ilvl w:val="0"/>
          <w:numId w:val="15"/>
        </w:numPr>
        <w:rPr>
          <w:rFonts w:asciiTheme="minorHAnsi" w:hAnsiTheme="minorHAnsi" w:cstheme="minorHAnsi"/>
        </w:rPr>
      </w:pPr>
      <w:r w:rsidRPr="004C1013">
        <w:rPr>
          <w:rFonts w:asciiTheme="minorHAnsi" w:hAnsiTheme="minorHAnsi" w:cstheme="minorHAnsi"/>
        </w:rPr>
        <w:t>satelitnú GPS technológiu na určovanie polohy, ktorá zabezpečuje zber údajov o využívaní vymedzených úsekov ciest,</w:t>
      </w:r>
    </w:p>
    <w:p w:rsidR="0025522E" w:rsidRPr="004C1013" w:rsidRDefault="0025522E" w:rsidP="002812CC">
      <w:pPr>
        <w:pStyle w:val="Normaltext"/>
        <w:numPr>
          <w:ilvl w:val="0"/>
          <w:numId w:val="15"/>
        </w:numPr>
        <w:rPr>
          <w:rFonts w:asciiTheme="minorHAnsi" w:hAnsiTheme="minorHAnsi" w:cstheme="minorHAnsi"/>
        </w:rPr>
      </w:pPr>
      <w:r w:rsidRPr="004C1013">
        <w:rPr>
          <w:rFonts w:asciiTheme="minorHAnsi" w:hAnsiTheme="minorHAnsi" w:cstheme="minorHAnsi"/>
        </w:rPr>
        <w:t>GSM/GPRS technológiu pre komunikáciu v rámci mobilných sietí, ktorá slúži na prenos údajov medzi palubnou jednotkou a ďalšími informačnými subsystémami v rámci elektronického mýtneho systému,</w:t>
      </w:r>
    </w:p>
    <w:p w:rsidR="0025522E" w:rsidRPr="004C1013" w:rsidRDefault="0025522E" w:rsidP="002812CC">
      <w:pPr>
        <w:pStyle w:val="Normaltext"/>
        <w:numPr>
          <w:ilvl w:val="0"/>
          <w:numId w:val="15"/>
        </w:numPr>
        <w:rPr>
          <w:rFonts w:asciiTheme="minorHAnsi" w:hAnsiTheme="minorHAnsi" w:cstheme="minorHAnsi"/>
        </w:rPr>
      </w:pPr>
      <w:r w:rsidRPr="004C1013">
        <w:rPr>
          <w:rFonts w:asciiTheme="minorHAnsi" w:hAnsiTheme="minorHAnsi" w:cstheme="minorHAnsi"/>
        </w:rPr>
        <w:t>mikrovlnnú DSRC technológiu pre komunikáciu na krátke vzdialenosti, ktorá slúži na kontrolu platiteľov mýta v rámci procesu kontroly výberu mýta.</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Elektronický výber mýta predstavuje úhradu elektronicky vypočítanej sumy podľa kategórie vozidla, emisnej triedy vozidla a počtu náprav za prejazdenú vzdialenosť po vymedzenom úseku ciest na základe elektronicky získaných údajov z palubnej jednotky inštalovanej vo vozidle.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Nariadenie vlády č. 497/2013 Z. z., ktorým sa ustanovuje spôsob výpočtu mýta, výška sadzby mýta a systém zliav zo sadzieb mýta za užívanie vymedzených úsekov pozemných komunikácií v platnom znení, ustanovuje spôsob výpočtu mýta a výšku sadzby mýta za 1 km prejazdenej vzdialenosti vymedzeného úseku pozemnej komunikácie pre [1]: </w:t>
      </w:r>
    </w:p>
    <w:p w:rsidR="0025522E" w:rsidRPr="004C1013" w:rsidRDefault="0025522E" w:rsidP="002812CC">
      <w:pPr>
        <w:pStyle w:val="Normaltext"/>
        <w:numPr>
          <w:ilvl w:val="0"/>
          <w:numId w:val="17"/>
        </w:numPr>
        <w:spacing w:line="276" w:lineRule="auto"/>
        <w:rPr>
          <w:rFonts w:asciiTheme="minorHAnsi" w:hAnsiTheme="minorHAnsi" w:cstheme="minorHAnsi"/>
        </w:rPr>
      </w:pPr>
      <w:r w:rsidRPr="004C1013">
        <w:rPr>
          <w:rFonts w:asciiTheme="minorHAnsi" w:hAnsiTheme="minorHAnsi" w:cstheme="minorHAnsi"/>
        </w:rPr>
        <w:t>kategórie vozidiel s najväčšou prípustnou celkovou hmotnosťou</w:t>
      </w:r>
    </w:p>
    <w:p w:rsidR="0025522E" w:rsidRPr="004C1013" w:rsidRDefault="0025522E" w:rsidP="002812CC">
      <w:pPr>
        <w:pStyle w:val="Normaltext"/>
        <w:numPr>
          <w:ilvl w:val="1"/>
          <w:numId w:val="17"/>
        </w:numPr>
        <w:spacing w:line="276" w:lineRule="auto"/>
        <w:rPr>
          <w:rFonts w:asciiTheme="minorHAnsi" w:hAnsiTheme="minorHAnsi" w:cstheme="minorHAnsi"/>
        </w:rPr>
      </w:pPr>
      <w:r w:rsidRPr="004C1013">
        <w:rPr>
          <w:rFonts w:asciiTheme="minorHAnsi" w:hAnsiTheme="minorHAnsi" w:cstheme="minorHAnsi"/>
        </w:rPr>
        <w:t xml:space="preserve"> od 3,5 t do 12 t</w:t>
      </w:r>
    </w:p>
    <w:p w:rsidR="0025522E" w:rsidRPr="004C1013" w:rsidRDefault="0025522E" w:rsidP="002812CC">
      <w:pPr>
        <w:pStyle w:val="Normaltext"/>
        <w:numPr>
          <w:ilvl w:val="1"/>
          <w:numId w:val="16"/>
        </w:numPr>
        <w:spacing w:line="276" w:lineRule="auto"/>
        <w:rPr>
          <w:rFonts w:asciiTheme="minorHAnsi" w:hAnsiTheme="minorHAnsi" w:cstheme="minorHAnsi"/>
        </w:rPr>
      </w:pPr>
      <w:r w:rsidRPr="004C1013">
        <w:rPr>
          <w:rFonts w:asciiTheme="minorHAnsi" w:hAnsiTheme="minorHAnsi" w:cstheme="minorHAnsi"/>
        </w:rPr>
        <w:t>12 t a viac,</w:t>
      </w:r>
    </w:p>
    <w:p w:rsidR="0025522E" w:rsidRPr="004C1013" w:rsidRDefault="0025522E" w:rsidP="002812CC">
      <w:pPr>
        <w:pStyle w:val="Normaltext"/>
        <w:numPr>
          <w:ilvl w:val="0"/>
          <w:numId w:val="17"/>
        </w:numPr>
        <w:spacing w:line="276" w:lineRule="auto"/>
        <w:rPr>
          <w:rFonts w:asciiTheme="minorHAnsi" w:hAnsiTheme="minorHAnsi" w:cstheme="minorHAnsi"/>
        </w:rPr>
      </w:pPr>
      <w:r w:rsidRPr="004C1013">
        <w:rPr>
          <w:rFonts w:asciiTheme="minorHAnsi" w:hAnsiTheme="minorHAnsi" w:cstheme="minorHAnsi"/>
        </w:rPr>
        <w:t>kategórie vozidiel umožňujúcich prepravu viac ako deviatich osôb vrátane vodiča s najväčšou prípustnou celkovou hmotnosťou:</w:t>
      </w:r>
    </w:p>
    <w:p w:rsidR="0025522E" w:rsidRPr="004C1013" w:rsidRDefault="0025522E" w:rsidP="002812CC">
      <w:pPr>
        <w:pStyle w:val="Normaltext"/>
        <w:numPr>
          <w:ilvl w:val="1"/>
          <w:numId w:val="17"/>
        </w:numPr>
        <w:spacing w:line="276" w:lineRule="auto"/>
        <w:rPr>
          <w:rFonts w:asciiTheme="minorHAnsi" w:hAnsiTheme="minorHAnsi" w:cstheme="minorHAnsi"/>
        </w:rPr>
      </w:pPr>
      <w:r w:rsidRPr="004C1013">
        <w:rPr>
          <w:rFonts w:asciiTheme="minorHAnsi" w:hAnsiTheme="minorHAnsi" w:cstheme="minorHAnsi"/>
        </w:rPr>
        <w:t>od 3,5 t do 12 t,</w:t>
      </w:r>
    </w:p>
    <w:p w:rsidR="0025522E" w:rsidRPr="004C1013" w:rsidRDefault="0025522E" w:rsidP="002812CC">
      <w:pPr>
        <w:pStyle w:val="Normaltext"/>
        <w:numPr>
          <w:ilvl w:val="1"/>
          <w:numId w:val="17"/>
        </w:numPr>
        <w:spacing w:line="276" w:lineRule="auto"/>
        <w:rPr>
          <w:rFonts w:asciiTheme="minorHAnsi" w:hAnsiTheme="minorHAnsi" w:cstheme="minorHAnsi"/>
        </w:rPr>
      </w:pPr>
      <w:r w:rsidRPr="004C1013">
        <w:rPr>
          <w:rFonts w:asciiTheme="minorHAnsi" w:hAnsiTheme="minorHAnsi" w:cstheme="minorHAnsi"/>
        </w:rPr>
        <w:t>12 t a viac.</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Sadzby mýta sú v zmysle vyššie uvedeného nariadenia vlády stanovené pre vozidlá s najväčšou prípustnou celkovou hmotnosťou vozidla:</w:t>
      </w:r>
    </w:p>
    <w:p w:rsidR="0025522E" w:rsidRPr="004C1013" w:rsidRDefault="0025522E" w:rsidP="002812CC">
      <w:pPr>
        <w:pStyle w:val="Normaltext"/>
        <w:numPr>
          <w:ilvl w:val="0"/>
          <w:numId w:val="18"/>
        </w:numPr>
        <w:spacing w:line="276" w:lineRule="auto"/>
        <w:rPr>
          <w:rFonts w:asciiTheme="minorHAnsi" w:hAnsiTheme="minorHAnsi" w:cstheme="minorHAnsi"/>
        </w:rPr>
      </w:pPr>
      <w:r w:rsidRPr="004C1013">
        <w:rPr>
          <w:rFonts w:asciiTheme="minorHAnsi" w:hAnsiTheme="minorHAnsi" w:cstheme="minorHAnsi"/>
        </w:rPr>
        <w:lastRenderedPageBreak/>
        <w:t>od 3,5 t do 12 t podľa emisnej triedy vozidla EURO a bez ohľadu na počet náprav určené na prepravu viac ako deviatich osôb vrátane vodiča a pre vozidlá, ktoré nie sú určené na prepravu osôb,</w:t>
      </w:r>
    </w:p>
    <w:p w:rsidR="0025522E" w:rsidRPr="004C1013" w:rsidRDefault="0025522E" w:rsidP="002812CC">
      <w:pPr>
        <w:pStyle w:val="Normaltext"/>
        <w:numPr>
          <w:ilvl w:val="0"/>
          <w:numId w:val="18"/>
        </w:numPr>
        <w:spacing w:line="276" w:lineRule="auto"/>
        <w:rPr>
          <w:rFonts w:asciiTheme="minorHAnsi" w:hAnsiTheme="minorHAnsi" w:cstheme="minorHAnsi"/>
        </w:rPr>
      </w:pPr>
      <w:r w:rsidRPr="004C1013">
        <w:rPr>
          <w:rFonts w:asciiTheme="minorHAnsi" w:hAnsiTheme="minorHAnsi" w:cstheme="minorHAnsi"/>
        </w:rPr>
        <w:t>12 t a viac podľa emisnej triedy vozidla EURO a bez ohľadu na počet náprav určené na prepravu osôb,</w:t>
      </w:r>
    </w:p>
    <w:p w:rsidR="0025522E" w:rsidRPr="004C1013" w:rsidRDefault="0025522E" w:rsidP="002812CC">
      <w:pPr>
        <w:pStyle w:val="Normaltext"/>
        <w:numPr>
          <w:ilvl w:val="0"/>
          <w:numId w:val="18"/>
        </w:numPr>
        <w:spacing w:line="276" w:lineRule="auto"/>
        <w:rPr>
          <w:rFonts w:asciiTheme="minorHAnsi" w:hAnsiTheme="minorHAnsi" w:cstheme="minorHAnsi"/>
        </w:rPr>
      </w:pPr>
      <w:r w:rsidRPr="004C1013">
        <w:rPr>
          <w:rFonts w:asciiTheme="minorHAnsi" w:hAnsiTheme="minorHAnsi" w:cstheme="minorHAnsi"/>
        </w:rPr>
        <w:t>12 t a viac podľa emisnej triedy vozidla EURO a počtu náprav, ktoré nie sú určené na prepravu osôb.</w:t>
      </w:r>
    </w:p>
    <w:p w:rsidR="0025522E" w:rsidRPr="004C1013" w:rsidRDefault="0025522E" w:rsidP="0025522E">
      <w:pPr>
        <w:pStyle w:val="Nadpis3"/>
        <w:rPr>
          <w:rFonts w:asciiTheme="minorHAnsi" w:hAnsiTheme="minorHAnsi" w:cstheme="minorHAnsi"/>
        </w:rPr>
      </w:pPr>
      <w:bookmarkStart w:id="28" w:name="_Toc20687920"/>
      <w:bookmarkStart w:id="29" w:name="_Toc36664363"/>
      <w:r w:rsidRPr="004C1013">
        <w:rPr>
          <w:rFonts w:asciiTheme="minorHAnsi" w:hAnsiTheme="minorHAnsi" w:cstheme="minorHAnsi"/>
        </w:rPr>
        <w:t>Sieť vymedzených úsekov ciest</w:t>
      </w:r>
      <w:bookmarkEnd w:id="28"/>
      <w:bookmarkEnd w:id="29"/>
      <w:r w:rsidRPr="004C1013">
        <w:rPr>
          <w:rFonts w:asciiTheme="minorHAnsi" w:hAnsiTheme="minorHAnsi" w:cstheme="minorHAnsi"/>
        </w:rPr>
        <w:t xml:space="preserve">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Cestná infraštruktúra Slovenskej republiky s elektronickým výberom mýta pozostáva z vymedzených úsekov diaľnic, rýchlostných ciest, ciest I. triedy, ciest II. triedy a ciest III. triedy.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Zoznam vymedzených úsekov ciest stanovuje vyhláška Ministerstva dopravy, výstavby a regionálneho rozvoja Slovenskej republiky č. 475/2013 Z. z., ktorou sa vymedzujú úseky diaľnic, rýchlostných ciest, ciest I. triedy, ciest II. triedy a ciest III. triedy s elektronickým výberom mýta v platnom znení. Od 1. januára 2014 je </w:t>
      </w:r>
      <w:r w:rsidR="00FF12B3">
        <w:rPr>
          <w:rFonts w:asciiTheme="minorHAnsi" w:hAnsiTheme="minorHAnsi" w:cstheme="minorHAnsi"/>
        </w:rPr>
        <w:t>s využitím</w:t>
      </w:r>
      <w:r w:rsidRPr="004C1013">
        <w:rPr>
          <w:rFonts w:asciiTheme="minorHAnsi" w:hAnsiTheme="minorHAnsi" w:cstheme="minorHAnsi"/>
        </w:rPr>
        <w:t xml:space="preserve"> satelitnej technológie výberu mýta pokrytých takmer 17 </w:t>
      </w:r>
      <w:r w:rsidR="007F124F">
        <w:rPr>
          <w:rFonts w:asciiTheme="minorHAnsi" w:hAnsiTheme="minorHAnsi" w:cstheme="minorHAnsi"/>
        </w:rPr>
        <w:t>600</w:t>
      </w:r>
      <w:r w:rsidR="007F124F" w:rsidRPr="004C1013">
        <w:rPr>
          <w:rFonts w:asciiTheme="minorHAnsi" w:hAnsiTheme="minorHAnsi" w:cstheme="minorHAnsi"/>
        </w:rPr>
        <w:t xml:space="preserve"> </w:t>
      </w:r>
      <w:r w:rsidRPr="004C1013">
        <w:rPr>
          <w:rFonts w:asciiTheme="minorHAnsi" w:hAnsiTheme="minorHAnsi" w:cstheme="minorHAnsi"/>
        </w:rPr>
        <w:t>km vymedzených úsekov ciest Slovenskej republiky. Graficky je sieť vymedzených úsekov ciest zobrazená na nasledujúcom obrázku (</w:t>
      </w:r>
      <w:r w:rsidR="00C40D3F">
        <w:fldChar w:fldCharType="begin"/>
      </w:r>
      <w:r w:rsidR="00C40D3F">
        <w:instrText xml:space="preserve"> REF _Ref19816652 \h  \* MERGEFORMAT </w:instrText>
      </w:r>
      <w:r w:rsidR="00C40D3F">
        <w:fldChar w:fldCharType="separate"/>
      </w:r>
      <w:r w:rsidR="001E4C1C" w:rsidRPr="001E4C1C">
        <w:rPr>
          <w:rFonts w:asciiTheme="minorHAnsi" w:hAnsiTheme="minorHAnsi" w:cstheme="minorHAnsi"/>
        </w:rPr>
        <w:t xml:space="preserve">Obr.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w:t>
      </w:r>
      <w:r w:rsidR="00C40D3F">
        <w:fldChar w:fldCharType="end"/>
      </w:r>
      <w:r w:rsidRPr="004C1013">
        <w:rPr>
          <w:rFonts w:asciiTheme="minorHAnsi" w:hAnsiTheme="minorHAnsi" w:cstheme="minorHAnsi"/>
        </w:rPr>
        <w:t xml:space="preserve">).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noProof/>
          <w:lang w:eastAsia="sk-SK"/>
        </w:rPr>
        <w:drawing>
          <wp:inline distT="0" distB="0" distL="0" distR="0">
            <wp:extent cx="5940425" cy="2977727"/>
            <wp:effectExtent l="0" t="0" r="3175" b="0"/>
            <wp:docPr id="43"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5884 final.png"/>
                    <pic:cNvPicPr/>
                  </pic:nvPicPr>
                  <pic:blipFill rotWithShape="1">
                    <a:blip r:embed="rId19" cstate="print">
                      <a:extLst>
                        <a:ext uri="{28A0092B-C50C-407E-A947-70E740481C1C}">
                          <a14:useLocalDpi xmlns:a14="http://schemas.microsoft.com/office/drawing/2010/main" val="0"/>
                        </a:ext>
                      </a:extLst>
                    </a:blip>
                    <a:srcRect/>
                    <a:stretch/>
                  </pic:blipFill>
                  <pic:spPr bwMode="auto">
                    <a:xfrm>
                      <a:off x="0" y="0"/>
                      <a:ext cx="5940425" cy="2977727"/>
                    </a:xfrm>
                    <a:prstGeom prst="rect">
                      <a:avLst/>
                    </a:prstGeom>
                    <a:ln>
                      <a:noFill/>
                    </a:ln>
                    <a:extLst>
                      <a:ext uri="{53640926-AAD7-44D8-BBD7-CCE9431645EC}">
                        <a14:shadowObscured xmlns:a14="http://schemas.microsoft.com/office/drawing/2010/main"/>
                      </a:ext>
                    </a:extLst>
                  </pic:spPr>
                </pic:pic>
              </a:graphicData>
            </a:graphic>
          </wp:inline>
        </w:drawing>
      </w:r>
    </w:p>
    <w:p w:rsidR="0025522E" w:rsidRPr="004C1013" w:rsidRDefault="0025522E" w:rsidP="006B1C25">
      <w:pPr>
        <w:pStyle w:val="Popis"/>
      </w:pPr>
      <w:bookmarkStart w:id="30" w:name="_Ref19816652"/>
      <w:bookmarkStart w:id="31" w:name="_Toc36664505"/>
      <w:r w:rsidRPr="004C1013">
        <w:t xml:space="preserve">Obr. </w:t>
      </w:r>
      <w:r w:rsidR="00C40D3F">
        <w:fldChar w:fldCharType="begin"/>
      </w:r>
      <w:r w:rsidR="00C40D3F">
        <w:instrText xml:space="preserve"> STYLEREF 1 \s </w:instrText>
      </w:r>
      <w:r w:rsidR="00C40D3F">
        <w:fldChar w:fldCharType="separate"/>
      </w:r>
      <w:r w:rsidR="00D61B89">
        <w:rPr>
          <w:noProof/>
        </w:rPr>
        <w:t>1</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w:t>
      </w:r>
      <w:r w:rsidR="00C40D3F">
        <w:rPr>
          <w:noProof/>
        </w:rPr>
        <w:fldChar w:fldCharType="end"/>
      </w:r>
      <w:bookmarkEnd w:id="30"/>
      <w:r w:rsidRPr="004C1013">
        <w:tab/>
        <w:t>Sieť vymedzených úsekov ciest EMS [1]</w:t>
      </w:r>
      <w:bookmarkEnd w:id="31"/>
    </w:p>
    <w:p w:rsidR="0025522E" w:rsidRPr="004C1013" w:rsidRDefault="0025522E" w:rsidP="0025522E">
      <w:pPr>
        <w:pStyle w:val="Normaltext"/>
        <w:spacing w:line="276" w:lineRule="auto"/>
        <w:rPr>
          <w:rFonts w:asciiTheme="minorHAnsi" w:hAnsiTheme="minorHAnsi" w:cstheme="minorHAnsi"/>
        </w:rPr>
      </w:pP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Sieť vymedzených úsekov ciest EMS je od svojho rapídneho rozšírenia v roku 2014 rozdelená podľa spoplatnenia na dve základné skupiny:</w:t>
      </w:r>
    </w:p>
    <w:p w:rsidR="0025522E" w:rsidRPr="004C1013" w:rsidRDefault="0025522E" w:rsidP="002812CC">
      <w:pPr>
        <w:pStyle w:val="Normaltext"/>
        <w:numPr>
          <w:ilvl w:val="0"/>
          <w:numId w:val="22"/>
        </w:numPr>
        <w:spacing w:line="276" w:lineRule="auto"/>
        <w:rPr>
          <w:rFonts w:asciiTheme="minorHAnsi" w:hAnsiTheme="minorHAnsi" w:cstheme="minorHAnsi"/>
        </w:rPr>
      </w:pPr>
      <w:r w:rsidRPr="004C1013">
        <w:rPr>
          <w:rFonts w:asciiTheme="minorHAnsi" w:hAnsiTheme="minorHAnsi" w:cstheme="minorHAnsi"/>
        </w:rPr>
        <w:t>vymedzené úseky spoplatnené nenulovou sadzbou (</w:t>
      </w:r>
      <w:r w:rsidRPr="004C1013">
        <w:rPr>
          <w:rFonts w:asciiTheme="minorHAnsi" w:hAnsiTheme="minorHAnsi" w:cstheme="minorHAnsi"/>
          <w:color w:val="000000"/>
          <w:lang w:eastAsia="sk-SK"/>
        </w:rPr>
        <w:t>&gt; 0)</w:t>
      </w:r>
    </w:p>
    <w:p w:rsidR="0025522E" w:rsidRPr="004C1013" w:rsidRDefault="0025522E" w:rsidP="002812CC">
      <w:pPr>
        <w:pStyle w:val="Normaltext"/>
        <w:numPr>
          <w:ilvl w:val="0"/>
          <w:numId w:val="22"/>
        </w:numPr>
        <w:spacing w:line="276" w:lineRule="auto"/>
        <w:rPr>
          <w:rFonts w:asciiTheme="minorHAnsi" w:hAnsiTheme="minorHAnsi" w:cstheme="minorHAnsi"/>
        </w:rPr>
      </w:pPr>
      <w:r w:rsidRPr="004C1013">
        <w:rPr>
          <w:rFonts w:asciiTheme="minorHAnsi" w:hAnsiTheme="minorHAnsi" w:cstheme="minorHAnsi"/>
        </w:rPr>
        <w:t>vymedzené úseky spoplatnené nulovou sadzbou (</w:t>
      </w:r>
      <w:r w:rsidRPr="004C1013">
        <w:rPr>
          <w:rFonts w:asciiTheme="minorHAnsi" w:hAnsiTheme="minorHAnsi" w:cstheme="minorHAnsi"/>
          <w:color w:val="000000"/>
          <w:lang w:eastAsia="sk-SK"/>
        </w:rPr>
        <w:t>0)</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lastRenderedPageBreak/>
        <w:t>Prehľad dĺžok vymedzených úsekov ciest spoplatnených nulovou a nenulovou sadzbou za jednotlivé roky prevádzky EMS je znázornený v nasledujúcej tabuľke (</w:t>
      </w:r>
      <w:r w:rsidR="00C40D3F">
        <w:fldChar w:fldCharType="begin"/>
      </w:r>
      <w:r w:rsidR="00C40D3F">
        <w:instrText xml:space="preserve"> REF _Ref19794253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2</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32" w:name="_Ref19794253"/>
      <w:bookmarkStart w:id="33" w:name="_Toc36664444"/>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w:t>
      </w:r>
      <w:r w:rsidR="00C40D3F">
        <w:rPr>
          <w:noProof/>
        </w:rPr>
        <w:fldChar w:fldCharType="end"/>
      </w:r>
      <w:bookmarkEnd w:id="32"/>
      <w:r w:rsidRPr="004C1013">
        <w:tab/>
        <w:t>Prehľad rozšírení siete vymedzených úsekov ciest počas prevádzky systému ETC v SR [2]</w:t>
      </w:r>
      <w:bookmarkEnd w:id="33"/>
    </w:p>
    <w:tbl>
      <w:tblPr>
        <w:tblStyle w:val="tabulkaVUD"/>
        <w:tblW w:w="5000" w:type="pct"/>
        <w:tblLook w:val="04A0" w:firstRow="1" w:lastRow="0" w:firstColumn="1" w:lastColumn="0" w:noHBand="0" w:noVBand="1"/>
      </w:tblPr>
      <w:tblGrid>
        <w:gridCol w:w="2388"/>
        <w:gridCol w:w="688"/>
        <w:gridCol w:w="703"/>
        <w:gridCol w:w="703"/>
        <w:gridCol w:w="703"/>
        <w:gridCol w:w="703"/>
        <w:gridCol w:w="703"/>
        <w:gridCol w:w="703"/>
        <w:gridCol w:w="703"/>
        <w:gridCol w:w="703"/>
        <w:gridCol w:w="711"/>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1234" w:type="pct"/>
            <w:vMerge w:val="restart"/>
            <w:noWrap/>
            <w:hideMark/>
          </w:tcPr>
          <w:p w:rsidR="0025522E" w:rsidRPr="004C1013" w:rsidRDefault="0025522E" w:rsidP="009D58D5">
            <w:pPr>
              <w:pStyle w:val="zahltab"/>
            </w:pPr>
            <w:r w:rsidRPr="004C1013">
              <w:t>Kategória cesty</w:t>
            </w:r>
          </w:p>
        </w:tc>
        <w:tc>
          <w:tcPr>
            <w:tcW w:w="3766" w:type="pct"/>
            <w:gridSpan w:val="10"/>
            <w:noWrap/>
            <w:hideMark/>
          </w:tcPr>
          <w:p w:rsidR="0025522E" w:rsidRPr="004C1013" w:rsidRDefault="0025522E" w:rsidP="009D58D5">
            <w:pPr>
              <w:pStyle w:val="zahltab"/>
            </w:pPr>
            <w:r w:rsidRPr="004C1013">
              <w:t>Vymedzené úseky EMS v SR [km]</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1234" w:type="pct"/>
            <w:vMerge/>
            <w:shd w:val="clear" w:color="auto" w:fill="7F7F7F" w:themeFill="text1" w:themeFillTint="80"/>
            <w:noWrap/>
            <w:hideMark/>
          </w:tcPr>
          <w:p w:rsidR="0025522E" w:rsidRPr="004C1013" w:rsidRDefault="0025522E" w:rsidP="009D58D5">
            <w:pPr>
              <w:pStyle w:val="zahltab"/>
            </w:pPr>
          </w:p>
        </w:tc>
        <w:tc>
          <w:tcPr>
            <w:tcW w:w="369" w:type="pct"/>
            <w:shd w:val="clear" w:color="auto" w:fill="7F7F7F" w:themeFill="text1" w:themeFillTint="80"/>
            <w:noWrap/>
            <w:hideMark/>
          </w:tcPr>
          <w:p w:rsidR="0025522E" w:rsidRPr="004C1013" w:rsidRDefault="0025522E" w:rsidP="009D58D5">
            <w:pPr>
              <w:pStyle w:val="zahltab"/>
            </w:pPr>
            <w:r w:rsidRPr="004C1013">
              <w:t>Sadzba</w:t>
            </w:r>
          </w:p>
        </w:tc>
        <w:tc>
          <w:tcPr>
            <w:tcW w:w="377" w:type="pct"/>
            <w:shd w:val="clear" w:color="auto" w:fill="7F7F7F" w:themeFill="text1" w:themeFillTint="80"/>
            <w:noWrap/>
            <w:hideMark/>
          </w:tcPr>
          <w:p w:rsidR="0025522E" w:rsidRPr="004C1013" w:rsidRDefault="0025522E" w:rsidP="009D58D5">
            <w:pPr>
              <w:pStyle w:val="zahltab"/>
            </w:pPr>
            <w:r w:rsidRPr="004C1013">
              <w:t>2010</w:t>
            </w:r>
          </w:p>
        </w:tc>
        <w:tc>
          <w:tcPr>
            <w:tcW w:w="377" w:type="pct"/>
            <w:shd w:val="clear" w:color="auto" w:fill="7F7F7F" w:themeFill="text1" w:themeFillTint="80"/>
            <w:noWrap/>
            <w:hideMark/>
          </w:tcPr>
          <w:p w:rsidR="0025522E" w:rsidRPr="004C1013" w:rsidRDefault="0025522E" w:rsidP="009D58D5">
            <w:pPr>
              <w:pStyle w:val="zahltab"/>
            </w:pPr>
            <w:r w:rsidRPr="004C1013">
              <w:t>2011</w:t>
            </w:r>
          </w:p>
        </w:tc>
        <w:tc>
          <w:tcPr>
            <w:tcW w:w="377" w:type="pct"/>
            <w:shd w:val="clear" w:color="auto" w:fill="7F7F7F" w:themeFill="text1" w:themeFillTint="80"/>
            <w:noWrap/>
            <w:hideMark/>
          </w:tcPr>
          <w:p w:rsidR="0025522E" w:rsidRPr="004C1013" w:rsidRDefault="0025522E" w:rsidP="009D58D5">
            <w:pPr>
              <w:pStyle w:val="zahltab"/>
            </w:pPr>
            <w:r w:rsidRPr="004C1013">
              <w:t>2012</w:t>
            </w:r>
          </w:p>
        </w:tc>
        <w:tc>
          <w:tcPr>
            <w:tcW w:w="377" w:type="pct"/>
            <w:shd w:val="clear" w:color="auto" w:fill="7F7F7F" w:themeFill="text1" w:themeFillTint="80"/>
            <w:noWrap/>
            <w:hideMark/>
          </w:tcPr>
          <w:p w:rsidR="0025522E" w:rsidRPr="004C1013" w:rsidRDefault="0025522E" w:rsidP="009D58D5">
            <w:pPr>
              <w:pStyle w:val="zahltab"/>
            </w:pPr>
            <w:r w:rsidRPr="004C1013">
              <w:t>2013</w:t>
            </w:r>
          </w:p>
        </w:tc>
        <w:tc>
          <w:tcPr>
            <w:tcW w:w="377" w:type="pct"/>
            <w:shd w:val="clear" w:color="auto" w:fill="7F7F7F" w:themeFill="text1" w:themeFillTint="80"/>
            <w:noWrap/>
            <w:hideMark/>
          </w:tcPr>
          <w:p w:rsidR="0025522E" w:rsidRPr="004C1013" w:rsidRDefault="0025522E" w:rsidP="009D58D5">
            <w:pPr>
              <w:pStyle w:val="zahltab"/>
            </w:pPr>
            <w:r w:rsidRPr="004C1013">
              <w:t>2014</w:t>
            </w:r>
          </w:p>
        </w:tc>
        <w:tc>
          <w:tcPr>
            <w:tcW w:w="377" w:type="pct"/>
            <w:shd w:val="clear" w:color="auto" w:fill="7F7F7F" w:themeFill="text1" w:themeFillTint="80"/>
            <w:noWrap/>
            <w:hideMark/>
          </w:tcPr>
          <w:p w:rsidR="0025522E" w:rsidRPr="004C1013" w:rsidRDefault="0025522E" w:rsidP="009D58D5">
            <w:pPr>
              <w:pStyle w:val="zahltab"/>
            </w:pPr>
            <w:r w:rsidRPr="004C1013">
              <w:t>2015</w:t>
            </w:r>
          </w:p>
        </w:tc>
        <w:tc>
          <w:tcPr>
            <w:tcW w:w="377" w:type="pct"/>
            <w:shd w:val="clear" w:color="auto" w:fill="7F7F7F" w:themeFill="text1" w:themeFillTint="80"/>
            <w:noWrap/>
            <w:hideMark/>
          </w:tcPr>
          <w:p w:rsidR="0025522E" w:rsidRPr="004C1013" w:rsidRDefault="0025522E" w:rsidP="009D58D5">
            <w:pPr>
              <w:pStyle w:val="zahltab"/>
            </w:pPr>
            <w:r w:rsidRPr="004C1013">
              <w:t>2016</w:t>
            </w:r>
          </w:p>
        </w:tc>
        <w:tc>
          <w:tcPr>
            <w:tcW w:w="377" w:type="pct"/>
            <w:shd w:val="clear" w:color="auto" w:fill="7F7F7F" w:themeFill="text1" w:themeFillTint="80"/>
            <w:noWrap/>
            <w:hideMark/>
          </w:tcPr>
          <w:p w:rsidR="0025522E" w:rsidRPr="004C1013" w:rsidRDefault="0025522E" w:rsidP="009D58D5">
            <w:pPr>
              <w:pStyle w:val="zahltab"/>
            </w:pPr>
            <w:r w:rsidRPr="004C1013">
              <w:t>2017</w:t>
            </w:r>
          </w:p>
        </w:tc>
        <w:tc>
          <w:tcPr>
            <w:tcW w:w="381" w:type="pct"/>
            <w:shd w:val="clear" w:color="auto" w:fill="7F7F7F" w:themeFill="text1" w:themeFillTint="80"/>
            <w:noWrap/>
            <w:hideMark/>
          </w:tcPr>
          <w:p w:rsidR="0025522E" w:rsidRPr="004C1013" w:rsidRDefault="0025522E" w:rsidP="009D58D5">
            <w:pPr>
              <w:pStyle w:val="zahltab"/>
            </w:pPr>
            <w:r w:rsidRPr="004C1013">
              <w:t>2018</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Diaľnice + Rýchlostné cesty</w:t>
            </w:r>
          </w:p>
        </w:tc>
        <w:tc>
          <w:tcPr>
            <w:tcW w:w="369" w:type="pct"/>
            <w:noWrap/>
            <w:hideMark/>
          </w:tcPr>
          <w:p w:rsidR="0025522E" w:rsidRPr="004C1013" w:rsidRDefault="0025522E" w:rsidP="0025522E">
            <w:pPr>
              <w:pStyle w:val="tabbielystyl"/>
            </w:pPr>
            <w:r w:rsidRPr="004C1013">
              <w:t>&gt; 0</w:t>
            </w:r>
          </w:p>
        </w:tc>
        <w:tc>
          <w:tcPr>
            <w:tcW w:w="377" w:type="pct"/>
            <w:noWrap/>
            <w:hideMark/>
          </w:tcPr>
          <w:p w:rsidR="0025522E" w:rsidRPr="004C1013" w:rsidRDefault="0025522E" w:rsidP="0025522E">
            <w:pPr>
              <w:pStyle w:val="tabbielystyl"/>
            </w:pPr>
            <w:r w:rsidRPr="004C1013">
              <w:t>564</w:t>
            </w:r>
          </w:p>
        </w:tc>
        <w:tc>
          <w:tcPr>
            <w:tcW w:w="377" w:type="pct"/>
            <w:noWrap/>
            <w:hideMark/>
          </w:tcPr>
          <w:p w:rsidR="0025522E" w:rsidRPr="004C1013" w:rsidRDefault="0025522E" w:rsidP="0025522E">
            <w:pPr>
              <w:pStyle w:val="tabbielystyl"/>
            </w:pPr>
            <w:r w:rsidRPr="004C1013">
              <w:t>620</w:t>
            </w:r>
          </w:p>
        </w:tc>
        <w:tc>
          <w:tcPr>
            <w:tcW w:w="377" w:type="pct"/>
            <w:noWrap/>
            <w:hideMark/>
          </w:tcPr>
          <w:p w:rsidR="0025522E" w:rsidRPr="004C1013" w:rsidRDefault="0025522E" w:rsidP="0025522E">
            <w:pPr>
              <w:pStyle w:val="tabbielystyl"/>
            </w:pPr>
            <w:r w:rsidRPr="004C1013">
              <w:t>619</w:t>
            </w:r>
          </w:p>
        </w:tc>
        <w:tc>
          <w:tcPr>
            <w:tcW w:w="377" w:type="pct"/>
            <w:noWrap/>
            <w:hideMark/>
          </w:tcPr>
          <w:p w:rsidR="0025522E" w:rsidRPr="004C1013" w:rsidRDefault="0025522E" w:rsidP="0025522E">
            <w:pPr>
              <w:pStyle w:val="tabbielystyl"/>
            </w:pPr>
            <w:r w:rsidRPr="004C1013">
              <w:t>633</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81" w:type="pct"/>
            <w:noWrap/>
            <w:hideMark/>
          </w:tcPr>
          <w:p w:rsidR="0025522E" w:rsidRPr="004C1013" w:rsidRDefault="0025522E" w:rsidP="0025522E">
            <w:pPr>
              <w:pStyle w:val="tabbielystyl"/>
            </w:pPr>
            <w:r w:rsidRPr="004C1013">
              <w:t>0</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Diaľnice</w:t>
            </w:r>
          </w:p>
        </w:tc>
        <w:tc>
          <w:tcPr>
            <w:tcW w:w="369" w:type="pct"/>
            <w:noWrap/>
            <w:hideMark/>
          </w:tcPr>
          <w:p w:rsidR="0025522E" w:rsidRPr="004C1013" w:rsidRDefault="0025522E" w:rsidP="0025522E">
            <w:pPr>
              <w:pStyle w:val="tabbielystyl"/>
            </w:pPr>
            <w:r w:rsidRPr="004C1013">
              <w:t>&gt; 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395</w:t>
            </w:r>
          </w:p>
        </w:tc>
        <w:tc>
          <w:tcPr>
            <w:tcW w:w="377" w:type="pct"/>
            <w:noWrap/>
            <w:hideMark/>
          </w:tcPr>
          <w:p w:rsidR="0025522E" w:rsidRPr="004C1013" w:rsidRDefault="0025522E" w:rsidP="0025522E">
            <w:pPr>
              <w:pStyle w:val="tabbielystyl"/>
            </w:pPr>
            <w:r w:rsidRPr="004C1013">
              <w:t>434</w:t>
            </w:r>
          </w:p>
        </w:tc>
        <w:tc>
          <w:tcPr>
            <w:tcW w:w="377" w:type="pct"/>
            <w:noWrap/>
            <w:hideMark/>
          </w:tcPr>
          <w:p w:rsidR="0025522E" w:rsidRPr="004C1013" w:rsidRDefault="0025522E" w:rsidP="0025522E">
            <w:pPr>
              <w:pStyle w:val="tabbielystyl"/>
            </w:pPr>
            <w:r w:rsidRPr="004C1013">
              <w:t>444</w:t>
            </w:r>
          </w:p>
        </w:tc>
        <w:tc>
          <w:tcPr>
            <w:tcW w:w="377" w:type="pct"/>
            <w:noWrap/>
            <w:hideMark/>
          </w:tcPr>
          <w:p w:rsidR="0025522E" w:rsidRPr="004C1013" w:rsidRDefault="0025522E" w:rsidP="0025522E">
            <w:pPr>
              <w:pStyle w:val="tabbielystyl"/>
            </w:pPr>
            <w:r w:rsidRPr="004C1013">
              <w:t>463</w:t>
            </w:r>
          </w:p>
        </w:tc>
        <w:tc>
          <w:tcPr>
            <w:tcW w:w="381" w:type="pct"/>
            <w:noWrap/>
            <w:hideMark/>
          </w:tcPr>
          <w:p w:rsidR="0025522E" w:rsidRPr="004C1013" w:rsidRDefault="0025522E" w:rsidP="0025522E">
            <w:pPr>
              <w:pStyle w:val="tabbielystyl"/>
            </w:pPr>
            <w:r w:rsidRPr="004C1013">
              <w:t>463</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Rýchlostné cesty</w:t>
            </w:r>
          </w:p>
        </w:tc>
        <w:tc>
          <w:tcPr>
            <w:tcW w:w="369" w:type="pct"/>
            <w:noWrap/>
            <w:hideMark/>
          </w:tcPr>
          <w:p w:rsidR="0025522E" w:rsidRPr="004C1013" w:rsidRDefault="0025522E" w:rsidP="0025522E">
            <w:pPr>
              <w:pStyle w:val="tabbielystyl"/>
            </w:pPr>
            <w:r w:rsidRPr="004C1013">
              <w:t>&gt; 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238</w:t>
            </w:r>
          </w:p>
        </w:tc>
        <w:tc>
          <w:tcPr>
            <w:tcW w:w="377" w:type="pct"/>
            <w:noWrap/>
            <w:hideMark/>
          </w:tcPr>
          <w:p w:rsidR="0025522E" w:rsidRPr="004C1013" w:rsidRDefault="0025522E" w:rsidP="0025522E">
            <w:pPr>
              <w:pStyle w:val="tabbielystyl"/>
            </w:pPr>
            <w:r w:rsidRPr="004C1013">
              <w:t>254</w:t>
            </w:r>
          </w:p>
        </w:tc>
        <w:tc>
          <w:tcPr>
            <w:tcW w:w="377" w:type="pct"/>
            <w:noWrap/>
            <w:hideMark/>
          </w:tcPr>
          <w:p w:rsidR="0025522E" w:rsidRPr="004C1013" w:rsidRDefault="0025522E" w:rsidP="0025522E">
            <w:pPr>
              <w:pStyle w:val="tabbielystyl"/>
            </w:pPr>
            <w:r w:rsidRPr="004C1013">
              <w:t>263</w:t>
            </w:r>
          </w:p>
        </w:tc>
        <w:tc>
          <w:tcPr>
            <w:tcW w:w="377" w:type="pct"/>
            <w:noWrap/>
            <w:hideMark/>
          </w:tcPr>
          <w:p w:rsidR="0025522E" w:rsidRPr="004C1013" w:rsidRDefault="0025522E" w:rsidP="0025522E">
            <w:pPr>
              <w:pStyle w:val="tabbielystyl"/>
            </w:pPr>
            <w:r w:rsidRPr="004C1013">
              <w:t>272</w:t>
            </w:r>
          </w:p>
        </w:tc>
        <w:tc>
          <w:tcPr>
            <w:tcW w:w="381" w:type="pct"/>
            <w:noWrap/>
            <w:hideMark/>
          </w:tcPr>
          <w:p w:rsidR="0025522E" w:rsidRPr="004C1013" w:rsidRDefault="0025522E" w:rsidP="0025522E">
            <w:pPr>
              <w:pStyle w:val="tabbielystyl"/>
            </w:pPr>
            <w:r w:rsidRPr="004C1013">
              <w:t>272</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 trieda</w:t>
            </w:r>
          </w:p>
        </w:tc>
        <w:tc>
          <w:tcPr>
            <w:tcW w:w="369" w:type="pct"/>
            <w:noWrap/>
            <w:hideMark/>
          </w:tcPr>
          <w:p w:rsidR="0025522E" w:rsidRPr="004C1013" w:rsidRDefault="0025522E" w:rsidP="0025522E">
            <w:pPr>
              <w:pStyle w:val="tabbielystyl"/>
            </w:pPr>
            <w:r w:rsidRPr="004C1013">
              <w:t>&gt; 0</w:t>
            </w:r>
          </w:p>
        </w:tc>
        <w:tc>
          <w:tcPr>
            <w:tcW w:w="377" w:type="pct"/>
            <w:noWrap/>
            <w:hideMark/>
          </w:tcPr>
          <w:p w:rsidR="0025522E" w:rsidRPr="004C1013" w:rsidRDefault="0025522E" w:rsidP="0025522E">
            <w:pPr>
              <w:pStyle w:val="tabbielystyl"/>
            </w:pPr>
            <w:r w:rsidRPr="004C1013">
              <w:t>1 385</w:t>
            </w:r>
          </w:p>
        </w:tc>
        <w:tc>
          <w:tcPr>
            <w:tcW w:w="377" w:type="pct"/>
            <w:noWrap/>
            <w:hideMark/>
          </w:tcPr>
          <w:p w:rsidR="0025522E" w:rsidRPr="004C1013" w:rsidRDefault="0025522E" w:rsidP="0025522E">
            <w:pPr>
              <w:pStyle w:val="tabbielystyl"/>
            </w:pPr>
            <w:r w:rsidRPr="004C1013">
              <w:t>1 379</w:t>
            </w:r>
          </w:p>
        </w:tc>
        <w:tc>
          <w:tcPr>
            <w:tcW w:w="377" w:type="pct"/>
            <w:noWrap/>
            <w:hideMark/>
          </w:tcPr>
          <w:p w:rsidR="0025522E" w:rsidRPr="004C1013" w:rsidRDefault="0025522E" w:rsidP="0025522E">
            <w:pPr>
              <w:pStyle w:val="tabbielystyl"/>
            </w:pPr>
            <w:r w:rsidRPr="004C1013">
              <w:t>1 414</w:t>
            </w:r>
          </w:p>
        </w:tc>
        <w:tc>
          <w:tcPr>
            <w:tcW w:w="377" w:type="pct"/>
            <w:noWrap/>
            <w:hideMark/>
          </w:tcPr>
          <w:p w:rsidR="0025522E" w:rsidRPr="004C1013" w:rsidRDefault="0025522E" w:rsidP="0025522E">
            <w:pPr>
              <w:pStyle w:val="tabbielystyl"/>
            </w:pPr>
            <w:r w:rsidRPr="004C1013">
              <w:t>1 423</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81" w:type="pct"/>
            <w:noWrap/>
            <w:hideMark/>
          </w:tcPr>
          <w:p w:rsidR="0025522E" w:rsidRPr="004C1013" w:rsidRDefault="0025522E" w:rsidP="0025522E">
            <w:pPr>
              <w:pStyle w:val="tabbielystyl"/>
            </w:pPr>
            <w:r w:rsidRPr="004C1013">
              <w:t>0</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 trieda - súbežné s D/R</w:t>
            </w:r>
          </w:p>
        </w:tc>
        <w:tc>
          <w:tcPr>
            <w:tcW w:w="369" w:type="pct"/>
            <w:noWrap/>
            <w:hideMark/>
          </w:tcPr>
          <w:p w:rsidR="0025522E" w:rsidRPr="004C1013" w:rsidRDefault="0025522E" w:rsidP="0025522E">
            <w:pPr>
              <w:pStyle w:val="tabbielystyl"/>
            </w:pPr>
            <w:r w:rsidRPr="004C1013">
              <w:t>&gt; 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371</w:t>
            </w:r>
          </w:p>
        </w:tc>
        <w:tc>
          <w:tcPr>
            <w:tcW w:w="377" w:type="pct"/>
            <w:noWrap/>
            <w:hideMark/>
          </w:tcPr>
          <w:p w:rsidR="0025522E" w:rsidRPr="004C1013" w:rsidRDefault="0025522E" w:rsidP="0025522E">
            <w:pPr>
              <w:pStyle w:val="tabbielystyl"/>
            </w:pPr>
            <w:r w:rsidRPr="004C1013">
              <w:t>410</w:t>
            </w:r>
          </w:p>
        </w:tc>
        <w:tc>
          <w:tcPr>
            <w:tcW w:w="377" w:type="pct"/>
            <w:noWrap/>
            <w:hideMark/>
          </w:tcPr>
          <w:p w:rsidR="0025522E" w:rsidRPr="004C1013" w:rsidRDefault="0025522E" w:rsidP="0025522E">
            <w:pPr>
              <w:pStyle w:val="tabbielystyl"/>
            </w:pPr>
            <w:r w:rsidRPr="004C1013">
              <w:t>413</w:t>
            </w:r>
          </w:p>
        </w:tc>
        <w:tc>
          <w:tcPr>
            <w:tcW w:w="377" w:type="pct"/>
            <w:noWrap/>
            <w:hideMark/>
          </w:tcPr>
          <w:p w:rsidR="0025522E" w:rsidRPr="004C1013" w:rsidRDefault="0025522E" w:rsidP="0025522E">
            <w:pPr>
              <w:pStyle w:val="tabbielystyl"/>
            </w:pPr>
            <w:r w:rsidRPr="004C1013">
              <w:t>421</w:t>
            </w:r>
          </w:p>
        </w:tc>
        <w:tc>
          <w:tcPr>
            <w:tcW w:w="381" w:type="pct"/>
            <w:noWrap/>
            <w:hideMark/>
          </w:tcPr>
          <w:p w:rsidR="0025522E" w:rsidRPr="004C1013" w:rsidRDefault="0025522E" w:rsidP="0025522E">
            <w:pPr>
              <w:pStyle w:val="tabbielystyl"/>
            </w:pPr>
            <w:r w:rsidRPr="004C1013">
              <w:t>421</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 trieda - nesúbežné</w:t>
            </w:r>
          </w:p>
        </w:tc>
        <w:tc>
          <w:tcPr>
            <w:tcW w:w="369" w:type="pct"/>
            <w:noWrap/>
            <w:hideMark/>
          </w:tcPr>
          <w:p w:rsidR="0025522E" w:rsidRPr="004C1013" w:rsidRDefault="0025522E" w:rsidP="0025522E">
            <w:pPr>
              <w:pStyle w:val="tabbielystyl"/>
            </w:pPr>
            <w:r w:rsidRPr="004C1013">
              <w:t>&gt; 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1 265</w:t>
            </w:r>
          </w:p>
        </w:tc>
        <w:tc>
          <w:tcPr>
            <w:tcW w:w="377" w:type="pct"/>
            <w:noWrap/>
            <w:hideMark/>
          </w:tcPr>
          <w:p w:rsidR="0025522E" w:rsidRPr="004C1013" w:rsidRDefault="0025522E" w:rsidP="0025522E">
            <w:pPr>
              <w:pStyle w:val="tabbielystyl"/>
            </w:pPr>
            <w:r w:rsidRPr="004C1013">
              <w:t>1 229</w:t>
            </w:r>
          </w:p>
        </w:tc>
        <w:tc>
          <w:tcPr>
            <w:tcW w:w="377" w:type="pct"/>
            <w:noWrap/>
            <w:hideMark/>
          </w:tcPr>
          <w:p w:rsidR="0025522E" w:rsidRPr="004C1013" w:rsidRDefault="0025522E" w:rsidP="0025522E">
            <w:pPr>
              <w:pStyle w:val="tabbielystyl"/>
            </w:pPr>
            <w:r w:rsidRPr="004C1013">
              <w:t>1 225</w:t>
            </w:r>
          </w:p>
        </w:tc>
        <w:tc>
          <w:tcPr>
            <w:tcW w:w="377" w:type="pct"/>
            <w:noWrap/>
            <w:hideMark/>
          </w:tcPr>
          <w:p w:rsidR="0025522E" w:rsidRPr="004C1013" w:rsidRDefault="0025522E" w:rsidP="0025522E">
            <w:pPr>
              <w:pStyle w:val="tabbielystyl"/>
            </w:pPr>
            <w:r w:rsidRPr="004C1013">
              <w:t>1 210</w:t>
            </w:r>
          </w:p>
        </w:tc>
        <w:tc>
          <w:tcPr>
            <w:tcW w:w="381" w:type="pct"/>
            <w:noWrap/>
            <w:hideMark/>
          </w:tcPr>
          <w:p w:rsidR="0025522E" w:rsidRPr="004C1013" w:rsidRDefault="0025522E" w:rsidP="0025522E">
            <w:pPr>
              <w:pStyle w:val="tabbielystyl"/>
            </w:pPr>
            <w:r w:rsidRPr="004C1013">
              <w:t>1 210</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 trieda - ostatné</w:t>
            </w:r>
          </w:p>
        </w:tc>
        <w:tc>
          <w:tcPr>
            <w:tcW w:w="369"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598</w:t>
            </w:r>
          </w:p>
        </w:tc>
        <w:tc>
          <w:tcPr>
            <w:tcW w:w="377" w:type="pct"/>
            <w:noWrap/>
            <w:hideMark/>
          </w:tcPr>
          <w:p w:rsidR="0025522E" w:rsidRPr="004C1013" w:rsidRDefault="0025522E" w:rsidP="0025522E">
            <w:pPr>
              <w:pStyle w:val="tabbielystyl"/>
            </w:pPr>
            <w:r w:rsidRPr="004C1013">
              <w:t>598</w:t>
            </w:r>
          </w:p>
        </w:tc>
        <w:tc>
          <w:tcPr>
            <w:tcW w:w="377" w:type="pct"/>
            <w:noWrap/>
            <w:hideMark/>
          </w:tcPr>
          <w:p w:rsidR="0025522E" w:rsidRPr="004C1013" w:rsidRDefault="0025522E" w:rsidP="0025522E">
            <w:pPr>
              <w:pStyle w:val="tabbielystyl"/>
            </w:pPr>
            <w:r w:rsidRPr="004C1013">
              <w:t>594</w:t>
            </w:r>
          </w:p>
        </w:tc>
        <w:tc>
          <w:tcPr>
            <w:tcW w:w="377" w:type="pct"/>
            <w:noWrap/>
            <w:hideMark/>
          </w:tcPr>
          <w:p w:rsidR="0025522E" w:rsidRPr="004C1013" w:rsidRDefault="0025522E" w:rsidP="0025522E">
            <w:pPr>
              <w:pStyle w:val="tabbielystyl"/>
            </w:pPr>
            <w:r w:rsidRPr="004C1013">
              <w:t>592</w:t>
            </w:r>
          </w:p>
        </w:tc>
        <w:tc>
          <w:tcPr>
            <w:tcW w:w="381" w:type="pct"/>
            <w:noWrap/>
            <w:hideMark/>
          </w:tcPr>
          <w:p w:rsidR="0025522E" w:rsidRPr="004C1013" w:rsidRDefault="0025522E" w:rsidP="0025522E">
            <w:pPr>
              <w:pStyle w:val="tabbielystyl"/>
            </w:pPr>
            <w:r w:rsidRPr="004C1013">
              <w:t>592</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 trieda - ostatné (intravilán)</w:t>
            </w:r>
          </w:p>
        </w:tc>
        <w:tc>
          <w:tcPr>
            <w:tcW w:w="369"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1 392</w:t>
            </w:r>
          </w:p>
        </w:tc>
        <w:tc>
          <w:tcPr>
            <w:tcW w:w="377" w:type="pct"/>
            <w:noWrap/>
            <w:hideMark/>
          </w:tcPr>
          <w:p w:rsidR="0025522E" w:rsidRPr="004C1013" w:rsidRDefault="0025522E" w:rsidP="0025522E">
            <w:pPr>
              <w:pStyle w:val="tabbielystyl"/>
            </w:pPr>
            <w:r w:rsidRPr="004C1013">
              <w:t>1 394</w:t>
            </w:r>
          </w:p>
        </w:tc>
        <w:tc>
          <w:tcPr>
            <w:tcW w:w="377" w:type="pct"/>
            <w:noWrap/>
            <w:hideMark/>
          </w:tcPr>
          <w:p w:rsidR="0025522E" w:rsidRPr="004C1013" w:rsidRDefault="0025522E" w:rsidP="0025522E">
            <w:pPr>
              <w:pStyle w:val="tabbielystyl"/>
            </w:pPr>
            <w:r w:rsidRPr="004C1013">
              <w:t>1 461</w:t>
            </w:r>
          </w:p>
        </w:tc>
        <w:tc>
          <w:tcPr>
            <w:tcW w:w="377" w:type="pct"/>
            <w:noWrap/>
            <w:hideMark/>
          </w:tcPr>
          <w:p w:rsidR="0025522E" w:rsidRPr="004C1013" w:rsidRDefault="0025522E" w:rsidP="0025522E">
            <w:pPr>
              <w:pStyle w:val="tabbielystyl"/>
            </w:pPr>
            <w:r w:rsidRPr="004C1013">
              <w:t>1 483</w:t>
            </w:r>
          </w:p>
        </w:tc>
        <w:tc>
          <w:tcPr>
            <w:tcW w:w="381" w:type="pct"/>
            <w:noWrap/>
            <w:hideMark/>
          </w:tcPr>
          <w:p w:rsidR="0025522E" w:rsidRPr="004C1013" w:rsidRDefault="0025522E" w:rsidP="0025522E">
            <w:pPr>
              <w:pStyle w:val="tabbielystyl"/>
            </w:pPr>
            <w:r w:rsidRPr="004C1013">
              <w:t>1 483</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II. trieda</w:t>
            </w:r>
          </w:p>
        </w:tc>
        <w:tc>
          <w:tcPr>
            <w:tcW w:w="369"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3 637</w:t>
            </w:r>
          </w:p>
        </w:tc>
        <w:tc>
          <w:tcPr>
            <w:tcW w:w="377" w:type="pct"/>
            <w:noWrap/>
            <w:hideMark/>
          </w:tcPr>
          <w:p w:rsidR="0025522E" w:rsidRPr="004C1013" w:rsidRDefault="0025522E" w:rsidP="0025522E">
            <w:pPr>
              <w:pStyle w:val="tabbielystyl"/>
            </w:pPr>
            <w:r w:rsidRPr="004C1013">
              <w:t>3 637</w:t>
            </w:r>
          </w:p>
        </w:tc>
        <w:tc>
          <w:tcPr>
            <w:tcW w:w="377" w:type="pct"/>
            <w:noWrap/>
            <w:hideMark/>
          </w:tcPr>
          <w:p w:rsidR="0025522E" w:rsidRPr="004C1013" w:rsidRDefault="0025522E" w:rsidP="0025522E">
            <w:pPr>
              <w:pStyle w:val="tabbielystyl"/>
            </w:pPr>
            <w:r w:rsidRPr="004C1013">
              <w:t>3 634</w:t>
            </w:r>
          </w:p>
        </w:tc>
        <w:tc>
          <w:tcPr>
            <w:tcW w:w="377" w:type="pct"/>
            <w:noWrap/>
            <w:hideMark/>
          </w:tcPr>
          <w:p w:rsidR="0025522E" w:rsidRPr="004C1013" w:rsidRDefault="0025522E" w:rsidP="0025522E">
            <w:pPr>
              <w:pStyle w:val="tabbielystyl"/>
            </w:pPr>
            <w:r w:rsidRPr="004C1013">
              <w:t>3 634</w:t>
            </w:r>
          </w:p>
        </w:tc>
        <w:tc>
          <w:tcPr>
            <w:tcW w:w="381" w:type="pct"/>
            <w:noWrap/>
            <w:hideMark/>
          </w:tcPr>
          <w:p w:rsidR="0025522E" w:rsidRPr="004C1013" w:rsidRDefault="0025522E" w:rsidP="0025522E">
            <w:pPr>
              <w:pStyle w:val="tabbielystyl"/>
            </w:pPr>
            <w:r w:rsidRPr="004C1013">
              <w:t>3 634</w:t>
            </w:r>
          </w:p>
        </w:tc>
      </w:tr>
      <w:tr w:rsidR="0025522E" w:rsidRPr="004C1013" w:rsidTr="00404B50">
        <w:trPr>
          <w:trHeight w:val="283"/>
        </w:trPr>
        <w:tc>
          <w:tcPr>
            <w:tcW w:w="1234" w:type="pct"/>
            <w:noWrap/>
            <w:hideMark/>
          </w:tcPr>
          <w:p w:rsidR="0025522E" w:rsidRPr="004C1013" w:rsidRDefault="0025522E" w:rsidP="0025522E">
            <w:pPr>
              <w:pStyle w:val="tabbielystyl"/>
            </w:pPr>
            <w:r w:rsidRPr="004C1013">
              <w:t>III. trieda</w:t>
            </w:r>
          </w:p>
        </w:tc>
        <w:tc>
          <w:tcPr>
            <w:tcW w:w="369"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0</w:t>
            </w:r>
          </w:p>
        </w:tc>
        <w:tc>
          <w:tcPr>
            <w:tcW w:w="377" w:type="pct"/>
            <w:noWrap/>
            <w:hideMark/>
          </w:tcPr>
          <w:p w:rsidR="0025522E" w:rsidRPr="004C1013" w:rsidRDefault="0025522E" w:rsidP="0025522E">
            <w:pPr>
              <w:pStyle w:val="tabbielystyl"/>
            </w:pPr>
            <w:r w:rsidRPr="004C1013">
              <w:t>9 839</w:t>
            </w:r>
          </w:p>
        </w:tc>
        <w:tc>
          <w:tcPr>
            <w:tcW w:w="377" w:type="pct"/>
            <w:noWrap/>
            <w:hideMark/>
          </w:tcPr>
          <w:p w:rsidR="0025522E" w:rsidRPr="004C1013" w:rsidRDefault="0025522E" w:rsidP="0025522E">
            <w:pPr>
              <w:pStyle w:val="tabbielystyl"/>
            </w:pPr>
            <w:r w:rsidRPr="004C1013">
              <w:t>9 834</w:t>
            </w:r>
          </w:p>
        </w:tc>
        <w:tc>
          <w:tcPr>
            <w:tcW w:w="377" w:type="pct"/>
            <w:noWrap/>
            <w:hideMark/>
          </w:tcPr>
          <w:p w:rsidR="0025522E" w:rsidRPr="004C1013" w:rsidRDefault="0025522E" w:rsidP="0025522E">
            <w:pPr>
              <w:pStyle w:val="tabbielystyl"/>
            </w:pPr>
            <w:r w:rsidRPr="004C1013">
              <w:t>9 524</w:t>
            </w:r>
          </w:p>
        </w:tc>
        <w:tc>
          <w:tcPr>
            <w:tcW w:w="377" w:type="pct"/>
            <w:noWrap/>
            <w:hideMark/>
          </w:tcPr>
          <w:p w:rsidR="0025522E" w:rsidRPr="004C1013" w:rsidRDefault="0025522E" w:rsidP="0025522E">
            <w:pPr>
              <w:pStyle w:val="tabbielystyl"/>
            </w:pPr>
            <w:r w:rsidRPr="004C1013">
              <w:t>9 524</w:t>
            </w:r>
          </w:p>
        </w:tc>
        <w:tc>
          <w:tcPr>
            <w:tcW w:w="381" w:type="pct"/>
            <w:noWrap/>
            <w:hideMark/>
          </w:tcPr>
          <w:p w:rsidR="0025522E" w:rsidRPr="004C1013" w:rsidRDefault="0025522E" w:rsidP="0025522E">
            <w:pPr>
              <w:pStyle w:val="tabbielystyl"/>
            </w:pPr>
            <w:r w:rsidRPr="004C1013">
              <w:t>9 524</w:t>
            </w:r>
          </w:p>
        </w:tc>
      </w:tr>
      <w:tr w:rsidR="0025522E" w:rsidRPr="004C1013" w:rsidTr="00404B50">
        <w:trPr>
          <w:trHeight w:val="283"/>
        </w:trPr>
        <w:tc>
          <w:tcPr>
            <w:tcW w:w="1234" w:type="pct"/>
            <w:shd w:val="clear" w:color="auto" w:fill="7F7F7F" w:themeFill="text1" w:themeFillTint="80"/>
            <w:noWrap/>
            <w:hideMark/>
          </w:tcPr>
          <w:p w:rsidR="0025522E" w:rsidRPr="004C1013" w:rsidRDefault="0025522E" w:rsidP="0025522E">
            <w:pPr>
              <w:pStyle w:val="tabukasivystyl"/>
            </w:pPr>
            <w:r w:rsidRPr="004C1013">
              <w:t>Spolu</w:t>
            </w:r>
          </w:p>
        </w:tc>
        <w:tc>
          <w:tcPr>
            <w:tcW w:w="369" w:type="pct"/>
            <w:shd w:val="clear" w:color="auto" w:fill="7F7F7F" w:themeFill="text1" w:themeFillTint="80"/>
            <w:noWrap/>
            <w:hideMark/>
          </w:tcPr>
          <w:p w:rsidR="0025522E" w:rsidRPr="004C1013" w:rsidRDefault="0025522E" w:rsidP="0025522E">
            <w:pPr>
              <w:pStyle w:val="tabukasivystyl"/>
            </w:pPr>
            <w:r w:rsidRPr="004C1013">
              <w:t> </w:t>
            </w:r>
          </w:p>
        </w:tc>
        <w:tc>
          <w:tcPr>
            <w:tcW w:w="377" w:type="pct"/>
            <w:shd w:val="clear" w:color="auto" w:fill="7F7F7F" w:themeFill="text1" w:themeFillTint="80"/>
            <w:noWrap/>
            <w:hideMark/>
          </w:tcPr>
          <w:p w:rsidR="0025522E" w:rsidRPr="004C1013" w:rsidRDefault="0025522E" w:rsidP="0025522E">
            <w:pPr>
              <w:pStyle w:val="tabukasivystyl"/>
            </w:pPr>
            <w:r w:rsidRPr="004C1013">
              <w:t>1 948</w:t>
            </w:r>
          </w:p>
        </w:tc>
        <w:tc>
          <w:tcPr>
            <w:tcW w:w="377" w:type="pct"/>
            <w:shd w:val="clear" w:color="auto" w:fill="7F7F7F" w:themeFill="text1" w:themeFillTint="80"/>
            <w:noWrap/>
            <w:hideMark/>
          </w:tcPr>
          <w:p w:rsidR="0025522E" w:rsidRPr="004C1013" w:rsidRDefault="0025522E" w:rsidP="0025522E">
            <w:pPr>
              <w:pStyle w:val="tabukasivystyl"/>
            </w:pPr>
            <w:r w:rsidRPr="004C1013">
              <w:t>1 999</w:t>
            </w:r>
          </w:p>
        </w:tc>
        <w:tc>
          <w:tcPr>
            <w:tcW w:w="377" w:type="pct"/>
            <w:shd w:val="clear" w:color="auto" w:fill="7F7F7F" w:themeFill="text1" w:themeFillTint="80"/>
            <w:noWrap/>
            <w:hideMark/>
          </w:tcPr>
          <w:p w:rsidR="0025522E" w:rsidRPr="004C1013" w:rsidRDefault="0025522E" w:rsidP="0025522E">
            <w:pPr>
              <w:pStyle w:val="tabukasivystyl"/>
            </w:pPr>
            <w:r w:rsidRPr="004C1013">
              <w:t>2 033</w:t>
            </w:r>
          </w:p>
        </w:tc>
        <w:tc>
          <w:tcPr>
            <w:tcW w:w="377" w:type="pct"/>
            <w:shd w:val="clear" w:color="auto" w:fill="7F7F7F" w:themeFill="text1" w:themeFillTint="80"/>
            <w:noWrap/>
            <w:hideMark/>
          </w:tcPr>
          <w:p w:rsidR="0025522E" w:rsidRPr="004C1013" w:rsidRDefault="0025522E" w:rsidP="0025522E">
            <w:pPr>
              <w:pStyle w:val="tabukasivystyl"/>
            </w:pPr>
            <w:r w:rsidRPr="004C1013">
              <w:t>2 056</w:t>
            </w:r>
          </w:p>
        </w:tc>
        <w:tc>
          <w:tcPr>
            <w:tcW w:w="377" w:type="pct"/>
            <w:shd w:val="clear" w:color="auto" w:fill="7F7F7F" w:themeFill="text1" w:themeFillTint="80"/>
            <w:noWrap/>
            <w:hideMark/>
          </w:tcPr>
          <w:p w:rsidR="0025522E" w:rsidRPr="004C1013" w:rsidRDefault="0025522E" w:rsidP="0025522E">
            <w:pPr>
              <w:pStyle w:val="tabukasivystyl"/>
            </w:pPr>
            <w:r w:rsidRPr="004C1013">
              <w:t>17 735</w:t>
            </w:r>
          </w:p>
        </w:tc>
        <w:tc>
          <w:tcPr>
            <w:tcW w:w="377" w:type="pct"/>
            <w:shd w:val="clear" w:color="auto" w:fill="7F7F7F" w:themeFill="text1" w:themeFillTint="80"/>
            <w:noWrap/>
            <w:hideMark/>
          </w:tcPr>
          <w:p w:rsidR="0025522E" w:rsidRPr="004C1013" w:rsidRDefault="0025522E" w:rsidP="0025522E">
            <w:pPr>
              <w:pStyle w:val="tabukasivystyl"/>
            </w:pPr>
            <w:r w:rsidRPr="004C1013">
              <w:t>17 791</w:t>
            </w:r>
          </w:p>
        </w:tc>
        <w:tc>
          <w:tcPr>
            <w:tcW w:w="377" w:type="pct"/>
            <w:shd w:val="clear" w:color="auto" w:fill="7F7F7F" w:themeFill="text1" w:themeFillTint="80"/>
            <w:noWrap/>
            <w:hideMark/>
          </w:tcPr>
          <w:p w:rsidR="0025522E" w:rsidRPr="004C1013" w:rsidRDefault="0025522E" w:rsidP="0025522E">
            <w:pPr>
              <w:pStyle w:val="tabukasivystyl"/>
            </w:pPr>
            <w:r w:rsidRPr="004C1013">
              <w:t>17 558</w:t>
            </w:r>
          </w:p>
        </w:tc>
        <w:tc>
          <w:tcPr>
            <w:tcW w:w="377" w:type="pct"/>
            <w:shd w:val="clear" w:color="auto" w:fill="7F7F7F" w:themeFill="text1" w:themeFillTint="80"/>
            <w:noWrap/>
            <w:hideMark/>
          </w:tcPr>
          <w:p w:rsidR="0025522E" w:rsidRPr="004C1013" w:rsidRDefault="0025522E" w:rsidP="0025522E">
            <w:pPr>
              <w:pStyle w:val="tabukasivystyl"/>
            </w:pPr>
            <w:r w:rsidRPr="004C1013">
              <w:t>17 599</w:t>
            </w:r>
          </w:p>
        </w:tc>
        <w:tc>
          <w:tcPr>
            <w:tcW w:w="381" w:type="pct"/>
            <w:shd w:val="clear" w:color="auto" w:fill="7F7F7F" w:themeFill="text1" w:themeFillTint="80"/>
            <w:noWrap/>
            <w:hideMark/>
          </w:tcPr>
          <w:p w:rsidR="0025522E" w:rsidRPr="004C1013" w:rsidRDefault="0025522E" w:rsidP="0025522E">
            <w:pPr>
              <w:pStyle w:val="tabukasivystyl"/>
            </w:pPr>
            <w:r w:rsidRPr="004C1013">
              <w:t>17 599</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Údaje o dĺžkach vymedzených úsekoch ciest poskytnuté prevádzkovateľom systému považuje riešiteľský kolektív za najhodnovernejšie z dostupných údajov. Hodnoty uvedené v dokumentoch ASECAP neboli použité, nakoľko zohľadňovali len dĺžky spoplatnených úsekov diaľnic a rýchlostných ciest. Vo výročných správach NDS neboli zverejnené údaje o vymedzených úsekoch ciest z hľadiska požiadaviek komparatívnej analýzy konzistentné. </w:t>
      </w:r>
    </w:p>
    <w:p w:rsidR="0025522E" w:rsidRPr="004C1013" w:rsidRDefault="0025522E" w:rsidP="0025522E">
      <w:r w:rsidRPr="004C1013">
        <w:t>Pre účely vzájomného porovnania efektívnosti systémov ETC v SR a vybraných krajinách sú ako reprezentatívne indikátory dĺžky siete použité hodnoty len úsekov ciest spoplatnených nenulovou sadzbou (</w:t>
      </w:r>
      <w:r w:rsidR="00C40D3F">
        <w:fldChar w:fldCharType="begin"/>
      </w:r>
      <w:r w:rsidR="00C40D3F">
        <w:instrText xml:space="preserve"> REF _Ref19814098 \h  \* MERGEFORMAT </w:instrText>
      </w:r>
      <w:r w:rsidR="00C40D3F">
        <w:fldChar w:fldCharType="separate"/>
      </w:r>
      <w:r w:rsidR="001E4C1C" w:rsidRPr="004C1013">
        <w:t xml:space="preserve">Tab.  </w:t>
      </w:r>
      <w:r w:rsidR="001E4C1C">
        <w:rPr>
          <w:noProof/>
        </w:rPr>
        <w:t>1</w:t>
      </w:r>
      <w:r w:rsidR="001E4C1C">
        <w:rPr>
          <w:noProof/>
        </w:rPr>
        <w:noBreakHyphen/>
        <w:t>3</w:t>
      </w:r>
      <w:r w:rsidR="00C40D3F">
        <w:fldChar w:fldCharType="end"/>
      </w:r>
      <w:r w:rsidRPr="004C1013">
        <w:t xml:space="preserve">). </w:t>
      </w:r>
    </w:p>
    <w:p w:rsidR="0025522E" w:rsidRPr="004C1013" w:rsidRDefault="0025522E" w:rsidP="006B1C25">
      <w:pPr>
        <w:pStyle w:val="tabstyl"/>
      </w:pPr>
      <w:bookmarkStart w:id="34" w:name="_Ref19814098"/>
      <w:bookmarkStart w:id="35" w:name="_Toc36664445"/>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w:instrText>
      </w:r>
      <w:r w:rsidR="00C40D3F">
        <w:instrText xml:space="preserve">Q Tab._ \* ARABIC \s 1 </w:instrText>
      </w:r>
      <w:r w:rsidR="00C40D3F">
        <w:fldChar w:fldCharType="separate"/>
      </w:r>
      <w:r w:rsidR="00AE19F9">
        <w:rPr>
          <w:noProof/>
        </w:rPr>
        <w:t>3</w:t>
      </w:r>
      <w:r w:rsidR="00C40D3F">
        <w:rPr>
          <w:noProof/>
        </w:rPr>
        <w:fldChar w:fldCharType="end"/>
      </w:r>
      <w:bookmarkEnd w:id="34"/>
      <w:r w:rsidRPr="004C1013">
        <w:t xml:space="preserve"> </w:t>
      </w:r>
      <w:r w:rsidRPr="004C1013">
        <w:tab/>
        <w:t>Slovensko: ETC indikátor 1. Dĺžka siete</w:t>
      </w:r>
      <w:bookmarkEnd w:id="35"/>
      <w:r w:rsidRPr="004C1013">
        <w:t xml:space="preserve"> </w:t>
      </w:r>
    </w:p>
    <w:tbl>
      <w:tblPr>
        <w:tblStyle w:val="tabulkaVUD"/>
        <w:tblW w:w="5000" w:type="pct"/>
        <w:tblLook w:val="04A0" w:firstRow="1" w:lastRow="0" w:firstColumn="1" w:lastColumn="0" w:noHBand="0" w:noVBand="1"/>
      </w:tblPr>
      <w:tblGrid>
        <w:gridCol w:w="1914"/>
        <w:gridCol w:w="1944"/>
        <w:gridCol w:w="2976"/>
        <w:gridCol w:w="2577"/>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300"/>
          <w:tblHeader/>
        </w:trPr>
        <w:tc>
          <w:tcPr>
            <w:tcW w:w="1017"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1033" w:type="pct"/>
            <w:vMerge w:val="restart"/>
            <w:hideMark/>
          </w:tcPr>
          <w:p w:rsidR="0025522E" w:rsidRPr="004C1013" w:rsidRDefault="0025522E" w:rsidP="009D58D5">
            <w:pPr>
              <w:pStyle w:val="zahltab"/>
            </w:pPr>
            <w:r w:rsidRPr="004C1013">
              <w:t>Rok prevádzky</w:t>
            </w:r>
          </w:p>
        </w:tc>
        <w:tc>
          <w:tcPr>
            <w:tcW w:w="2950" w:type="pct"/>
            <w:gridSpan w:val="2"/>
            <w:hideMark/>
          </w:tcPr>
          <w:p w:rsidR="0025522E" w:rsidRPr="004C1013" w:rsidRDefault="0025522E" w:rsidP="009D58D5">
            <w:pPr>
              <w:pStyle w:val="zahltab"/>
            </w:pPr>
            <w:r w:rsidRPr="004C1013">
              <w:t>Dĺžka vymedzených úsekov ciest</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300"/>
          <w:tblHeader/>
        </w:trPr>
        <w:tc>
          <w:tcPr>
            <w:tcW w:w="1017" w:type="pct"/>
            <w:vMerge/>
            <w:shd w:val="clear" w:color="auto" w:fill="7F7F7F" w:themeFill="text1" w:themeFillTint="80"/>
            <w:hideMark/>
          </w:tcPr>
          <w:p w:rsidR="0025522E" w:rsidRPr="004C1013" w:rsidRDefault="0025522E" w:rsidP="009D58D5">
            <w:pPr>
              <w:pStyle w:val="zahltab"/>
            </w:pPr>
          </w:p>
        </w:tc>
        <w:tc>
          <w:tcPr>
            <w:tcW w:w="1033" w:type="pct"/>
            <w:vMerge/>
            <w:hideMark/>
          </w:tcPr>
          <w:p w:rsidR="0025522E" w:rsidRPr="004C1013" w:rsidRDefault="0025522E" w:rsidP="009D58D5">
            <w:pPr>
              <w:pStyle w:val="zahltab"/>
            </w:pPr>
          </w:p>
        </w:tc>
        <w:tc>
          <w:tcPr>
            <w:tcW w:w="1581" w:type="pct"/>
            <w:hideMark/>
          </w:tcPr>
          <w:p w:rsidR="0025522E" w:rsidRPr="004C1013" w:rsidRDefault="0025522E" w:rsidP="009D58D5">
            <w:pPr>
              <w:pStyle w:val="zahltab"/>
            </w:pPr>
            <w:r w:rsidRPr="004C1013">
              <w:t>Dĺžka vymedzených úsekov s nenulovou sadzbou</w:t>
            </w:r>
          </w:p>
        </w:tc>
        <w:tc>
          <w:tcPr>
            <w:tcW w:w="1369" w:type="pct"/>
          </w:tcPr>
          <w:p w:rsidR="0025522E" w:rsidRPr="004C1013" w:rsidRDefault="0025522E" w:rsidP="009D58D5">
            <w:pPr>
              <w:pStyle w:val="zahltab"/>
            </w:pPr>
            <w:r w:rsidRPr="004C1013">
              <w:t>Dĺžka vymedzených úsekov s nulovou sadzbou</w:t>
            </w:r>
          </w:p>
        </w:tc>
      </w:tr>
      <w:tr w:rsidR="0025522E" w:rsidRPr="004C1013" w:rsidTr="00404B50">
        <w:trPr>
          <w:trHeight w:val="300"/>
        </w:trPr>
        <w:tc>
          <w:tcPr>
            <w:tcW w:w="1017" w:type="pct"/>
            <w:hideMark/>
          </w:tcPr>
          <w:p w:rsidR="0025522E" w:rsidRPr="004C1013" w:rsidRDefault="0025522E" w:rsidP="0025522E">
            <w:pPr>
              <w:pStyle w:val="tabbielystyl"/>
            </w:pPr>
            <w:r w:rsidRPr="004C1013">
              <w:t>2010</w:t>
            </w:r>
          </w:p>
        </w:tc>
        <w:tc>
          <w:tcPr>
            <w:tcW w:w="1033" w:type="pct"/>
            <w:hideMark/>
          </w:tcPr>
          <w:p w:rsidR="0025522E" w:rsidRPr="004C1013" w:rsidRDefault="0025522E" w:rsidP="0025522E">
            <w:pPr>
              <w:pStyle w:val="tabbielystyl"/>
            </w:pPr>
            <w:r w:rsidRPr="004C1013">
              <w:t>1.</w:t>
            </w:r>
          </w:p>
        </w:tc>
        <w:tc>
          <w:tcPr>
            <w:tcW w:w="1581" w:type="pct"/>
            <w:hideMark/>
          </w:tcPr>
          <w:p w:rsidR="0025522E" w:rsidRPr="004C1013" w:rsidRDefault="0025522E" w:rsidP="0025522E">
            <w:pPr>
              <w:pStyle w:val="tabbielystyl"/>
            </w:pPr>
            <w:r w:rsidRPr="004C1013">
              <w:t>1 948,20</w:t>
            </w:r>
          </w:p>
        </w:tc>
        <w:tc>
          <w:tcPr>
            <w:tcW w:w="1369" w:type="pct"/>
          </w:tcPr>
          <w:p w:rsidR="0025522E" w:rsidRPr="004C1013" w:rsidRDefault="0025522E" w:rsidP="0025522E">
            <w:pPr>
              <w:pStyle w:val="tabbielystyl"/>
            </w:pPr>
            <w:r w:rsidRPr="004C1013">
              <w:t>0</w:t>
            </w:r>
          </w:p>
        </w:tc>
      </w:tr>
      <w:tr w:rsidR="0025522E" w:rsidRPr="004C1013" w:rsidTr="00404B50">
        <w:trPr>
          <w:trHeight w:val="300"/>
        </w:trPr>
        <w:tc>
          <w:tcPr>
            <w:tcW w:w="1017" w:type="pct"/>
            <w:hideMark/>
          </w:tcPr>
          <w:p w:rsidR="0025522E" w:rsidRPr="004C1013" w:rsidRDefault="0025522E" w:rsidP="0025522E">
            <w:pPr>
              <w:pStyle w:val="tabbielystyl"/>
            </w:pPr>
            <w:r w:rsidRPr="004C1013">
              <w:t>2011</w:t>
            </w:r>
          </w:p>
        </w:tc>
        <w:tc>
          <w:tcPr>
            <w:tcW w:w="1033" w:type="pct"/>
            <w:hideMark/>
          </w:tcPr>
          <w:p w:rsidR="0025522E" w:rsidRPr="004C1013" w:rsidRDefault="0025522E" w:rsidP="0025522E">
            <w:pPr>
              <w:pStyle w:val="tabbielystyl"/>
            </w:pPr>
            <w:r w:rsidRPr="004C1013">
              <w:t>2.</w:t>
            </w:r>
          </w:p>
        </w:tc>
        <w:tc>
          <w:tcPr>
            <w:tcW w:w="1581" w:type="pct"/>
            <w:hideMark/>
          </w:tcPr>
          <w:p w:rsidR="0025522E" w:rsidRPr="004C1013" w:rsidRDefault="0025522E" w:rsidP="0025522E">
            <w:pPr>
              <w:pStyle w:val="tabbielystyl"/>
            </w:pPr>
            <w:r w:rsidRPr="004C1013">
              <w:t>1 999,13</w:t>
            </w:r>
          </w:p>
        </w:tc>
        <w:tc>
          <w:tcPr>
            <w:tcW w:w="1369" w:type="pct"/>
          </w:tcPr>
          <w:p w:rsidR="0025522E" w:rsidRPr="004C1013" w:rsidRDefault="0025522E" w:rsidP="0025522E">
            <w:pPr>
              <w:pStyle w:val="tabbielystyl"/>
            </w:pPr>
            <w:r w:rsidRPr="004C1013">
              <w:t>0</w:t>
            </w:r>
          </w:p>
        </w:tc>
      </w:tr>
      <w:tr w:rsidR="0025522E" w:rsidRPr="004C1013" w:rsidTr="00404B50">
        <w:trPr>
          <w:trHeight w:val="300"/>
        </w:trPr>
        <w:tc>
          <w:tcPr>
            <w:tcW w:w="1017" w:type="pct"/>
            <w:hideMark/>
          </w:tcPr>
          <w:p w:rsidR="0025522E" w:rsidRPr="004C1013" w:rsidRDefault="0025522E" w:rsidP="0025522E">
            <w:pPr>
              <w:pStyle w:val="tabbielystyl"/>
            </w:pPr>
            <w:r w:rsidRPr="004C1013">
              <w:t>2012</w:t>
            </w:r>
          </w:p>
        </w:tc>
        <w:tc>
          <w:tcPr>
            <w:tcW w:w="1033" w:type="pct"/>
            <w:hideMark/>
          </w:tcPr>
          <w:p w:rsidR="0025522E" w:rsidRPr="004C1013" w:rsidRDefault="0025522E" w:rsidP="0025522E">
            <w:pPr>
              <w:pStyle w:val="tabbielystyl"/>
            </w:pPr>
            <w:r w:rsidRPr="004C1013">
              <w:t>3.</w:t>
            </w:r>
          </w:p>
        </w:tc>
        <w:tc>
          <w:tcPr>
            <w:tcW w:w="1581" w:type="pct"/>
            <w:hideMark/>
          </w:tcPr>
          <w:p w:rsidR="0025522E" w:rsidRPr="004C1013" w:rsidRDefault="0025522E" w:rsidP="0025522E">
            <w:pPr>
              <w:pStyle w:val="tabbielystyl"/>
            </w:pPr>
            <w:r w:rsidRPr="004C1013">
              <w:t>2 032,91</w:t>
            </w:r>
          </w:p>
        </w:tc>
        <w:tc>
          <w:tcPr>
            <w:tcW w:w="1369" w:type="pct"/>
          </w:tcPr>
          <w:p w:rsidR="0025522E" w:rsidRPr="004C1013" w:rsidRDefault="0025522E" w:rsidP="0025522E">
            <w:pPr>
              <w:pStyle w:val="tabbielystyl"/>
            </w:pPr>
            <w:r w:rsidRPr="004C1013">
              <w:t>0</w:t>
            </w:r>
          </w:p>
        </w:tc>
      </w:tr>
      <w:tr w:rsidR="0025522E" w:rsidRPr="004C1013" w:rsidTr="00404B50">
        <w:trPr>
          <w:trHeight w:val="300"/>
        </w:trPr>
        <w:tc>
          <w:tcPr>
            <w:tcW w:w="1017" w:type="pct"/>
            <w:hideMark/>
          </w:tcPr>
          <w:p w:rsidR="0025522E" w:rsidRPr="004C1013" w:rsidRDefault="0025522E" w:rsidP="0025522E">
            <w:pPr>
              <w:pStyle w:val="tabbielystyl"/>
            </w:pPr>
            <w:r w:rsidRPr="004C1013">
              <w:t>2013</w:t>
            </w:r>
          </w:p>
        </w:tc>
        <w:tc>
          <w:tcPr>
            <w:tcW w:w="1033" w:type="pct"/>
            <w:hideMark/>
          </w:tcPr>
          <w:p w:rsidR="0025522E" w:rsidRPr="004C1013" w:rsidRDefault="0025522E" w:rsidP="0025522E">
            <w:pPr>
              <w:pStyle w:val="tabbielystyl"/>
            </w:pPr>
            <w:r w:rsidRPr="004C1013">
              <w:t>4.</w:t>
            </w:r>
          </w:p>
        </w:tc>
        <w:tc>
          <w:tcPr>
            <w:tcW w:w="1581" w:type="pct"/>
            <w:hideMark/>
          </w:tcPr>
          <w:p w:rsidR="0025522E" w:rsidRPr="004C1013" w:rsidRDefault="0025522E" w:rsidP="0025522E">
            <w:pPr>
              <w:pStyle w:val="tabbielystyl"/>
            </w:pPr>
            <w:r w:rsidRPr="004C1013">
              <w:t>2 056,17</w:t>
            </w:r>
          </w:p>
        </w:tc>
        <w:tc>
          <w:tcPr>
            <w:tcW w:w="1369" w:type="pct"/>
          </w:tcPr>
          <w:p w:rsidR="0025522E" w:rsidRPr="004C1013" w:rsidRDefault="0025522E" w:rsidP="0025522E">
            <w:pPr>
              <w:pStyle w:val="tabbielystyl"/>
            </w:pPr>
            <w:r w:rsidRPr="004C1013">
              <w:t>0</w:t>
            </w:r>
          </w:p>
        </w:tc>
      </w:tr>
      <w:tr w:rsidR="0025522E" w:rsidRPr="004C1013" w:rsidTr="00404B50">
        <w:trPr>
          <w:trHeight w:val="300"/>
        </w:trPr>
        <w:tc>
          <w:tcPr>
            <w:tcW w:w="1017" w:type="pct"/>
            <w:hideMark/>
          </w:tcPr>
          <w:p w:rsidR="0025522E" w:rsidRPr="004C1013" w:rsidRDefault="0025522E" w:rsidP="0025522E">
            <w:pPr>
              <w:pStyle w:val="tabbielystyl"/>
            </w:pPr>
            <w:r w:rsidRPr="004C1013">
              <w:t>2014</w:t>
            </w:r>
          </w:p>
        </w:tc>
        <w:tc>
          <w:tcPr>
            <w:tcW w:w="1033" w:type="pct"/>
            <w:hideMark/>
          </w:tcPr>
          <w:p w:rsidR="0025522E" w:rsidRPr="004C1013" w:rsidRDefault="0025522E" w:rsidP="0025522E">
            <w:pPr>
              <w:pStyle w:val="tabbielystyl"/>
            </w:pPr>
            <w:r w:rsidRPr="004C1013">
              <w:t>5.</w:t>
            </w:r>
          </w:p>
        </w:tc>
        <w:tc>
          <w:tcPr>
            <w:tcW w:w="1581" w:type="pct"/>
            <w:hideMark/>
          </w:tcPr>
          <w:p w:rsidR="0025522E" w:rsidRPr="004C1013" w:rsidRDefault="0025522E" w:rsidP="0025522E">
            <w:pPr>
              <w:pStyle w:val="tabbielystyl"/>
            </w:pPr>
            <w:r w:rsidRPr="004C1013">
              <w:t>2 269,46</w:t>
            </w:r>
          </w:p>
        </w:tc>
        <w:tc>
          <w:tcPr>
            <w:tcW w:w="1369" w:type="pct"/>
            <w:vAlign w:val="bottom"/>
          </w:tcPr>
          <w:p w:rsidR="0025522E" w:rsidRPr="004C1013" w:rsidRDefault="0025522E" w:rsidP="0025522E">
            <w:pPr>
              <w:pStyle w:val="tabbielystyl"/>
            </w:pPr>
            <w:r w:rsidRPr="004C1013">
              <w:t>15 466</w:t>
            </w:r>
          </w:p>
        </w:tc>
      </w:tr>
      <w:tr w:rsidR="0025522E" w:rsidRPr="004C1013" w:rsidTr="00404B50">
        <w:trPr>
          <w:trHeight w:val="300"/>
        </w:trPr>
        <w:tc>
          <w:tcPr>
            <w:tcW w:w="1017" w:type="pct"/>
            <w:hideMark/>
          </w:tcPr>
          <w:p w:rsidR="0025522E" w:rsidRPr="004C1013" w:rsidRDefault="0025522E" w:rsidP="0025522E">
            <w:pPr>
              <w:pStyle w:val="tabbielystyl"/>
            </w:pPr>
            <w:r w:rsidRPr="004C1013">
              <w:t>2015</w:t>
            </w:r>
          </w:p>
        </w:tc>
        <w:tc>
          <w:tcPr>
            <w:tcW w:w="1033" w:type="pct"/>
            <w:hideMark/>
          </w:tcPr>
          <w:p w:rsidR="0025522E" w:rsidRPr="004C1013" w:rsidRDefault="0025522E" w:rsidP="0025522E">
            <w:pPr>
              <w:pStyle w:val="tabbielystyl"/>
            </w:pPr>
            <w:r w:rsidRPr="004C1013">
              <w:t>6.</w:t>
            </w:r>
          </w:p>
        </w:tc>
        <w:tc>
          <w:tcPr>
            <w:tcW w:w="1581" w:type="pct"/>
            <w:hideMark/>
          </w:tcPr>
          <w:p w:rsidR="0025522E" w:rsidRPr="004C1013" w:rsidRDefault="0025522E" w:rsidP="0025522E">
            <w:pPr>
              <w:pStyle w:val="tabbielystyl"/>
            </w:pPr>
            <w:r w:rsidRPr="004C1013">
              <w:t>2 327,08</w:t>
            </w:r>
          </w:p>
        </w:tc>
        <w:tc>
          <w:tcPr>
            <w:tcW w:w="1369" w:type="pct"/>
            <w:vAlign w:val="bottom"/>
          </w:tcPr>
          <w:p w:rsidR="0025522E" w:rsidRPr="004C1013" w:rsidRDefault="0025522E" w:rsidP="0025522E">
            <w:pPr>
              <w:pStyle w:val="tabbielystyl"/>
            </w:pPr>
            <w:r w:rsidRPr="004C1013">
              <w:t>15 463</w:t>
            </w:r>
          </w:p>
        </w:tc>
      </w:tr>
      <w:tr w:rsidR="0025522E" w:rsidRPr="004C1013" w:rsidTr="00404B50">
        <w:trPr>
          <w:trHeight w:val="300"/>
        </w:trPr>
        <w:tc>
          <w:tcPr>
            <w:tcW w:w="1017" w:type="pct"/>
            <w:hideMark/>
          </w:tcPr>
          <w:p w:rsidR="0025522E" w:rsidRPr="004C1013" w:rsidRDefault="0025522E" w:rsidP="0025522E">
            <w:pPr>
              <w:pStyle w:val="tabbielystyl"/>
            </w:pPr>
            <w:r w:rsidRPr="004C1013">
              <w:t>2016</w:t>
            </w:r>
          </w:p>
        </w:tc>
        <w:tc>
          <w:tcPr>
            <w:tcW w:w="1033" w:type="pct"/>
            <w:hideMark/>
          </w:tcPr>
          <w:p w:rsidR="0025522E" w:rsidRPr="004C1013" w:rsidRDefault="0025522E" w:rsidP="0025522E">
            <w:pPr>
              <w:pStyle w:val="tabbielystyl"/>
            </w:pPr>
            <w:r w:rsidRPr="004C1013">
              <w:t>7.</w:t>
            </w:r>
          </w:p>
        </w:tc>
        <w:tc>
          <w:tcPr>
            <w:tcW w:w="1581" w:type="pct"/>
            <w:hideMark/>
          </w:tcPr>
          <w:p w:rsidR="0025522E" w:rsidRPr="004C1013" w:rsidRDefault="0025522E" w:rsidP="0025522E">
            <w:pPr>
              <w:pStyle w:val="tabbielystyl"/>
            </w:pPr>
            <w:r w:rsidRPr="004C1013">
              <w:t>2 345,09</w:t>
            </w:r>
          </w:p>
        </w:tc>
        <w:tc>
          <w:tcPr>
            <w:tcW w:w="1369" w:type="pct"/>
            <w:vAlign w:val="bottom"/>
          </w:tcPr>
          <w:p w:rsidR="0025522E" w:rsidRPr="004C1013" w:rsidRDefault="0025522E" w:rsidP="0025522E">
            <w:pPr>
              <w:pStyle w:val="tabbielystyl"/>
            </w:pPr>
            <w:r w:rsidRPr="004C1013">
              <w:t>15 213</w:t>
            </w:r>
          </w:p>
        </w:tc>
      </w:tr>
      <w:tr w:rsidR="0025522E" w:rsidRPr="004C1013" w:rsidTr="00404B50">
        <w:trPr>
          <w:trHeight w:val="300"/>
        </w:trPr>
        <w:tc>
          <w:tcPr>
            <w:tcW w:w="1017" w:type="pct"/>
            <w:hideMark/>
          </w:tcPr>
          <w:p w:rsidR="0025522E" w:rsidRPr="004C1013" w:rsidRDefault="0025522E" w:rsidP="0025522E">
            <w:pPr>
              <w:pStyle w:val="tabbielystyl"/>
            </w:pPr>
            <w:r w:rsidRPr="004C1013">
              <w:t>2017</w:t>
            </w:r>
          </w:p>
        </w:tc>
        <w:tc>
          <w:tcPr>
            <w:tcW w:w="1033" w:type="pct"/>
            <w:hideMark/>
          </w:tcPr>
          <w:p w:rsidR="0025522E" w:rsidRPr="004C1013" w:rsidRDefault="0025522E" w:rsidP="0025522E">
            <w:pPr>
              <w:pStyle w:val="tabbielystyl"/>
            </w:pPr>
            <w:r w:rsidRPr="004C1013">
              <w:t>8.</w:t>
            </w:r>
          </w:p>
        </w:tc>
        <w:tc>
          <w:tcPr>
            <w:tcW w:w="1581" w:type="pct"/>
            <w:hideMark/>
          </w:tcPr>
          <w:p w:rsidR="0025522E" w:rsidRPr="004C1013" w:rsidRDefault="0025522E" w:rsidP="0025522E">
            <w:pPr>
              <w:pStyle w:val="tabbielystyl"/>
            </w:pPr>
            <w:r w:rsidRPr="004C1013">
              <w:t>2 365,95</w:t>
            </w:r>
          </w:p>
        </w:tc>
        <w:tc>
          <w:tcPr>
            <w:tcW w:w="1369" w:type="pct"/>
            <w:vAlign w:val="bottom"/>
          </w:tcPr>
          <w:p w:rsidR="0025522E" w:rsidRPr="004C1013" w:rsidRDefault="0025522E" w:rsidP="0025522E">
            <w:pPr>
              <w:pStyle w:val="tabbielystyl"/>
            </w:pPr>
            <w:r w:rsidRPr="004C1013">
              <w:t>15 233</w:t>
            </w:r>
          </w:p>
        </w:tc>
      </w:tr>
      <w:tr w:rsidR="0025522E" w:rsidRPr="004C1013" w:rsidTr="00404B50">
        <w:trPr>
          <w:trHeight w:val="300"/>
        </w:trPr>
        <w:tc>
          <w:tcPr>
            <w:tcW w:w="1017" w:type="pct"/>
            <w:hideMark/>
          </w:tcPr>
          <w:p w:rsidR="0025522E" w:rsidRPr="004C1013" w:rsidRDefault="0025522E" w:rsidP="0025522E">
            <w:pPr>
              <w:pStyle w:val="tabbielystyl"/>
            </w:pPr>
            <w:r w:rsidRPr="004C1013">
              <w:t>2018</w:t>
            </w:r>
          </w:p>
        </w:tc>
        <w:tc>
          <w:tcPr>
            <w:tcW w:w="1033" w:type="pct"/>
            <w:hideMark/>
          </w:tcPr>
          <w:p w:rsidR="0025522E" w:rsidRPr="004C1013" w:rsidRDefault="0025522E" w:rsidP="0025522E">
            <w:pPr>
              <w:pStyle w:val="tabbielystyl"/>
            </w:pPr>
            <w:r w:rsidRPr="004C1013">
              <w:t>9.</w:t>
            </w:r>
          </w:p>
        </w:tc>
        <w:tc>
          <w:tcPr>
            <w:tcW w:w="1581" w:type="pct"/>
            <w:hideMark/>
          </w:tcPr>
          <w:p w:rsidR="0025522E" w:rsidRPr="004C1013" w:rsidRDefault="0025522E" w:rsidP="0025522E">
            <w:pPr>
              <w:pStyle w:val="tabbielystyl"/>
            </w:pPr>
            <w:r w:rsidRPr="004C1013">
              <w:t>2 365,95</w:t>
            </w:r>
          </w:p>
        </w:tc>
        <w:tc>
          <w:tcPr>
            <w:tcW w:w="1369" w:type="pct"/>
            <w:vAlign w:val="bottom"/>
          </w:tcPr>
          <w:p w:rsidR="0025522E" w:rsidRPr="004C1013" w:rsidRDefault="0025522E" w:rsidP="0025522E">
            <w:pPr>
              <w:pStyle w:val="tabbielystyl"/>
            </w:pPr>
            <w:r w:rsidRPr="004C1013">
              <w:t>15 233</w:t>
            </w:r>
          </w:p>
        </w:tc>
      </w:tr>
    </w:tbl>
    <w:p w:rsidR="0025522E" w:rsidRPr="004C1013" w:rsidRDefault="0025522E" w:rsidP="0025522E">
      <w:pPr>
        <w:pStyle w:val="Nadpis3"/>
        <w:rPr>
          <w:rFonts w:asciiTheme="minorHAnsi" w:hAnsiTheme="minorHAnsi" w:cstheme="minorHAnsi"/>
        </w:rPr>
      </w:pPr>
      <w:bookmarkStart w:id="36" w:name="_Toc20687921"/>
      <w:bookmarkStart w:id="37" w:name="_Toc36664364"/>
      <w:r w:rsidRPr="004C1013">
        <w:rPr>
          <w:rFonts w:asciiTheme="minorHAnsi" w:hAnsiTheme="minorHAnsi" w:cstheme="minorHAnsi"/>
        </w:rPr>
        <w:lastRenderedPageBreak/>
        <w:t>Dopravné výkony na vymedzených spoplatnených úsekoch ciest</w:t>
      </w:r>
      <w:bookmarkEnd w:id="36"/>
      <w:bookmarkEnd w:id="37"/>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Zverejnené údaje o objeme dopravy na vymedzených úsekoch ciest spoplatnených nenulovou sadzbou v SR boli validované na základe vzájomných prepočtov ukazovateľov dopravnej intenzity. Využité boli údaje publikované v dokumentoch ASECAP [15], [16] a výsledky Celoštátneho sčítania dopravy 2015 [4].</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V publikáciách ASECAP [15], [16] boli zverejnené údaje pre oba ukazovatele dopravnej intenzity, avšak po ich vzájomných prepočtoch s využitím parametra dĺžky vymedzených spoplatnených úsekov ciest EMS tieto údaje neboli navzájom konzistentné (</w:t>
      </w:r>
      <w:r w:rsidR="00C40D3F">
        <w:fldChar w:fldCharType="begin"/>
      </w:r>
      <w:r w:rsidR="00C40D3F">
        <w:instrText xml:space="preserve"> REF _Ref19822693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4</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38" w:name="_Ref19822693"/>
      <w:bookmarkStart w:id="39" w:name="_Toc36664446"/>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4</w:t>
      </w:r>
      <w:r w:rsidR="00C40D3F">
        <w:rPr>
          <w:noProof/>
        </w:rPr>
        <w:fldChar w:fldCharType="end"/>
      </w:r>
      <w:bookmarkEnd w:id="38"/>
      <w:r w:rsidRPr="004C1013">
        <w:t xml:space="preserve"> </w:t>
      </w:r>
      <w:r w:rsidRPr="004C1013">
        <w:tab/>
        <w:t>Rešerš dostupnej literatúry - dopravné výkony na sieti EMS</w:t>
      </w:r>
      <w:bookmarkEnd w:id="39"/>
      <w:r w:rsidRPr="004C1013">
        <w:t xml:space="preserve"> </w:t>
      </w:r>
    </w:p>
    <w:tbl>
      <w:tblPr>
        <w:tblStyle w:val="tabulkaVUD"/>
        <w:tblW w:w="5000" w:type="pct"/>
        <w:tblLook w:val="04A0" w:firstRow="1" w:lastRow="0" w:firstColumn="1" w:lastColumn="0" w:noHBand="0" w:noVBand="1"/>
      </w:tblPr>
      <w:tblGrid>
        <w:gridCol w:w="1330"/>
        <w:gridCol w:w="1204"/>
        <w:gridCol w:w="1227"/>
        <w:gridCol w:w="1130"/>
        <w:gridCol w:w="1130"/>
        <w:gridCol w:w="1130"/>
        <w:gridCol w:w="1130"/>
        <w:gridCol w:w="1130"/>
      </w:tblGrid>
      <w:tr w:rsidR="005C763E" w:rsidRPr="004C1013" w:rsidTr="005C763E">
        <w:trPr>
          <w:cnfStyle w:val="100000000000" w:firstRow="1" w:lastRow="0" w:firstColumn="0" w:lastColumn="0" w:oddVBand="0" w:evenVBand="0" w:oddHBand="0" w:evenHBand="0" w:firstRowFirstColumn="0" w:firstRowLastColumn="0" w:lastRowFirstColumn="0" w:lastRowLastColumn="0"/>
          <w:trHeight w:val="283"/>
          <w:tblHeader/>
        </w:trPr>
        <w:tc>
          <w:tcPr>
            <w:tcW w:w="1330" w:type="dxa"/>
            <w:vMerge w:val="restart"/>
            <w:shd w:val="clear" w:color="auto" w:fill="7F7F7F" w:themeFill="text1" w:themeFillTint="80"/>
            <w:hideMark/>
          </w:tcPr>
          <w:p w:rsidR="005C763E" w:rsidRPr="004C1013" w:rsidRDefault="005C763E" w:rsidP="009D58D5">
            <w:pPr>
              <w:pStyle w:val="zahltab"/>
            </w:pPr>
            <w:r w:rsidRPr="004C1013">
              <w:t>Kalendárny rok</w:t>
            </w:r>
          </w:p>
        </w:tc>
        <w:tc>
          <w:tcPr>
            <w:tcW w:w="1204" w:type="dxa"/>
            <w:vMerge w:val="restart"/>
            <w:hideMark/>
          </w:tcPr>
          <w:p w:rsidR="005C763E" w:rsidRPr="004C1013" w:rsidRDefault="005C763E" w:rsidP="009D58D5">
            <w:pPr>
              <w:pStyle w:val="zahltab"/>
            </w:pPr>
            <w:r w:rsidRPr="004C1013">
              <w:t>Rok prevádzky</w:t>
            </w:r>
          </w:p>
        </w:tc>
        <w:tc>
          <w:tcPr>
            <w:tcW w:w="3487" w:type="dxa"/>
            <w:gridSpan w:val="3"/>
          </w:tcPr>
          <w:p w:rsidR="005C763E" w:rsidRPr="004C1013" w:rsidRDefault="005C763E" w:rsidP="009D58D5">
            <w:pPr>
              <w:pStyle w:val="zahltab"/>
            </w:pPr>
            <w:r w:rsidRPr="004C1013">
              <w:t>Priemerná denná intenzita na 1km</w:t>
            </w:r>
          </w:p>
          <w:p w:rsidR="005C763E" w:rsidRPr="004C1013" w:rsidRDefault="005C763E" w:rsidP="009D58D5">
            <w:pPr>
              <w:pStyle w:val="zahltab"/>
            </w:pPr>
            <w:r w:rsidRPr="004C1013">
              <w:t>(voz)</w:t>
            </w:r>
          </w:p>
        </w:tc>
        <w:tc>
          <w:tcPr>
            <w:tcW w:w="3390" w:type="dxa"/>
            <w:gridSpan w:val="3"/>
          </w:tcPr>
          <w:p w:rsidR="005C763E" w:rsidRPr="004C1013" w:rsidRDefault="005C763E" w:rsidP="009D58D5">
            <w:pPr>
              <w:pStyle w:val="zahltab"/>
            </w:pPr>
            <w:r w:rsidRPr="004C1013">
              <w:t>Kumulované dopravné výkony</w:t>
            </w:r>
          </w:p>
          <w:p w:rsidR="005C763E" w:rsidRPr="004C1013" w:rsidRDefault="005C763E" w:rsidP="009D58D5">
            <w:pPr>
              <w:pStyle w:val="zahltab"/>
            </w:pPr>
            <w:r w:rsidRPr="004C1013">
              <w:t>(mil. vkm/rok)</w:t>
            </w:r>
          </w:p>
        </w:tc>
      </w:tr>
      <w:tr w:rsidR="005C763E" w:rsidRPr="004C1013" w:rsidTr="005C763E">
        <w:trPr>
          <w:cnfStyle w:val="100000000000" w:firstRow="1" w:lastRow="0" w:firstColumn="0" w:lastColumn="0" w:oddVBand="0" w:evenVBand="0" w:oddHBand="0" w:evenHBand="0" w:firstRowFirstColumn="0" w:firstRowLastColumn="0" w:lastRowFirstColumn="0" w:lastRowLastColumn="0"/>
          <w:trHeight w:val="283"/>
          <w:tblHeader/>
        </w:trPr>
        <w:tc>
          <w:tcPr>
            <w:tcW w:w="1330" w:type="dxa"/>
            <w:vMerge/>
            <w:shd w:val="clear" w:color="auto" w:fill="7F7F7F" w:themeFill="text1" w:themeFillTint="80"/>
            <w:hideMark/>
          </w:tcPr>
          <w:p w:rsidR="005C763E" w:rsidRPr="004C1013" w:rsidRDefault="005C763E" w:rsidP="009D58D5">
            <w:pPr>
              <w:pStyle w:val="zahltab"/>
            </w:pPr>
          </w:p>
        </w:tc>
        <w:tc>
          <w:tcPr>
            <w:tcW w:w="1204" w:type="dxa"/>
            <w:vMerge/>
            <w:hideMark/>
          </w:tcPr>
          <w:p w:rsidR="005C763E" w:rsidRPr="004C1013" w:rsidRDefault="005C763E" w:rsidP="009D58D5">
            <w:pPr>
              <w:pStyle w:val="zahltab"/>
            </w:pPr>
          </w:p>
        </w:tc>
        <w:tc>
          <w:tcPr>
            <w:tcW w:w="1227" w:type="dxa"/>
            <w:hideMark/>
          </w:tcPr>
          <w:p w:rsidR="005C763E" w:rsidRPr="004C1013" w:rsidRDefault="005C763E" w:rsidP="009D58D5">
            <w:pPr>
              <w:pStyle w:val="zahltab"/>
            </w:pPr>
            <w:r w:rsidRPr="004C1013">
              <w:t>ASECAP-B [15]</w:t>
            </w:r>
          </w:p>
        </w:tc>
        <w:tc>
          <w:tcPr>
            <w:tcW w:w="1130" w:type="dxa"/>
          </w:tcPr>
          <w:p w:rsidR="005C763E" w:rsidRPr="004C1013" w:rsidRDefault="005C763E" w:rsidP="009D58D5">
            <w:pPr>
              <w:pStyle w:val="zahltab"/>
            </w:pPr>
            <w:r w:rsidRPr="004C1013">
              <w:t>Prepočet</w:t>
            </w:r>
          </w:p>
          <w:p w:rsidR="005C763E" w:rsidRPr="004C1013" w:rsidRDefault="005C763E" w:rsidP="009D58D5">
            <w:pPr>
              <w:pStyle w:val="zahltab"/>
            </w:pPr>
            <w:r w:rsidRPr="004C1013">
              <w:t>(podľa [16])</w:t>
            </w:r>
          </w:p>
        </w:tc>
        <w:tc>
          <w:tcPr>
            <w:tcW w:w="1130" w:type="dxa"/>
          </w:tcPr>
          <w:p w:rsidR="005C763E" w:rsidRPr="004C1013" w:rsidRDefault="005C763E" w:rsidP="009D58D5">
            <w:pPr>
              <w:pStyle w:val="zahltab"/>
            </w:pPr>
            <w:r w:rsidRPr="004C1013">
              <w:t>Prepočet</w:t>
            </w:r>
          </w:p>
          <w:p w:rsidR="005C763E" w:rsidRPr="004C1013" w:rsidRDefault="005C763E" w:rsidP="009D58D5">
            <w:pPr>
              <w:pStyle w:val="zahltab"/>
            </w:pPr>
            <w:r w:rsidRPr="004C1013">
              <w:t>(podľa [</w:t>
            </w:r>
            <w:r>
              <w:t>7</w:t>
            </w:r>
            <w:r w:rsidRPr="004C1013">
              <w:t>])</w:t>
            </w:r>
          </w:p>
        </w:tc>
        <w:tc>
          <w:tcPr>
            <w:tcW w:w="1130" w:type="dxa"/>
          </w:tcPr>
          <w:p w:rsidR="005C763E" w:rsidRPr="004C1013" w:rsidRDefault="005C763E" w:rsidP="009D58D5">
            <w:pPr>
              <w:pStyle w:val="zahltab"/>
            </w:pPr>
            <w:r w:rsidRPr="004C1013">
              <w:t>ASECAP-NS</w:t>
            </w:r>
          </w:p>
          <w:p w:rsidR="005C763E" w:rsidRPr="004C1013" w:rsidRDefault="005C763E" w:rsidP="009D58D5">
            <w:pPr>
              <w:pStyle w:val="zahltab"/>
              <w:rPr>
                <w:bCs/>
              </w:rPr>
            </w:pPr>
            <w:r w:rsidRPr="004C1013">
              <w:t>[16]</w:t>
            </w:r>
          </w:p>
        </w:tc>
        <w:tc>
          <w:tcPr>
            <w:tcW w:w="1130" w:type="dxa"/>
          </w:tcPr>
          <w:p w:rsidR="005C763E" w:rsidRPr="004C1013" w:rsidRDefault="005C763E" w:rsidP="009D58D5">
            <w:pPr>
              <w:pStyle w:val="zahltab"/>
            </w:pPr>
            <w:r>
              <w:t xml:space="preserve">SkyToll, a.s </w:t>
            </w:r>
            <w:r w:rsidRPr="00B87BD8">
              <w:rPr>
                <w:lang w:val="en-US"/>
              </w:rPr>
              <w:t>[7]</w:t>
            </w:r>
          </w:p>
        </w:tc>
        <w:tc>
          <w:tcPr>
            <w:tcW w:w="1130" w:type="dxa"/>
          </w:tcPr>
          <w:p w:rsidR="005C763E" w:rsidRPr="004C1013" w:rsidRDefault="005C763E" w:rsidP="009D58D5">
            <w:pPr>
              <w:pStyle w:val="zahltab"/>
            </w:pPr>
            <w:r w:rsidRPr="004C1013">
              <w:t>Prepočet</w:t>
            </w:r>
          </w:p>
          <w:p w:rsidR="005C763E" w:rsidRPr="004C1013" w:rsidRDefault="005C763E" w:rsidP="009D58D5">
            <w:pPr>
              <w:pStyle w:val="zahltab"/>
            </w:pPr>
            <w:r w:rsidRPr="004C1013">
              <w:t>(podľa [15])</w:t>
            </w:r>
          </w:p>
        </w:tc>
      </w:tr>
      <w:tr w:rsidR="005C763E" w:rsidRPr="004C1013" w:rsidTr="00AB3BC3">
        <w:trPr>
          <w:trHeight w:val="309"/>
        </w:trPr>
        <w:tc>
          <w:tcPr>
            <w:tcW w:w="1330" w:type="dxa"/>
            <w:hideMark/>
          </w:tcPr>
          <w:p w:rsidR="005C763E" w:rsidRPr="005C763E" w:rsidRDefault="005C763E" w:rsidP="005C763E">
            <w:pPr>
              <w:pStyle w:val="tabbielystyl"/>
            </w:pPr>
            <w:r w:rsidRPr="005C763E">
              <w:t>2010</w:t>
            </w:r>
          </w:p>
        </w:tc>
        <w:tc>
          <w:tcPr>
            <w:tcW w:w="1204" w:type="dxa"/>
            <w:hideMark/>
          </w:tcPr>
          <w:p w:rsidR="005C763E" w:rsidRPr="005C763E" w:rsidRDefault="005C763E" w:rsidP="005C763E">
            <w:pPr>
              <w:pStyle w:val="tabbielystyl"/>
            </w:pPr>
            <w:r w:rsidRPr="005C763E">
              <w:t>1.</w:t>
            </w:r>
          </w:p>
        </w:tc>
        <w:tc>
          <w:tcPr>
            <w:tcW w:w="1227" w:type="dxa"/>
            <w:hideMark/>
          </w:tcPr>
          <w:p w:rsidR="005C763E" w:rsidRPr="005C763E" w:rsidRDefault="005C763E" w:rsidP="005C763E">
            <w:pPr>
              <w:pStyle w:val="tabbielystyl"/>
            </w:pPr>
            <w:r w:rsidRPr="005C763E">
              <w:t>5 140</w:t>
            </w:r>
          </w:p>
        </w:tc>
        <w:tc>
          <w:tcPr>
            <w:tcW w:w="1130" w:type="dxa"/>
            <w:vAlign w:val="bottom"/>
          </w:tcPr>
          <w:p w:rsidR="005C763E" w:rsidRPr="005C763E" w:rsidRDefault="005C763E" w:rsidP="005C763E">
            <w:pPr>
              <w:pStyle w:val="tabbielystyl"/>
            </w:pPr>
            <w:r w:rsidRPr="005C763E">
              <w:t>N/A</w:t>
            </w:r>
          </w:p>
        </w:tc>
        <w:tc>
          <w:tcPr>
            <w:tcW w:w="1130" w:type="dxa"/>
            <w:vAlign w:val="bottom"/>
          </w:tcPr>
          <w:p w:rsidR="005C763E" w:rsidRPr="005C763E" w:rsidRDefault="005C763E" w:rsidP="005C763E">
            <w:pPr>
              <w:pStyle w:val="tabbielystyl"/>
              <w:rPr>
                <w:szCs w:val="20"/>
              </w:rPr>
            </w:pPr>
            <w:r w:rsidRPr="005C763E">
              <w:t>1300</w:t>
            </w:r>
          </w:p>
        </w:tc>
        <w:tc>
          <w:tcPr>
            <w:tcW w:w="1130" w:type="dxa"/>
            <w:vAlign w:val="bottom"/>
          </w:tcPr>
          <w:p w:rsidR="005C763E" w:rsidRPr="005C763E" w:rsidRDefault="005C763E" w:rsidP="005C763E">
            <w:pPr>
              <w:pStyle w:val="tabbielystyl"/>
            </w:pPr>
            <w:r w:rsidRPr="005C763E">
              <w:t>N/A</w:t>
            </w:r>
          </w:p>
        </w:tc>
        <w:tc>
          <w:tcPr>
            <w:tcW w:w="1130" w:type="dxa"/>
            <w:vAlign w:val="bottom"/>
          </w:tcPr>
          <w:p w:rsidR="005C763E" w:rsidRPr="005C763E" w:rsidRDefault="005C763E" w:rsidP="005C763E">
            <w:pPr>
              <w:pStyle w:val="tabbielystyl"/>
              <w:rPr>
                <w:szCs w:val="20"/>
              </w:rPr>
            </w:pPr>
            <w:r w:rsidRPr="005C763E">
              <w:t>924</w:t>
            </w:r>
          </w:p>
        </w:tc>
        <w:tc>
          <w:tcPr>
            <w:tcW w:w="1130" w:type="dxa"/>
          </w:tcPr>
          <w:p w:rsidR="005C763E" w:rsidRPr="005C763E" w:rsidRDefault="005C763E" w:rsidP="005C763E">
            <w:pPr>
              <w:pStyle w:val="tabbielystyl"/>
            </w:pPr>
            <w:r w:rsidRPr="005C763E">
              <w:t>4 647</w:t>
            </w:r>
          </w:p>
        </w:tc>
      </w:tr>
      <w:tr w:rsidR="005C763E" w:rsidRPr="004C1013" w:rsidTr="00AB3BC3">
        <w:trPr>
          <w:trHeight w:val="283"/>
        </w:trPr>
        <w:tc>
          <w:tcPr>
            <w:tcW w:w="1330" w:type="dxa"/>
            <w:hideMark/>
          </w:tcPr>
          <w:p w:rsidR="005C763E" w:rsidRPr="005C763E" w:rsidRDefault="005C763E" w:rsidP="005C763E">
            <w:pPr>
              <w:pStyle w:val="tabbielystyl"/>
            </w:pPr>
            <w:r w:rsidRPr="005C763E">
              <w:t>2011</w:t>
            </w:r>
          </w:p>
        </w:tc>
        <w:tc>
          <w:tcPr>
            <w:tcW w:w="1204" w:type="dxa"/>
            <w:hideMark/>
          </w:tcPr>
          <w:p w:rsidR="005C763E" w:rsidRPr="005C763E" w:rsidRDefault="005C763E" w:rsidP="005C763E">
            <w:pPr>
              <w:pStyle w:val="tabbielystyl"/>
            </w:pPr>
            <w:r w:rsidRPr="005C763E">
              <w:t>2.</w:t>
            </w:r>
          </w:p>
        </w:tc>
        <w:tc>
          <w:tcPr>
            <w:tcW w:w="1227" w:type="dxa"/>
            <w:hideMark/>
          </w:tcPr>
          <w:p w:rsidR="005C763E" w:rsidRPr="005C763E" w:rsidRDefault="005C763E" w:rsidP="005C763E">
            <w:pPr>
              <w:pStyle w:val="tabbielystyl"/>
            </w:pPr>
            <w:r w:rsidRPr="005C763E">
              <w:t>6 535</w:t>
            </w:r>
          </w:p>
        </w:tc>
        <w:tc>
          <w:tcPr>
            <w:tcW w:w="1130" w:type="dxa"/>
            <w:vAlign w:val="bottom"/>
          </w:tcPr>
          <w:p w:rsidR="005C763E" w:rsidRPr="005C763E" w:rsidRDefault="005C763E" w:rsidP="005C763E">
            <w:pPr>
              <w:pStyle w:val="tabbielystyl"/>
            </w:pPr>
            <w:r w:rsidRPr="005C763E">
              <w:t>N/A</w:t>
            </w:r>
          </w:p>
        </w:tc>
        <w:tc>
          <w:tcPr>
            <w:tcW w:w="1130" w:type="dxa"/>
            <w:vAlign w:val="bottom"/>
          </w:tcPr>
          <w:p w:rsidR="005C763E" w:rsidRPr="005C763E" w:rsidRDefault="005C763E" w:rsidP="005C763E">
            <w:pPr>
              <w:pStyle w:val="tabbielystyl"/>
              <w:rPr>
                <w:szCs w:val="20"/>
              </w:rPr>
            </w:pPr>
            <w:r w:rsidRPr="005C763E">
              <w:t>1370</w:t>
            </w:r>
          </w:p>
        </w:tc>
        <w:tc>
          <w:tcPr>
            <w:tcW w:w="1130" w:type="dxa"/>
            <w:vAlign w:val="bottom"/>
          </w:tcPr>
          <w:p w:rsidR="005C763E" w:rsidRPr="005C763E" w:rsidRDefault="005C763E" w:rsidP="005C763E">
            <w:pPr>
              <w:pStyle w:val="tabbielystyl"/>
            </w:pPr>
            <w:r w:rsidRPr="005C763E">
              <w:t>N/A</w:t>
            </w:r>
          </w:p>
        </w:tc>
        <w:tc>
          <w:tcPr>
            <w:tcW w:w="1130" w:type="dxa"/>
            <w:vAlign w:val="bottom"/>
          </w:tcPr>
          <w:p w:rsidR="005C763E" w:rsidRPr="005C763E" w:rsidRDefault="005C763E" w:rsidP="005C763E">
            <w:pPr>
              <w:pStyle w:val="tabbielystyl"/>
              <w:rPr>
                <w:szCs w:val="20"/>
              </w:rPr>
            </w:pPr>
            <w:r w:rsidRPr="005C763E">
              <w:t>1000</w:t>
            </w:r>
          </w:p>
        </w:tc>
        <w:tc>
          <w:tcPr>
            <w:tcW w:w="1130" w:type="dxa"/>
          </w:tcPr>
          <w:p w:rsidR="005C763E" w:rsidRPr="005C763E" w:rsidRDefault="005C763E" w:rsidP="005C763E">
            <w:pPr>
              <w:pStyle w:val="tabbielystyl"/>
            </w:pPr>
            <w:r w:rsidRPr="005C763E">
              <w:t>3 787</w:t>
            </w:r>
          </w:p>
        </w:tc>
      </w:tr>
      <w:tr w:rsidR="005C763E" w:rsidRPr="004C1013" w:rsidTr="00AB3BC3">
        <w:trPr>
          <w:trHeight w:val="283"/>
        </w:trPr>
        <w:tc>
          <w:tcPr>
            <w:tcW w:w="1330" w:type="dxa"/>
            <w:hideMark/>
          </w:tcPr>
          <w:p w:rsidR="005C763E" w:rsidRPr="005C763E" w:rsidRDefault="005C763E" w:rsidP="005C763E">
            <w:pPr>
              <w:pStyle w:val="tabbielystyl"/>
            </w:pPr>
            <w:r w:rsidRPr="005C763E">
              <w:t>2012</w:t>
            </w:r>
          </w:p>
        </w:tc>
        <w:tc>
          <w:tcPr>
            <w:tcW w:w="1204" w:type="dxa"/>
            <w:hideMark/>
          </w:tcPr>
          <w:p w:rsidR="005C763E" w:rsidRPr="005C763E" w:rsidRDefault="005C763E" w:rsidP="005C763E">
            <w:pPr>
              <w:pStyle w:val="tabbielystyl"/>
            </w:pPr>
            <w:r w:rsidRPr="005C763E">
              <w:t>3.</w:t>
            </w:r>
          </w:p>
        </w:tc>
        <w:tc>
          <w:tcPr>
            <w:tcW w:w="1227" w:type="dxa"/>
            <w:hideMark/>
          </w:tcPr>
          <w:p w:rsidR="005C763E" w:rsidRPr="005C763E" w:rsidRDefault="005C763E" w:rsidP="005C763E">
            <w:pPr>
              <w:pStyle w:val="tabbielystyl"/>
            </w:pPr>
            <w:r w:rsidRPr="005C763E">
              <w:t>5 190</w:t>
            </w:r>
          </w:p>
        </w:tc>
        <w:tc>
          <w:tcPr>
            <w:tcW w:w="1130" w:type="dxa"/>
          </w:tcPr>
          <w:p w:rsidR="005C763E" w:rsidRPr="005C763E" w:rsidRDefault="005C763E" w:rsidP="005C763E">
            <w:pPr>
              <w:pStyle w:val="tabbielystyl"/>
            </w:pPr>
            <w:r w:rsidRPr="005C763E">
              <w:t>1361,16</w:t>
            </w:r>
          </w:p>
        </w:tc>
        <w:tc>
          <w:tcPr>
            <w:tcW w:w="1130" w:type="dxa"/>
            <w:vAlign w:val="bottom"/>
          </w:tcPr>
          <w:p w:rsidR="005C763E" w:rsidRPr="005C763E" w:rsidRDefault="005C763E" w:rsidP="005C763E">
            <w:pPr>
              <w:pStyle w:val="tabbielystyl"/>
              <w:rPr>
                <w:szCs w:val="20"/>
              </w:rPr>
            </w:pPr>
            <w:r w:rsidRPr="005C763E">
              <w:t>1362</w:t>
            </w:r>
          </w:p>
        </w:tc>
        <w:tc>
          <w:tcPr>
            <w:tcW w:w="1130" w:type="dxa"/>
          </w:tcPr>
          <w:p w:rsidR="005C763E" w:rsidRPr="005C763E" w:rsidRDefault="005C763E" w:rsidP="005C763E">
            <w:pPr>
              <w:pStyle w:val="tabbielystyl"/>
            </w:pPr>
            <w:r w:rsidRPr="005C763E">
              <w:t>1 010</w:t>
            </w:r>
          </w:p>
        </w:tc>
        <w:tc>
          <w:tcPr>
            <w:tcW w:w="1130" w:type="dxa"/>
            <w:vAlign w:val="bottom"/>
          </w:tcPr>
          <w:p w:rsidR="005C763E" w:rsidRPr="005C763E" w:rsidRDefault="005C763E" w:rsidP="005C763E">
            <w:pPr>
              <w:pStyle w:val="tabbielystyl"/>
              <w:rPr>
                <w:szCs w:val="20"/>
              </w:rPr>
            </w:pPr>
            <w:r w:rsidRPr="005C763E">
              <w:t>1010</w:t>
            </w:r>
          </w:p>
        </w:tc>
        <w:tc>
          <w:tcPr>
            <w:tcW w:w="1130" w:type="dxa"/>
          </w:tcPr>
          <w:p w:rsidR="005C763E" w:rsidRPr="005C763E" w:rsidRDefault="005C763E" w:rsidP="005C763E">
            <w:pPr>
              <w:pStyle w:val="tabbielystyl"/>
            </w:pPr>
            <w:r w:rsidRPr="005C763E">
              <w:t>3 705</w:t>
            </w:r>
          </w:p>
        </w:tc>
      </w:tr>
      <w:tr w:rsidR="005C763E" w:rsidRPr="004C1013" w:rsidTr="00AB3BC3">
        <w:trPr>
          <w:trHeight w:val="283"/>
        </w:trPr>
        <w:tc>
          <w:tcPr>
            <w:tcW w:w="1330" w:type="dxa"/>
            <w:hideMark/>
          </w:tcPr>
          <w:p w:rsidR="005C763E" w:rsidRPr="005C763E" w:rsidRDefault="005C763E" w:rsidP="005C763E">
            <w:pPr>
              <w:pStyle w:val="tabbielystyl"/>
            </w:pPr>
            <w:r w:rsidRPr="005C763E">
              <w:t>2013</w:t>
            </w:r>
          </w:p>
        </w:tc>
        <w:tc>
          <w:tcPr>
            <w:tcW w:w="1204" w:type="dxa"/>
            <w:hideMark/>
          </w:tcPr>
          <w:p w:rsidR="005C763E" w:rsidRPr="005C763E" w:rsidRDefault="005C763E" w:rsidP="005C763E">
            <w:pPr>
              <w:pStyle w:val="tabbielystyl"/>
            </w:pPr>
            <w:r w:rsidRPr="005C763E">
              <w:t>4.</w:t>
            </w:r>
          </w:p>
        </w:tc>
        <w:tc>
          <w:tcPr>
            <w:tcW w:w="1227" w:type="dxa"/>
            <w:hideMark/>
          </w:tcPr>
          <w:p w:rsidR="005C763E" w:rsidRPr="005C763E" w:rsidRDefault="005C763E" w:rsidP="005C763E">
            <w:pPr>
              <w:pStyle w:val="tabbielystyl"/>
            </w:pPr>
            <w:r w:rsidRPr="005C763E">
              <w:t>4 993</w:t>
            </w:r>
          </w:p>
        </w:tc>
        <w:tc>
          <w:tcPr>
            <w:tcW w:w="1130" w:type="dxa"/>
          </w:tcPr>
          <w:p w:rsidR="005C763E" w:rsidRPr="005C763E" w:rsidRDefault="005C763E" w:rsidP="005C763E">
            <w:pPr>
              <w:pStyle w:val="tabbielystyl"/>
            </w:pPr>
            <w:r w:rsidRPr="005C763E">
              <w:t>1391,07</w:t>
            </w:r>
          </w:p>
        </w:tc>
        <w:tc>
          <w:tcPr>
            <w:tcW w:w="1130" w:type="dxa"/>
            <w:vAlign w:val="bottom"/>
          </w:tcPr>
          <w:p w:rsidR="005C763E" w:rsidRPr="005C763E" w:rsidRDefault="005C763E" w:rsidP="005C763E">
            <w:pPr>
              <w:pStyle w:val="tabbielystyl"/>
              <w:rPr>
                <w:szCs w:val="20"/>
              </w:rPr>
            </w:pPr>
            <w:r w:rsidRPr="005C763E">
              <w:t>1387</w:t>
            </w:r>
          </w:p>
        </w:tc>
        <w:tc>
          <w:tcPr>
            <w:tcW w:w="1130" w:type="dxa"/>
          </w:tcPr>
          <w:p w:rsidR="005C763E" w:rsidRPr="005C763E" w:rsidRDefault="005C763E" w:rsidP="005C763E">
            <w:pPr>
              <w:pStyle w:val="tabbielystyl"/>
            </w:pPr>
            <w:r w:rsidRPr="005C763E">
              <w:t>1 044</w:t>
            </w:r>
          </w:p>
        </w:tc>
        <w:tc>
          <w:tcPr>
            <w:tcW w:w="1130" w:type="dxa"/>
            <w:vAlign w:val="bottom"/>
          </w:tcPr>
          <w:p w:rsidR="005C763E" w:rsidRPr="005C763E" w:rsidRDefault="005C763E" w:rsidP="005C763E">
            <w:pPr>
              <w:pStyle w:val="tabbielystyl"/>
              <w:rPr>
                <w:szCs w:val="20"/>
              </w:rPr>
            </w:pPr>
            <w:r w:rsidRPr="005C763E">
              <w:t>1041</w:t>
            </w:r>
          </w:p>
        </w:tc>
        <w:tc>
          <w:tcPr>
            <w:tcW w:w="1130" w:type="dxa"/>
          </w:tcPr>
          <w:p w:rsidR="005C763E" w:rsidRPr="005C763E" w:rsidRDefault="005C763E" w:rsidP="005C763E">
            <w:pPr>
              <w:pStyle w:val="tabbielystyl"/>
            </w:pPr>
            <w:r w:rsidRPr="005C763E">
              <w:t>3 594</w:t>
            </w:r>
          </w:p>
        </w:tc>
      </w:tr>
      <w:tr w:rsidR="005C763E" w:rsidRPr="004C1013" w:rsidTr="00AB3BC3">
        <w:trPr>
          <w:trHeight w:val="283"/>
        </w:trPr>
        <w:tc>
          <w:tcPr>
            <w:tcW w:w="1330" w:type="dxa"/>
            <w:hideMark/>
          </w:tcPr>
          <w:p w:rsidR="005C763E" w:rsidRPr="005C763E" w:rsidRDefault="005C763E" w:rsidP="005C763E">
            <w:pPr>
              <w:pStyle w:val="tabbielystyl"/>
            </w:pPr>
            <w:r w:rsidRPr="005C763E">
              <w:t>2014</w:t>
            </w:r>
          </w:p>
        </w:tc>
        <w:tc>
          <w:tcPr>
            <w:tcW w:w="1204" w:type="dxa"/>
            <w:hideMark/>
          </w:tcPr>
          <w:p w:rsidR="005C763E" w:rsidRPr="005C763E" w:rsidRDefault="005C763E" w:rsidP="005C763E">
            <w:pPr>
              <w:pStyle w:val="tabbielystyl"/>
            </w:pPr>
            <w:r w:rsidRPr="005C763E">
              <w:t>5.</w:t>
            </w:r>
          </w:p>
        </w:tc>
        <w:tc>
          <w:tcPr>
            <w:tcW w:w="1227" w:type="dxa"/>
            <w:hideMark/>
          </w:tcPr>
          <w:p w:rsidR="005C763E" w:rsidRPr="005C763E" w:rsidRDefault="005C763E" w:rsidP="005C763E">
            <w:pPr>
              <w:pStyle w:val="tabbielystyl"/>
            </w:pPr>
            <w:r w:rsidRPr="005C763E">
              <w:t>4 789</w:t>
            </w:r>
          </w:p>
        </w:tc>
        <w:tc>
          <w:tcPr>
            <w:tcW w:w="1130" w:type="dxa"/>
          </w:tcPr>
          <w:p w:rsidR="005C763E" w:rsidRPr="005C763E" w:rsidRDefault="005C763E" w:rsidP="005C763E">
            <w:pPr>
              <w:pStyle w:val="tabbielystyl"/>
            </w:pPr>
            <w:r w:rsidRPr="005C763E">
              <w:t>1814,45</w:t>
            </w:r>
          </w:p>
        </w:tc>
        <w:tc>
          <w:tcPr>
            <w:tcW w:w="1130" w:type="dxa"/>
            <w:vAlign w:val="bottom"/>
          </w:tcPr>
          <w:p w:rsidR="005C763E" w:rsidRPr="005C763E" w:rsidRDefault="005C763E" w:rsidP="005C763E">
            <w:pPr>
              <w:pStyle w:val="tabbielystyl"/>
              <w:rPr>
                <w:szCs w:val="20"/>
              </w:rPr>
            </w:pPr>
            <w:r w:rsidRPr="005C763E">
              <w:t>1391</w:t>
            </w:r>
          </w:p>
        </w:tc>
        <w:tc>
          <w:tcPr>
            <w:tcW w:w="1130" w:type="dxa"/>
          </w:tcPr>
          <w:p w:rsidR="005C763E" w:rsidRPr="005C763E" w:rsidRDefault="005C763E" w:rsidP="005C763E">
            <w:pPr>
              <w:pStyle w:val="tabbielystyl"/>
            </w:pPr>
            <w:r w:rsidRPr="005C763E">
              <w:t>1 503</w:t>
            </w:r>
          </w:p>
        </w:tc>
        <w:tc>
          <w:tcPr>
            <w:tcW w:w="1130" w:type="dxa"/>
            <w:vAlign w:val="bottom"/>
          </w:tcPr>
          <w:p w:rsidR="005C763E" w:rsidRPr="005C763E" w:rsidRDefault="005C763E" w:rsidP="005C763E">
            <w:pPr>
              <w:pStyle w:val="tabbielystyl"/>
              <w:rPr>
                <w:szCs w:val="20"/>
              </w:rPr>
            </w:pPr>
            <w:r w:rsidRPr="005C763E">
              <w:t>1152</w:t>
            </w:r>
          </w:p>
        </w:tc>
        <w:tc>
          <w:tcPr>
            <w:tcW w:w="1130" w:type="dxa"/>
          </w:tcPr>
          <w:p w:rsidR="005C763E" w:rsidRPr="005C763E" w:rsidRDefault="005C763E" w:rsidP="005C763E">
            <w:pPr>
              <w:pStyle w:val="tabbielystyl"/>
            </w:pPr>
            <w:r w:rsidRPr="005C763E">
              <w:t>4 048</w:t>
            </w:r>
          </w:p>
        </w:tc>
      </w:tr>
      <w:tr w:rsidR="005C763E" w:rsidRPr="004C1013" w:rsidTr="00AB3BC3">
        <w:trPr>
          <w:trHeight w:val="283"/>
        </w:trPr>
        <w:tc>
          <w:tcPr>
            <w:tcW w:w="1330" w:type="dxa"/>
            <w:hideMark/>
          </w:tcPr>
          <w:p w:rsidR="005C763E" w:rsidRPr="005C763E" w:rsidRDefault="005C763E" w:rsidP="005C763E">
            <w:pPr>
              <w:pStyle w:val="tabbielystyl"/>
            </w:pPr>
            <w:r w:rsidRPr="005C763E">
              <w:t>2015</w:t>
            </w:r>
          </w:p>
        </w:tc>
        <w:tc>
          <w:tcPr>
            <w:tcW w:w="1204" w:type="dxa"/>
            <w:hideMark/>
          </w:tcPr>
          <w:p w:rsidR="005C763E" w:rsidRPr="005C763E" w:rsidRDefault="005C763E" w:rsidP="005C763E">
            <w:pPr>
              <w:pStyle w:val="tabbielystyl"/>
            </w:pPr>
            <w:r w:rsidRPr="005C763E">
              <w:t>6.</w:t>
            </w:r>
          </w:p>
        </w:tc>
        <w:tc>
          <w:tcPr>
            <w:tcW w:w="1227" w:type="dxa"/>
            <w:hideMark/>
          </w:tcPr>
          <w:p w:rsidR="005C763E" w:rsidRPr="005C763E" w:rsidRDefault="005C763E" w:rsidP="005C763E">
            <w:pPr>
              <w:pStyle w:val="tabbielystyl"/>
            </w:pPr>
            <w:r w:rsidRPr="005C763E">
              <w:t>4 887</w:t>
            </w:r>
          </w:p>
        </w:tc>
        <w:tc>
          <w:tcPr>
            <w:tcW w:w="1130" w:type="dxa"/>
          </w:tcPr>
          <w:p w:rsidR="005C763E" w:rsidRPr="005C763E" w:rsidRDefault="005C763E" w:rsidP="005C763E">
            <w:pPr>
              <w:pStyle w:val="tabbielystyl"/>
            </w:pPr>
            <w:r w:rsidRPr="005C763E">
              <w:t>1926,10</w:t>
            </w:r>
          </w:p>
        </w:tc>
        <w:tc>
          <w:tcPr>
            <w:tcW w:w="1130" w:type="dxa"/>
            <w:vAlign w:val="bottom"/>
          </w:tcPr>
          <w:p w:rsidR="005C763E" w:rsidRPr="005C763E" w:rsidRDefault="005C763E" w:rsidP="005C763E">
            <w:pPr>
              <w:pStyle w:val="tabbielystyl"/>
              <w:rPr>
                <w:szCs w:val="20"/>
              </w:rPr>
            </w:pPr>
            <w:r w:rsidRPr="005C763E">
              <w:t>1435</w:t>
            </w:r>
          </w:p>
        </w:tc>
        <w:tc>
          <w:tcPr>
            <w:tcW w:w="1130" w:type="dxa"/>
          </w:tcPr>
          <w:p w:rsidR="005C763E" w:rsidRPr="005C763E" w:rsidRDefault="005C763E" w:rsidP="005C763E">
            <w:pPr>
              <w:pStyle w:val="tabbielystyl"/>
            </w:pPr>
            <w:r w:rsidRPr="005C763E">
              <w:t>1 636</w:t>
            </w:r>
          </w:p>
        </w:tc>
        <w:tc>
          <w:tcPr>
            <w:tcW w:w="1130" w:type="dxa"/>
            <w:vAlign w:val="bottom"/>
          </w:tcPr>
          <w:p w:rsidR="005C763E" w:rsidRPr="005C763E" w:rsidRDefault="005C763E" w:rsidP="005C763E">
            <w:pPr>
              <w:pStyle w:val="tabbielystyl"/>
              <w:rPr>
                <w:szCs w:val="20"/>
              </w:rPr>
            </w:pPr>
            <w:r w:rsidRPr="005C763E">
              <w:t>1219</w:t>
            </w:r>
          </w:p>
        </w:tc>
        <w:tc>
          <w:tcPr>
            <w:tcW w:w="1130" w:type="dxa"/>
          </w:tcPr>
          <w:p w:rsidR="005C763E" w:rsidRPr="005C763E" w:rsidRDefault="005C763E" w:rsidP="005C763E">
            <w:pPr>
              <w:pStyle w:val="tabbielystyl"/>
            </w:pPr>
            <w:r w:rsidRPr="005C763E">
              <w:t>4 524</w:t>
            </w:r>
          </w:p>
        </w:tc>
      </w:tr>
      <w:tr w:rsidR="005C763E" w:rsidRPr="004C1013" w:rsidTr="00AB3BC3">
        <w:trPr>
          <w:trHeight w:val="283"/>
        </w:trPr>
        <w:tc>
          <w:tcPr>
            <w:tcW w:w="1330" w:type="dxa"/>
            <w:hideMark/>
          </w:tcPr>
          <w:p w:rsidR="005C763E" w:rsidRPr="005C763E" w:rsidRDefault="005C763E" w:rsidP="005C763E">
            <w:pPr>
              <w:pStyle w:val="tabbielystyl"/>
            </w:pPr>
            <w:r w:rsidRPr="005C763E">
              <w:t>2016</w:t>
            </w:r>
          </w:p>
        </w:tc>
        <w:tc>
          <w:tcPr>
            <w:tcW w:w="1204" w:type="dxa"/>
            <w:hideMark/>
          </w:tcPr>
          <w:p w:rsidR="005C763E" w:rsidRPr="005C763E" w:rsidRDefault="005C763E" w:rsidP="005C763E">
            <w:pPr>
              <w:pStyle w:val="tabbielystyl"/>
            </w:pPr>
            <w:r w:rsidRPr="005C763E">
              <w:t>7.</w:t>
            </w:r>
          </w:p>
        </w:tc>
        <w:tc>
          <w:tcPr>
            <w:tcW w:w="1227" w:type="dxa"/>
            <w:hideMark/>
          </w:tcPr>
          <w:p w:rsidR="005C763E" w:rsidRPr="005C763E" w:rsidRDefault="005C763E" w:rsidP="005C763E">
            <w:pPr>
              <w:pStyle w:val="tabbielystyl"/>
            </w:pPr>
            <w:r w:rsidRPr="005C763E">
              <w:t>5 326</w:t>
            </w:r>
          </w:p>
        </w:tc>
        <w:tc>
          <w:tcPr>
            <w:tcW w:w="1130" w:type="dxa"/>
          </w:tcPr>
          <w:p w:rsidR="005C763E" w:rsidRPr="005C763E" w:rsidRDefault="005C763E" w:rsidP="005C763E">
            <w:pPr>
              <w:pStyle w:val="tabbielystyl"/>
            </w:pPr>
            <w:r w:rsidRPr="005C763E">
              <w:t>1974,40</w:t>
            </w:r>
          </w:p>
        </w:tc>
        <w:tc>
          <w:tcPr>
            <w:tcW w:w="1130" w:type="dxa"/>
            <w:vAlign w:val="bottom"/>
          </w:tcPr>
          <w:p w:rsidR="005C763E" w:rsidRPr="005C763E" w:rsidRDefault="005C763E" w:rsidP="005C763E">
            <w:pPr>
              <w:pStyle w:val="tabbielystyl"/>
              <w:rPr>
                <w:szCs w:val="20"/>
              </w:rPr>
            </w:pPr>
            <w:r w:rsidRPr="005C763E">
              <w:t>1478</w:t>
            </w:r>
          </w:p>
        </w:tc>
        <w:tc>
          <w:tcPr>
            <w:tcW w:w="1130" w:type="dxa"/>
          </w:tcPr>
          <w:p w:rsidR="005C763E" w:rsidRPr="005C763E" w:rsidRDefault="005C763E" w:rsidP="005C763E">
            <w:pPr>
              <w:pStyle w:val="tabbielystyl"/>
            </w:pPr>
            <w:r w:rsidRPr="005C763E">
              <w:t>1 690</w:t>
            </w:r>
          </w:p>
        </w:tc>
        <w:tc>
          <w:tcPr>
            <w:tcW w:w="1130" w:type="dxa"/>
            <w:vAlign w:val="bottom"/>
          </w:tcPr>
          <w:p w:rsidR="005C763E" w:rsidRPr="005C763E" w:rsidRDefault="005C763E" w:rsidP="005C763E">
            <w:pPr>
              <w:pStyle w:val="tabbielystyl"/>
              <w:rPr>
                <w:szCs w:val="20"/>
              </w:rPr>
            </w:pPr>
            <w:r w:rsidRPr="005C763E">
              <w:t>1265</w:t>
            </w:r>
          </w:p>
        </w:tc>
        <w:tc>
          <w:tcPr>
            <w:tcW w:w="1130" w:type="dxa"/>
          </w:tcPr>
          <w:p w:rsidR="005C763E" w:rsidRPr="005C763E" w:rsidRDefault="005C763E" w:rsidP="005C763E">
            <w:pPr>
              <w:pStyle w:val="tabbielystyl"/>
            </w:pPr>
            <w:r w:rsidRPr="005C763E">
              <w:t>4 949</w:t>
            </w:r>
          </w:p>
        </w:tc>
      </w:tr>
      <w:tr w:rsidR="005C763E" w:rsidRPr="004C1013" w:rsidTr="00AB3BC3">
        <w:trPr>
          <w:trHeight w:val="283"/>
        </w:trPr>
        <w:tc>
          <w:tcPr>
            <w:tcW w:w="1330" w:type="dxa"/>
            <w:hideMark/>
          </w:tcPr>
          <w:p w:rsidR="005C763E" w:rsidRPr="005C763E" w:rsidRDefault="005C763E" w:rsidP="005C763E">
            <w:pPr>
              <w:pStyle w:val="tabbielystyl"/>
            </w:pPr>
            <w:r w:rsidRPr="005C763E">
              <w:t>2017</w:t>
            </w:r>
          </w:p>
        </w:tc>
        <w:tc>
          <w:tcPr>
            <w:tcW w:w="1204" w:type="dxa"/>
            <w:hideMark/>
          </w:tcPr>
          <w:p w:rsidR="005C763E" w:rsidRPr="005C763E" w:rsidRDefault="005C763E" w:rsidP="005C763E">
            <w:pPr>
              <w:pStyle w:val="tabbielystyl"/>
            </w:pPr>
            <w:r w:rsidRPr="005C763E">
              <w:t>8.</w:t>
            </w:r>
          </w:p>
        </w:tc>
        <w:tc>
          <w:tcPr>
            <w:tcW w:w="1227" w:type="dxa"/>
            <w:hideMark/>
          </w:tcPr>
          <w:p w:rsidR="005C763E" w:rsidRPr="005C763E" w:rsidRDefault="005C763E" w:rsidP="005C763E">
            <w:pPr>
              <w:pStyle w:val="tabbielystyl"/>
            </w:pPr>
            <w:r w:rsidRPr="005C763E">
              <w:t>5 782</w:t>
            </w:r>
          </w:p>
        </w:tc>
        <w:tc>
          <w:tcPr>
            <w:tcW w:w="1130" w:type="dxa"/>
          </w:tcPr>
          <w:p w:rsidR="005C763E" w:rsidRPr="005C763E" w:rsidRDefault="005C763E" w:rsidP="005C763E">
            <w:pPr>
              <w:pStyle w:val="tabbielystyl"/>
            </w:pPr>
            <w:r w:rsidRPr="005C763E">
              <w:t>2033,42</w:t>
            </w:r>
          </w:p>
        </w:tc>
        <w:tc>
          <w:tcPr>
            <w:tcW w:w="1130" w:type="dxa"/>
            <w:vAlign w:val="bottom"/>
          </w:tcPr>
          <w:p w:rsidR="005C763E" w:rsidRPr="005C763E" w:rsidRDefault="005C763E" w:rsidP="005C763E">
            <w:pPr>
              <w:pStyle w:val="tabbielystyl"/>
              <w:rPr>
                <w:szCs w:val="20"/>
              </w:rPr>
            </w:pPr>
            <w:r w:rsidRPr="005C763E">
              <w:t>1531</w:t>
            </w:r>
          </w:p>
        </w:tc>
        <w:tc>
          <w:tcPr>
            <w:tcW w:w="1130" w:type="dxa"/>
          </w:tcPr>
          <w:p w:rsidR="005C763E" w:rsidRPr="005C763E" w:rsidRDefault="005C763E" w:rsidP="005C763E">
            <w:pPr>
              <w:pStyle w:val="tabbielystyl"/>
            </w:pPr>
            <w:r w:rsidRPr="005C763E">
              <w:t>1 756</w:t>
            </w:r>
          </w:p>
        </w:tc>
        <w:tc>
          <w:tcPr>
            <w:tcW w:w="1130" w:type="dxa"/>
            <w:vAlign w:val="bottom"/>
          </w:tcPr>
          <w:p w:rsidR="005C763E" w:rsidRPr="005C763E" w:rsidRDefault="005C763E" w:rsidP="005C763E">
            <w:pPr>
              <w:pStyle w:val="tabbielystyl"/>
              <w:rPr>
                <w:szCs w:val="20"/>
              </w:rPr>
            </w:pPr>
            <w:r w:rsidRPr="005C763E">
              <w:t>1322</w:t>
            </w:r>
          </w:p>
        </w:tc>
        <w:tc>
          <w:tcPr>
            <w:tcW w:w="1130" w:type="dxa"/>
          </w:tcPr>
          <w:p w:rsidR="005C763E" w:rsidRPr="005C763E" w:rsidRDefault="005C763E" w:rsidP="005C763E">
            <w:pPr>
              <w:pStyle w:val="tabbielystyl"/>
            </w:pPr>
            <w:r w:rsidRPr="005C763E">
              <w:t>5 328</w:t>
            </w:r>
          </w:p>
        </w:tc>
      </w:tr>
      <w:tr w:rsidR="005C763E" w:rsidRPr="004C1013" w:rsidTr="00AB3BC3">
        <w:trPr>
          <w:trHeight w:val="283"/>
        </w:trPr>
        <w:tc>
          <w:tcPr>
            <w:tcW w:w="1330" w:type="dxa"/>
            <w:hideMark/>
          </w:tcPr>
          <w:p w:rsidR="005C763E" w:rsidRPr="005C763E" w:rsidRDefault="005C763E" w:rsidP="005C763E">
            <w:pPr>
              <w:pStyle w:val="tabbielystyl"/>
            </w:pPr>
            <w:r w:rsidRPr="005C763E">
              <w:t>2018</w:t>
            </w:r>
          </w:p>
        </w:tc>
        <w:tc>
          <w:tcPr>
            <w:tcW w:w="1204" w:type="dxa"/>
            <w:hideMark/>
          </w:tcPr>
          <w:p w:rsidR="005C763E" w:rsidRPr="005C763E" w:rsidRDefault="005C763E" w:rsidP="005C763E">
            <w:pPr>
              <w:pStyle w:val="tabbielystyl"/>
            </w:pPr>
            <w:r w:rsidRPr="005C763E">
              <w:t>9.</w:t>
            </w:r>
          </w:p>
        </w:tc>
        <w:tc>
          <w:tcPr>
            <w:tcW w:w="1227" w:type="dxa"/>
            <w:hideMark/>
          </w:tcPr>
          <w:p w:rsidR="005C763E" w:rsidRPr="005C763E" w:rsidRDefault="005C763E" w:rsidP="005C763E">
            <w:pPr>
              <w:pStyle w:val="tabbielystyl"/>
            </w:pPr>
            <w:r w:rsidRPr="005C763E">
              <w:t>6 170</w:t>
            </w:r>
          </w:p>
        </w:tc>
        <w:tc>
          <w:tcPr>
            <w:tcW w:w="1130" w:type="dxa"/>
          </w:tcPr>
          <w:p w:rsidR="005C763E" w:rsidRPr="005C763E" w:rsidRDefault="005C763E" w:rsidP="005C763E">
            <w:pPr>
              <w:pStyle w:val="tabbielystyl"/>
            </w:pPr>
            <w:r w:rsidRPr="005C763E">
              <w:t>2082,05</w:t>
            </w:r>
          </w:p>
        </w:tc>
        <w:tc>
          <w:tcPr>
            <w:tcW w:w="1130" w:type="dxa"/>
            <w:vAlign w:val="bottom"/>
          </w:tcPr>
          <w:p w:rsidR="005C763E" w:rsidRPr="005C763E" w:rsidRDefault="005C763E" w:rsidP="005C763E">
            <w:pPr>
              <w:pStyle w:val="tabbielystyl"/>
              <w:rPr>
                <w:szCs w:val="20"/>
              </w:rPr>
            </w:pPr>
            <w:r w:rsidRPr="005C763E">
              <w:t>1591</w:t>
            </w:r>
          </w:p>
        </w:tc>
        <w:tc>
          <w:tcPr>
            <w:tcW w:w="1130" w:type="dxa"/>
          </w:tcPr>
          <w:p w:rsidR="005C763E" w:rsidRPr="005C763E" w:rsidRDefault="005C763E" w:rsidP="005C763E">
            <w:pPr>
              <w:pStyle w:val="tabbielystyl"/>
            </w:pPr>
            <w:r w:rsidRPr="005C763E">
              <w:t>1 798</w:t>
            </w:r>
          </w:p>
        </w:tc>
        <w:tc>
          <w:tcPr>
            <w:tcW w:w="1130" w:type="dxa"/>
            <w:vAlign w:val="bottom"/>
          </w:tcPr>
          <w:p w:rsidR="005C763E" w:rsidRPr="005C763E" w:rsidRDefault="005C763E" w:rsidP="005C763E">
            <w:pPr>
              <w:pStyle w:val="tabbielystyl"/>
              <w:rPr>
                <w:szCs w:val="20"/>
              </w:rPr>
            </w:pPr>
            <w:r w:rsidRPr="005C763E">
              <w:t>1374</w:t>
            </w:r>
          </w:p>
        </w:tc>
        <w:tc>
          <w:tcPr>
            <w:tcW w:w="1130" w:type="dxa"/>
          </w:tcPr>
          <w:p w:rsidR="005C763E" w:rsidRPr="005C763E" w:rsidRDefault="005C763E" w:rsidP="005C763E">
            <w:pPr>
              <w:pStyle w:val="tabbielystyl"/>
            </w:pPr>
            <w:r w:rsidRPr="005C763E">
              <w:t>5 593</w:t>
            </w:r>
          </w:p>
        </w:tc>
      </w:tr>
    </w:tbl>
    <w:p w:rsidR="00266A07" w:rsidRPr="004C1013" w:rsidRDefault="0025522E" w:rsidP="00266A07">
      <w:pPr>
        <w:pStyle w:val="Normaltext"/>
        <w:spacing w:line="276" w:lineRule="auto"/>
        <w:rPr>
          <w:rFonts w:asciiTheme="minorHAnsi" w:hAnsiTheme="minorHAnsi" w:cstheme="minorHAnsi"/>
        </w:rPr>
      </w:pPr>
      <w:r w:rsidRPr="004C1013">
        <w:rPr>
          <w:rFonts w:asciiTheme="minorHAnsi" w:hAnsiTheme="minorHAnsi" w:cstheme="minorHAnsi"/>
        </w:rPr>
        <w:t xml:space="preserve">Riešiteľský kolektív vyvodil z údajových disproporcií </w:t>
      </w:r>
      <w:r w:rsidR="005C763E">
        <w:rPr>
          <w:rFonts w:asciiTheme="minorHAnsi" w:hAnsiTheme="minorHAnsi" w:cstheme="minorHAnsi"/>
        </w:rPr>
        <w:t xml:space="preserve">v správach ASECAP </w:t>
      </w:r>
      <w:r w:rsidRPr="004C1013">
        <w:rPr>
          <w:rFonts w:asciiTheme="minorHAnsi" w:hAnsiTheme="minorHAnsi" w:cstheme="minorHAnsi"/>
        </w:rPr>
        <w:t xml:space="preserve">záver, že zdroj [15] uvádza údaje o dennej intenzite priemerného 1 km siete len vymedzených úsekov diaľnic a rýchlostných ciest, zatiaľ čo v zdroji [16] </w:t>
      </w:r>
      <w:r w:rsidR="009549C7">
        <w:rPr>
          <w:rFonts w:asciiTheme="minorHAnsi" w:hAnsiTheme="minorHAnsi" w:cstheme="minorHAnsi"/>
        </w:rPr>
        <w:t>sú</w:t>
      </w:r>
      <w:r w:rsidRPr="004C1013">
        <w:rPr>
          <w:rFonts w:asciiTheme="minorHAnsi" w:hAnsiTheme="minorHAnsi" w:cstheme="minorHAnsi"/>
        </w:rPr>
        <w:t xml:space="preserve"> hodnoty kumulovaných ročných dopravných výkonov uvádzané pre </w:t>
      </w:r>
      <w:r w:rsidR="009549C7">
        <w:rPr>
          <w:rFonts w:asciiTheme="minorHAnsi" w:hAnsiTheme="minorHAnsi" w:cstheme="minorHAnsi"/>
        </w:rPr>
        <w:t>inú, bližšie nešpecifikovanú cestnú sieť, resp. vozidlá</w:t>
      </w:r>
      <w:r w:rsidR="00266A07">
        <w:rPr>
          <w:rFonts w:asciiTheme="minorHAnsi" w:hAnsiTheme="minorHAnsi" w:cstheme="minorHAnsi"/>
        </w:rPr>
        <w:t>, a to</w:t>
      </w:r>
      <w:r w:rsidR="009549C7">
        <w:rPr>
          <w:rFonts w:asciiTheme="minorHAnsi" w:hAnsiTheme="minorHAnsi" w:cstheme="minorHAnsi"/>
        </w:rPr>
        <w:t xml:space="preserve"> najmä pre roky 2014 až 2018. Údaje zdrojov </w:t>
      </w:r>
      <w:r w:rsidR="009549C7" w:rsidRPr="004C1013">
        <w:rPr>
          <w:rFonts w:asciiTheme="minorHAnsi" w:hAnsiTheme="minorHAnsi" w:cstheme="minorHAnsi"/>
        </w:rPr>
        <w:t xml:space="preserve">[16] </w:t>
      </w:r>
      <w:r w:rsidR="009549C7">
        <w:rPr>
          <w:rFonts w:asciiTheme="minorHAnsi" w:hAnsiTheme="minorHAnsi" w:cstheme="minorHAnsi"/>
        </w:rPr>
        <w:t xml:space="preserve"> a </w:t>
      </w:r>
      <w:r w:rsidR="009549C7" w:rsidRPr="004C1013">
        <w:rPr>
          <w:rFonts w:asciiTheme="minorHAnsi" w:hAnsiTheme="minorHAnsi" w:cstheme="minorHAnsi"/>
        </w:rPr>
        <w:t>[</w:t>
      </w:r>
      <w:r w:rsidR="009549C7">
        <w:rPr>
          <w:rFonts w:asciiTheme="minorHAnsi" w:hAnsiTheme="minorHAnsi" w:cstheme="minorHAnsi"/>
        </w:rPr>
        <w:t>7</w:t>
      </w:r>
      <w:r w:rsidR="009549C7" w:rsidRPr="004C1013">
        <w:rPr>
          <w:rFonts w:asciiTheme="minorHAnsi" w:hAnsiTheme="minorHAnsi" w:cstheme="minorHAnsi"/>
        </w:rPr>
        <w:t xml:space="preserve">] </w:t>
      </w:r>
      <w:r w:rsidR="009549C7">
        <w:rPr>
          <w:rFonts w:asciiTheme="minorHAnsi" w:hAnsiTheme="minorHAnsi" w:cstheme="minorHAnsi"/>
        </w:rPr>
        <w:t xml:space="preserve">o kumulovaných ročných výkonoch za roky 2012 a 2013 </w:t>
      </w:r>
      <w:r w:rsidR="00266A07">
        <w:rPr>
          <w:rFonts w:asciiTheme="minorHAnsi" w:hAnsiTheme="minorHAnsi" w:cstheme="minorHAnsi"/>
        </w:rPr>
        <w:t>sa prevažne zhodujú.</w:t>
      </w:r>
      <w:r w:rsidR="009549C7">
        <w:rPr>
          <w:rFonts w:asciiTheme="minorHAnsi" w:hAnsiTheme="minorHAnsi" w:cstheme="minorHAnsi"/>
        </w:rPr>
        <w:t xml:space="preserve"> </w:t>
      </w:r>
      <w:r w:rsidR="00AB3BC3">
        <w:rPr>
          <w:rFonts w:asciiTheme="minorHAnsi" w:hAnsiTheme="minorHAnsi" w:cstheme="minorHAnsi"/>
        </w:rPr>
        <w:t>Konzistentnosť a r</w:t>
      </w:r>
      <w:r w:rsidR="00266A07">
        <w:rPr>
          <w:rFonts w:asciiTheme="minorHAnsi" w:hAnsiTheme="minorHAnsi" w:cstheme="minorHAnsi"/>
        </w:rPr>
        <w:t>elevantnosť dostupných údajov</w:t>
      </w:r>
      <w:r w:rsidR="00266A07" w:rsidRPr="004C1013">
        <w:rPr>
          <w:rFonts w:asciiTheme="minorHAnsi" w:hAnsiTheme="minorHAnsi" w:cstheme="minorHAnsi"/>
        </w:rPr>
        <w:t xml:space="preserve"> overil </w:t>
      </w:r>
      <w:r w:rsidR="00266A07">
        <w:rPr>
          <w:rFonts w:asciiTheme="minorHAnsi" w:hAnsiTheme="minorHAnsi" w:cstheme="minorHAnsi"/>
        </w:rPr>
        <w:t xml:space="preserve">riešiteľský kolektív </w:t>
      </w:r>
      <w:r w:rsidR="00266A07" w:rsidRPr="004C1013">
        <w:rPr>
          <w:rFonts w:asciiTheme="minorHAnsi" w:hAnsiTheme="minorHAnsi" w:cstheme="minorHAnsi"/>
        </w:rPr>
        <w:t xml:space="preserve">na hodnotách RPDI vypočítaných na </w:t>
      </w:r>
      <w:r w:rsidR="00AB3BC3">
        <w:rPr>
          <w:rFonts w:asciiTheme="minorHAnsi" w:hAnsiTheme="minorHAnsi" w:cstheme="minorHAnsi"/>
        </w:rPr>
        <w:t>spoplatnených cestách</w:t>
      </w:r>
      <w:r w:rsidR="00266A07" w:rsidRPr="004C1013">
        <w:rPr>
          <w:rFonts w:asciiTheme="minorHAnsi" w:hAnsiTheme="minorHAnsi" w:cstheme="minorHAnsi"/>
        </w:rPr>
        <w:t xml:space="preserve"> podľa výsledkov celoštátneho sčítania dopravy z roku 2015 [4], (</w:t>
      </w:r>
      <w:r w:rsidR="00C40D3F">
        <w:fldChar w:fldCharType="begin"/>
      </w:r>
      <w:r w:rsidR="00C40D3F">
        <w:instrText xml:space="preserve"> REF _Ref19822693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4</w:t>
      </w:r>
      <w:r w:rsidR="00C40D3F">
        <w:fldChar w:fldCharType="end"/>
      </w:r>
      <w:r w:rsidR="00266A07" w:rsidRPr="004C1013">
        <w:rPr>
          <w:rFonts w:asciiTheme="minorHAnsi" w:hAnsiTheme="minorHAnsi" w:cstheme="minorHAnsi"/>
        </w:rPr>
        <w:t xml:space="preserve">). </w:t>
      </w:r>
    </w:p>
    <w:p w:rsidR="009549C7" w:rsidRDefault="009549C7" w:rsidP="0025522E">
      <w:pPr>
        <w:pStyle w:val="Normaltext"/>
        <w:spacing w:line="276" w:lineRule="auto"/>
        <w:rPr>
          <w:rFonts w:asciiTheme="minorHAnsi" w:hAnsiTheme="minorHAnsi" w:cstheme="minorHAnsi"/>
        </w:rPr>
      </w:pPr>
      <w:r>
        <w:rPr>
          <w:rFonts w:asciiTheme="minorHAnsi" w:hAnsiTheme="minorHAnsi" w:cstheme="minorHAnsi"/>
        </w:rPr>
        <w:t xml:space="preserve">Ako hodnoverné údaje pre účely komparatívnej analýzy použil riešiteľský kolektív </w:t>
      </w:r>
      <w:r w:rsidRPr="004C1013">
        <w:rPr>
          <w:rFonts w:asciiTheme="minorHAnsi" w:hAnsiTheme="minorHAnsi" w:cstheme="minorHAnsi"/>
        </w:rPr>
        <w:t>kumulované ročné dopravné výkony</w:t>
      </w:r>
      <w:r>
        <w:rPr>
          <w:rFonts w:asciiTheme="minorHAnsi" w:hAnsiTheme="minorHAnsi" w:cstheme="minorHAnsi"/>
        </w:rPr>
        <w:t xml:space="preserve"> poskytnuté prevádzkovateľom systému </w:t>
      </w:r>
      <w:r w:rsidRPr="00B519DF">
        <w:rPr>
          <w:rFonts w:asciiTheme="minorHAnsi" w:hAnsiTheme="minorHAnsi" w:cstheme="minorHAnsi"/>
        </w:rPr>
        <w:t>[7]</w:t>
      </w:r>
      <w:r w:rsidRPr="009549C7">
        <w:rPr>
          <w:rFonts w:asciiTheme="minorHAnsi" w:hAnsiTheme="minorHAnsi" w:cstheme="minorHAnsi"/>
        </w:rPr>
        <w:t xml:space="preserve"> </w:t>
      </w:r>
      <w:r>
        <w:rPr>
          <w:rFonts w:asciiTheme="minorHAnsi" w:hAnsiTheme="minorHAnsi" w:cstheme="minorHAnsi"/>
        </w:rPr>
        <w:t>a s</w:t>
      </w:r>
      <w:r w:rsidRPr="004C1013">
        <w:rPr>
          <w:rFonts w:asciiTheme="minorHAnsi" w:hAnsiTheme="minorHAnsi" w:cstheme="minorHAnsi"/>
        </w:rPr>
        <w:t>kutočná dopravná intenzita priemerného jednotkového kilometra siete bola vypočítaná z pomeru kumulovaných výkonov a dĺžky spoplatnenej siete (</w:t>
      </w:r>
      <w:r w:rsidR="00C40D3F">
        <w:fldChar w:fldCharType="begin"/>
      </w:r>
      <w:r w:rsidR="00C40D3F">
        <w:instrText xml:space="preserve"> REF _Ref19824212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5</w:t>
      </w:r>
      <w:r w:rsidR="00C40D3F">
        <w:fldChar w:fldCharType="end"/>
      </w:r>
      <w:r w:rsidRPr="004C1013">
        <w:rPr>
          <w:rFonts w:asciiTheme="minorHAnsi" w:hAnsiTheme="minorHAnsi" w:cstheme="minorHAnsi"/>
        </w:rPr>
        <w:t>).</w:t>
      </w:r>
    </w:p>
    <w:p w:rsidR="0025522E" w:rsidRPr="004C1013" w:rsidRDefault="0025522E" w:rsidP="006B1C25">
      <w:pPr>
        <w:pStyle w:val="tabstyl"/>
      </w:pPr>
      <w:bookmarkStart w:id="40" w:name="_Ref19824212"/>
      <w:bookmarkStart w:id="41" w:name="_Toc36664447"/>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5</w:t>
      </w:r>
      <w:r w:rsidR="00C40D3F">
        <w:rPr>
          <w:noProof/>
        </w:rPr>
        <w:fldChar w:fldCharType="end"/>
      </w:r>
      <w:bookmarkEnd w:id="40"/>
      <w:r w:rsidRPr="004C1013">
        <w:t xml:space="preserve"> </w:t>
      </w:r>
      <w:r w:rsidRPr="004C1013">
        <w:tab/>
        <w:t>Slovensko: ETC indikátor 2. Dopravné výkony na sieti</w:t>
      </w:r>
      <w:bookmarkEnd w:id="41"/>
      <w:r w:rsidRPr="004C1013">
        <w:t xml:space="preserve"> </w:t>
      </w:r>
    </w:p>
    <w:tbl>
      <w:tblPr>
        <w:tblStyle w:val="tabulkaVUD"/>
        <w:tblW w:w="5000" w:type="pct"/>
        <w:tblLook w:val="04A0" w:firstRow="1" w:lastRow="0" w:firstColumn="1" w:lastColumn="0" w:noHBand="0" w:noVBand="1"/>
      </w:tblPr>
      <w:tblGrid>
        <w:gridCol w:w="1911"/>
        <w:gridCol w:w="1945"/>
        <w:gridCol w:w="2976"/>
        <w:gridCol w:w="2579"/>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742"/>
          <w:tblHeader/>
        </w:trPr>
        <w:tc>
          <w:tcPr>
            <w:tcW w:w="1015" w:type="pct"/>
            <w:shd w:val="clear" w:color="auto" w:fill="7F7F7F" w:themeFill="text1" w:themeFillTint="80"/>
            <w:hideMark/>
          </w:tcPr>
          <w:p w:rsidR="0025522E" w:rsidRPr="004C1013" w:rsidRDefault="0025522E" w:rsidP="009D58D5">
            <w:pPr>
              <w:pStyle w:val="zahltab"/>
            </w:pPr>
            <w:r w:rsidRPr="004C1013">
              <w:t>Kalendárny rok</w:t>
            </w:r>
          </w:p>
        </w:tc>
        <w:tc>
          <w:tcPr>
            <w:tcW w:w="1033" w:type="pct"/>
            <w:hideMark/>
          </w:tcPr>
          <w:p w:rsidR="0025522E" w:rsidRPr="004C1013" w:rsidRDefault="0025522E" w:rsidP="009D58D5">
            <w:pPr>
              <w:pStyle w:val="zahltab"/>
            </w:pPr>
            <w:r w:rsidRPr="004C1013">
              <w:t>Rok prevádzky</w:t>
            </w:r>
          </w:p>
        </w:tc>
        <w:tc>
          <w:tcPr>
            <w:tcW w:w="1581" w:type="pct"/>
            <w:hideMark/>
          </w:tcPr>
          <w:p w:rsidR="0025522E" w:rsidRPr="004C1013" w:rsidRDefault="0025522E" w:rsidP="009D58D5">
            <w:pPr>
              <w:pStyle w:val="zahltab"/>
            </w:pPr>
            <w:r w:rsidRPr="004C1013">
              <w:t>Dopravná intenzita na priemernom 1km siete  (voz/deň)</w:t>
            </w:r>
          </w:p>
        </w:tc>
        <w:tc>
          <w:tcPr>
            <w:tcW w:w="1370" w:type="pct"/>
          </w:tcPr>
          <w:p w:rsidR="0025522E" w:rsidRPr="004C1013" w:rsidRDefault="0025522E" w:rsidP="009D58D5">
            <w:pPr>
              <w:pStyle w:val="zahltab"/>
            </w:pPr>
            <w:r w:rsidRPr="004C1013">
              <w:t>Kumulovaný dopravný výkon (</w:t>
            </w:r>
            <w:r w:rsidR="00266A07">
              <w:t xml:space="preserve">mil. </w:t>
            </w:r>
            <w:r w:rsidRPr="004C1013">
              <w:t>vkm/rok)</w:t>
            </w:r>
          </w:p>
        </w:tc>
      </w:tr>
      <w:tr w:rsidR="00266A07" w:rsidRPr="004C1013" w:rsidTr="00AB3BC3">
        <w:trPr>
          <w:trHeight w:val="300"/>
        </w:trPr>
        <w:tc>
          <w:tcPr>
            <w:tcW w:w="1015" w:type="pct"/>
            <w:hideMark/>
          </w:tcPr>
          <w:p w:rsidR="00266A07" w:rsidRPr="004C1013" w:rsidRDefault="00266A07" w:rsidP="0025522E">
            <w:pPr>
              <w:pStyle w:val="tabbielystyl"/>
            </w:pPr>
            <w:r w:rsidRPr="004C1013">
              <w:t>2010</w:t>
            </w:r>
          </w:p>
        </w:tc>
        <w:tc>
          <w:tcPr>
            <w:tcW w:w="1033" w:type="pct"/>
            <w:hideMark/>
          </w:tcPr>
          <w:p w:rsidR="00266A07" w:rsidRPr="004C1013" w:rsidRDefault="00266A07" w:rsidP="0025522E">
            <w:pPr>
              <w:pStyle w:val="tabbielystyl"/>
            </w:pPr>
            <w:r w:rsidRPr="004C1013">
              <w:t>1.</w:t>
            </w:r>
          </w:p>
        </w:tc>
        <w:tc>
          <w:tcPr>
            <w:tcW w:w="1581" w:type="pct"/>
            <w:vAlign w:val="bottom"/>
            <w:hideMark/>
          </w:tcPr>
          <w:p w:rsidR="00266A07" w:rsidRPr="005C763E" w:rsidRDefault="00266A07" w:rsidP="00AB3BC3">
            <w:pPr>
              <w:pStyle w:val="tabbielystyl"/>
              <w:rPr>
                <w:szCs w:val="20"/>
              </w:rPr>
            </w:pPr>
            <w:r w:rsidRPr="005C763E">
              <w:t>1300</w:t>
            </w:r>
          </w:p>
        </w:tc>
        <w:tc>
          <w:tcPr>
            <w:tcW w:w="1370" w:type="pct"/>
            <w:vAlign w:val="bottom"/>
          </w:tcPr>
          <w:p w:rsidR="00266A07" w:rsidRPr="005C763E" w:rsidRDefault="00266A07" w:rsidP="00AB3BC3">
            <w:pPr>
              <w:pStyle w:val="tabbielystyl"/>
              <w:rPr>
                <w:szCs w:val="20"/>
              </w:rPr>
            </w:pPr>
            <w:r w:rsidRPr="005C763E">
              <w:t>924</w:t>
            </w:r>
          </w:p>
        </w:tc>
      </w:tr>
      <w:tr w:rsidR="00266A07" w:rsidRPr="004C1013" w:rsidTr="00AB3BC3">
        <w:trPr>
          <w:trHeight w:val="300"/>
        </w:trPr>
        <w:tc>
          <w:tcPr>
            <w:tcW w:w="1015" w:type="pct"/>
            <w:hideMark/>
          </w:tcPr>
          <w:p w:rsidR="00266A07" w:rsidRPr="004C1013" w:rsidRDefault="00266A07" w:rsidP="0025522E">
            <w:pPr>
              <w:pStyle w:val="tabbielystyl"/>
            </w:pPr>
            <w:r w:rsidRPr="004C1013">
              <w:t>2011</w:t>
            </w:r>
          </w:p>
        </w:tc>
        <w:tc>
          <w:tcPr>
            <w:tcW w:w="1033" w:type="pct"/>
            <w:hideMark/>
          </w:tcPr>
          <w:p w:rsidR="00266A07" w:rsidRPr="004C1013" w:rsidRDefault="00266A07" w:rsidP="0025522E">
            <w:pPr>
              <w:pStyle w:val="tabbielystyl"/>
            </w:pPr>
            <w:r w:rsidRPr="004C1013">
              <w:t>2.</w:t>
            </w:r>
          </w:p>
        </w:tc>
        <w:tc>
          <w:tcPr>
            <w:tcW w:w="1581" w:type="pct"/>
            <w:vAlign w:val="bottom"/>
            <w:hideMark/>
          </w:tcPr>
          <w:p w:rsidR="00266A07" w:rsidRPr="005C763E" w:rsidRDefault="00266A07" w:rsidP="00AB3BC3">
            <w:pPr>
              <w:pStyle w:val="tabbielystyl"/>
              <w:rPr>
                <w:szCs w:val="20"/>
              </w:rPr>
            </w:pPr>
            <w:r w:rsidRPr="005C763E">
              <w:t>1370</w:t>
            </w:r>
          </w:p>
        </w:tc>
        <w:tc>
          <w:tcPr>
            <w:tcW w:w="1370" w:type="pct"/>
            <w:vAlign w:val="bottom"/>
          </w:tcPr>
          <w:p w:rsidR="00266A07" w:rsidRPr="005C763E" w:rsidRDefault="00266A07" w:rsidP="00AB3BC3">
            <w:pPr>
              <w:pStyle w:val="tabbielystyl"/>
              <w:rPr>
                <w:szCs w:val="20"/>
              </w:rPr>
            </w:pPr>
            <w:r w:rsidRPr="005C763E">
              <w:t>1000</w:t>
            </w:r>
          </w:p>
        </w:tc>
      </w:tr>
      <w:tr w:rsidR="00266A07" w:rsidRPr="004C1013" w:rsidTr="00AB3BC3">
        <w:trPr>
          <w:trHeight w:val="300"/>
        </w:trPr>
        <w:tc>
          <w:tcPr>
            <w:tcW w:w="1015" w:type="pct"/>
            <w:hideMark/>
          </w:tcPr>
          <w:p w:rsidR="00266A07" w:rsidRPr="004C1013" w:rsidRDefault="00266A07" w:rsidP="0025522E">
            <w:pPr>
              <w:pStyle w:val="tabbielystyl"/>
            </w:pPr>
            <w:r w:rsidRPr="004C1013">
              <w:lastRenderedPageBreak/>
              <w:t>2012</w:t>
            </w:r>
          </w:p>
        </w:tc>
        <w:tc>
          <w:tcPr>
            <w:tcW w:w="1033" w:type="pct"/>
            <w:hideMark/>
          </w:tcPr>
          <w:p w:rsidR="00266A07" w:rsidRPr="004C1013" w:rsidRDefault="00266A07" w:rsidP="0025522E">
            <w:pPr>
              <w:pStyle w:val="tabbielystyl"/>
            </w:pPr>
            <w:r w:rsidRPr="004C1013">
              <w:t>3.</w:t>
            </w:r>
          </w:p>
        </w:tc>
        <w:tc>
          <w:tcPr>
            <w:tcW w:w="1581" w:type="pct"/>
            <w:vAlign w:val="bottom"/>
            <w:hideMark/>
          </w:tcPr>
          <w:p w:rsidR="00266A07" w:rsidRPr="005C763E" w:rsidRDefault="00266A07" w:rsidP="00AB3BC3">
            <w:pPr>
              <w:pStyle w:val="tabbielystyl"/>
              <w:rPr>
                <w:szCs w:val="20"/>
              </w:rPr>
            </w:pPr>
            <w:r w:rsidRPr="005C763E">
              <w:t>1362</w:t>
            </w:r>
          </w:p>
        </w:tc>
        <w:tc>
          <w:tcPr>
            <w:tcW w:w="1370" w:type="pct"/>
            <w:vAlign w:val="bottom"/>
          </w:tcPr>
          <w:p w:rsidR="00266A07" w:rsidRPr="005C763E" w:rsidRDefault="00266A07" w:rsidP="00AB3BC3">
            <w:pPr>
              <w:pStyle w:val="tabbielystyl"/>
              <w:rPr>
                <w:szCs w:val="20"/>
              </w:rPr>
            </w:pPr>
            <w:r w:rsidRPr="005C763E">
              <w:t>1010</w:t>
            </w:r>
          </w:p>
        </w:tc>
      </w:tr>
      <w:tr w:rsidR="00266A07" w:rsidRPr="004C1013" w:rsidTr="00AB3BC3">
        <w:trPr>
          <w:trHeight w:val="300"/>
        </w:trPr>
        <w:tc>
          <w:tcPr>
            <w:tcW w:w="1015" w:type="pct"/>
            <w:hideMark/>
          </w:tcPr>
          <w:p w:rsidR="00266A07" w:rsidRPr="004C1013" w:rsidRDefault="00266A07" w:rsidP="0025522E">
            <w:pPr>
              <w:pStyle w:val="tabbielystyl"/>
            </w:pPr>
            <w:r w:rsidRPr="004C1013">
              <w:t>2013</w:t>
            </w:r>
          </w:p>
        </w:tc>
        <w:tc>
          <w:tcPr>
            <w:tcW w:w="1033" w:type="pct"/>
            <w:hideMark/>
          </w:tcPr>
          <w:p w:rsidR="00266A07" w:rsidRPr="004C1013" w:rsidRDefault="00266A07" w:rsidP="0025522E">
            <w:pPr>
              <w:pStyle w:val="tabbielystyl"/>
            </w:pPr>
            <w:r w:rsidRPr="004C1013">
              <w:t>4.</w:t>
            </w:r>
          </w:p>
        </w:tc>
        <w:tc>
          <w:tcPr>
            <w:tcW w:w="1581" w:type="pct"/>
            <w:vAlign w:val="bottom"/>
            <w:hideMark/>
          </w:tcPr>
          <w:p w:rsidR="00266A07" w:rsidRPr="005C763E" w:rsidRDefault="00266A07" w:rsidP="00AB3BC3">
            <w:pPr>
              <w:pStyle w:val="tabbielystyl"/>
              <w:rPr>
                <w:szCs w:val="20"/>
              </w:rPr>
            </w:pPr>
            <w:r w:rsidRPr="005C763E">
              <w:t>1387</w:t>
            </w:r>
          </w:p>
        </w:tc>
        <w:tc>
          <w:tcPr>
            <w:tcW w:w="1370" w:type="pct"/>
            <w:vAlign w:val="bottom"/>
          </w:tcPr>
          <w:p w:rsidR="00266A07" w:rsidRPr="005C763E" w:rsidRDefault="00266A07" w:rsidP="00AB3BC3">
            <w:pPr>
              <w:pStyle w:val="tabbielystyl"/>
              <w:rPr>
                <w:szCs w:val="20"/>
              </w:rPr>
            </w:pPr>
            <w:r w:rsidRPr="005C763E">
              <w:t>1041</w:t>
            </w:r>
          </w:p>
        </w:tc>
      </w:tr>
      <w:tr w:rsidR="00266A07" w:rsidRPr="004C1013" w:rsidTr="00AB3BC3">
        <w:trPr>
          <w:trHeight w:val="300"/>
        </w:trPr>
        <w:tc>
          <w:tcPr>
            <w:tcW w:w="1015" w:type="pct"/>
            <w:hideMark/>
          </w:tcPr>
          <w:p w:rsidR="00266A07" w:rsidRPr="004C1013" w:rsidRDefault="00266A07" w:rsidP="0025522E">
            <w:pPr>
              <w:pStyle w:val="tabbielystyl"/>
            </w:pPr>
            <w:r w:rsidRPr="004C1013">
              <w:t>2014</w:t>
            </w:r>
          </w:p>
        </w:tc>
        <w:tc>
          <w:tcPr>
            <w:tcW w:w="1033" w:type="pct"/>
            <w:hideMark/>
          </w:tcPr>
          <w:p w:rsidR="00266A07" w:rsidRPr="004C1013" w:rsidRDefault="00266A07" w:rsidP="0025522E">
            <w:pPr>
              <w:pStyle w:val="tabbielystyl"/>
            </w:pPr>
            <w:r w:rsidRPr="004C1013">
              <w:t>5.</w:t>
            </w:r>
          </w:p>
        </w:tc>
        <w:tc>
          <w:tcPr>
            <w:tcW w:w="1581" w:type="pct"/>
            <w:vAlign w:val="bottom"/>
            <w:hideMark/>
          </w:tcPr>
          <w:p w:rsidR="00266A07" w:rsidRPr="005C763E" w:rsidRDefault="00266A07" w:rsidP="00AB3BC3">
            <w:pPr>
              <w:pStyle w:val="tabbielystyl"/>
              <w:rPr>
                <w:szCs w:val="20"/>
              </w:rPr>
            </w:pPr>
            <w:r w:rsidRPr="005C763E">
              <w:t>1391</w:t>
            </w:r>
          </w:p>
        </w:tc>
        <w:tc>
          <w:tcPr>
            <w:tcW w:w="1370" w:type="pct"/>
            <w:vAlign w:val="bottom"/>
          </w:tcPr>
          <w:p w:rsidR="00266A07" w:rsidRPr="005C763E" w:rsidRDefault="00266A07" w:rsidP="00AB3BC3">
            <w:pPr>
              <w:pStyle w:val="tabbielystyl"/>
              <w:rPr>
                <w:szCs w:val="20"/>
              </w:rPr>
            </w:pPr>
            <w:r w:rsidRPr="005C763E">
              <w:t>1152</w:t>
            </w:r>
          </w:p>
        </w:tc>
      </w:tr>
      <w:tr w:rsidR="00266A07" w:rsidRPr="004C1013" w:rsidTr="00AB3BC3">
        <w:trPr>
          <w:trHeight w:val="300"/>
        </w:trPr>
        <w:tc>
          <w:tcPr>
            <w:tcW w:w="1015" w:type="pct"/>
            <w:hideMark/>
          </w:tcPr>
          <w:p w:rsidR="00266A07" w:rsidRPr="004C1013" w:rsidRDefault="00266A07" w:rsidP="0025522E">
            <w:pPr>
              <w:pStyle w:val="tabbielystyl"/>
            </w:pPr>
            <w:r w:rsidRPr="004C1013">
              <w:t>2015</w:t>
            </w:r>
          </w:p>
        </w:tc>
        <w:tc>
          <w:tcPr>
            <w:tcW w:w="1033" w:type="pct"/>
            <w:hideMark/>
          </w:tcPr>
          <w:p w:rsidR="00266A07" w:rsidRPr="004C1013" w:rsidRDefault="00266A07" w:rsidP="0025522E">
            <w:pPr>
              <w:pStyle w:val="tabbielystyl"/>
            </w:pPr>
            <w:r w:rsidRPr="004C1013">
              <w:t>6.</w:t>
            </w:r>
          </w:p>
        </w:tc>
        <w:tc>
          <w:tcPr>
            <w:tcW w:w="1581" w:type="pct"/>
            <w:vAlign w:val="bottom"/>
            <w:hideMark/>
          </w:tcPr>
          <w:p w:rsidR="00266A07" w:rsidRPr="005C763E" w:rsidRDefault="00266A07" w:rsidP="00AB3BC3">
            <w:pPr>
              <w:pStyle w:val="tabbielystyl"/>
              <w:rPr>
                <w:szCs w:val="20"/>
              </w:rPr>
            </w:pPr>
            <w:r w:rsidRPr="005C763E">
              <w:t>1435</w:t>
            </w:r>
          </w:p>
        </w:tc>
        <w:tc>
          <w:tcPr>
            <w:tcW w:w="1370" w:type="pct"/>
            <w:vAlign w:val="bottom"/>
          </w:tcPr>
          <w:p w:rsidR="00266A07" w:rsidRPr="005C763E" w:rsidRDefault="00266A07" w:rsidP="00AB3BC3">
            <w:pPr>
              <w:pStyle w:val="tabbielystyl"/>
              <w:rPr>
                <w:szCs w:val="20"/>
              </w:rPr>
            </w:pPr>
            <w:r w:rsidRPr="005C763E">
              <w:t>1219</w:t>
            </w:r>
          </w:p>
        </w:tc>
      </w:tr>
      <w:tr w:rsidR="00266A07" w:rsidRPr="004C1013" w:rsidTr="00AB3BC3">
        <w:trPr>
          <w:trHeight w:val="300"/>
        </w:trPr>
        <w:tc>
          <w:tcPr>
            <w:tcW w:w="1015" w:type="pct"/>
            <w:hideMark/>
          </w:tcPr>
          <w:p w:rsidR="00266A07" w:rsidRPr="004C1013" w:rsidRDefault="00266A07" w:rsidP="0025522E">
            <w:pPr>
              <w:pStyle w:val="tabbielystyl"/>
            </w:pPr>
            <w:r w:rsidRPr="004C1013">
              <w:t>2016</w:t>
            </w:r>
          </w:p>
        </w:tc>
        <w:tc>
          <w:tcPr>
            <w:tcW w:w="1033" w:type="pct"/>
            <w:hideMark/>
          </w:tcPr>
          <w:p w:rsidR="00266A07" w:rsidRPr="004C1013" w:rsidRDefault="00266A07" w:rsidP="0025522E">
            <w:pPr>
              <w:pStyle w:val="tabbielystyl"/>
            </w:pPr>
            <w:r w:rsidRPr="004C1013">
              <w:t>7.</w:t>
            </w:r>
          </w:p>
        </w:tc>
        <w:tc>
          <w:tcPr>
            <w:tcW w:w="1581" w:type="pct"/>
            <w:vAlign w:val="bottom"/>
            <w:hideMark/>
          </w:tcPr>
          <w:p w:rsidR="00266A07" w:rsidRPr="005C763E" w:rsidRDefault="00266A07" w:rsidP="00AB3BC3">
            <w:pPr>
              <w:pStyle w:val="tabbielystyl"/>
              <w:rPr>
                <w:szCs w:val="20"/>
              </w:rPr>
            </w:pPr>
            <w:r w:rsidRPr="005C763E">
              <w:t>1478</w:t>
            </w:r>
          </w:p>
        </w:tc>
        <w:tc>
          <w:tcPr>
            <w:tcW w:w="1370" w:type="pct"/>
            <w:vAlign w:val="bottom"/>
          </w:tcPr>
          <w:p w:rsidR="00266A07" w:rsidRPr="005C763E" w:rsidRDefault="00266A07" w:rsidP="00AB3BC3">
            <w:pPr>
              <w:pStyle w:val="tabbielystyl"/>
              <w:rPr>
                <w:szCs w:val="20"/>
              </w:rPr>
            </w:pPr>
            <w:r w:rsidRPr="005C763E">
              <w:t>1265</w:t>
            </w:r>
          </w:p>
        </w:tc>
      </w:tr>
      <w:tr w:rsidR="00266A07" w:rsidRPr="004C1013" w:rsidTr="00AB3BC3">
        <w:trPr>
          <w:trHeight w:val="300"/>
        </w:trPr>
        <w:tc>
          <w:tcPr>
            <w:tcW w:w="1015" w:type="pct"/>
            <w:hideMark/>
          </w:tcPr>
          <w:p w:rsidR="00266A07" w:rsidRPr="004C1013" w:rsidRDefault="00266A07" w:rsidP="0025522E">
            <w:pPr>
              <w:pStyle w:val="tabbielystyl"/>
            </w:pPr>
            <w:r w:rsidRPr="004C1013">
              <w:t>2017</w:t>
            </w:r>
          </w:p>
        </w:tc>
        <w:tc>
          <w:tcPr>
            <w:tcW w:w="1033" w:type="pct"/>
            <w:hideMark/>
          </w:tcPr>
          <w:p w:rsidR="00266A07" w:rsidRPr="004C1013" w:rsidRDefault="00266A07" w:rsidP="0025522E">
            <w:pPr>
              <w:pStyle w:val="tabbielystyl"/>
            </w:pPr>
            <w:r w:rsidRPr="004C1013">
              <w:t>8.</w:t>
            </w:r>
          </w:p>
        </w:tc>
        <w:tc>
          <w:tcPr>
            <w:tcW w:w="1581" w:type="pct"/>
            <w:vAlign w:val="bottom"/>
            <w:hideMark/>
          </w:tcPr>
          <w:p w:rsidR="00266A07" w:rsidRPr="005C763E" w:rsidRDefault="00266A07" w:rsidP="00AB3BC3">
            <w:pPr>
              <w:pStyle w:val="tabbielystyl"/>
              <w:rPr>
                <w:szCs w:val="20"/>
              </w:rPr>
            </w:pPr>
            <w:r w:rsidRPr="005C763E">
              <w:t>1531</w:t>
            </w:r>
          </w:p>
        </w:tc>
        <w:tc>
          <w:tcPr>
            <w:tcW w:w="1370" w:type="pct"/>
            <w:vAlign w:val="bottom"/>
          </w:tcPr>
          <w:p w:rsidR="00266A07" w:rsidRPr="005C763E" w:rsidRDefault="00266A07" w:rsidP="00AB3BC3">
            <w:pPr>
              <w:pStyle w:val="tabbielystyl"/>
              <w:rPr>
                <w:szCs w:val="20"/>
              </w:rPr>
            </w:pPr>
            <w:r w:rsidRPr="005C763E">
              <w:t>1322</w:t>
            </w:r>
          </w:p>
        </w:tc>
      </w:tr>
      <w:tr w:rsidR="00266A07" w:rsidRPr="004C1013" w:rsidTr="00AB3BC3">
        <w:trPr>
          <w:trHeight w:val="300"/>
        </w:trPr>
        <w:tc>
          <w:tcPr>
            <w:tcW w:w="1015" w:type="pct"/>
            <w:hideMark/>
          </w:tcPr>
          <w:p w:rsidR="00266A07" w:rsidRPr="004C1013" w:rsidRDefault="00266A07" w:rsidP="0025522E">
            <w:pPr>
              <w:pStyle w:val="tabbielystyl"/>
            </w:pPr>
            <w:r w:rsidRPr="004C1013">
              <w:t>2018</w:t>
            </w:r>
          </w:p>
        </w:tc>
        <w:tc>
          <w:tcPr>
            <w:tcW w:w="1033" w:type="pct"/>
            <w:hideMark/>
          </w:tcPr>
          <w:p w:rsidR="00266A07" w:rsidRPr="004C1013" w:rsidRDefault="00266A07" w:rsidP="0025522E">
            <w:pPr>
              <w:pStyle w:val="tabbielystyl"/>
            </w:pPr>
            <w:r w:rsidRPr="004C1013">
              <w:t>9.</w:t>
            </w:r>
          </w:p>
        </w:tc>
        <w:tc>
          <w:tcPr>
            <w:tcW w:w="1581" w:type="pct"/>
            <w:vAlign w:val="bottom"/>
            <w:hideMark/>
          </w:tcPr>
          <w:p w:rsidR="00266A07" w:rsidRPr="005C763E" w:rsidRDefault="00266A07" w:rsidP="00AB3BC3">
            <w:pPr>
              <w:pStyle w:val="tabbielystyl"/>
              <w:rPr>
                <w:szCs w:val="20"/>
              </w:rPr>
            </w:pPr>
            <w:r w:rsidRPr="005C763E">
              <w:t>1591</w:t>
            </w:r>
          </w:p>
        </w:tc>
        <w:tc>
          <w:tcPr>
            <w:tcW w:w="1370" w:type="pct"/>
            <w:vAlign w:val="bottom"/>
          </w:tcPr>
          <w:p w:rsidR="00266A07" w:rsidRPr="005C763E" w:rsidRDefault="00266A07" w:rsidP="00AB3BC3">
            <w:pPr>
              <w:pStyle w:val="tabbielystyl"/>
              <w:rPr>
                <w:szCs w:val="20"/>
              </w:rPr>
            </w:pPr>
            <w:r w:rsidRPr="005C763E">
              <w:t>1374</w:t>
            </w:r>
          </w:p>
        </w:tc>
      </w:tr>
    </w:tbl>
    <w:p w:rsidR="0025522E" w:rsidRPr="004C1013" w:rsidRDefault="0025522E" w:rsidP="0025522E">
      <w:pPr>
        <w:pStyle w:val="Nadpis3"/>
        <w:rPr>
          <w:rFonts w:asciiTheme="minorHAnsi" w:hAnsiTheme="minorHAnsi" w:cstheme="minorHAnsi"/>
        </w:rPr>
      </w:pPr>
      <w:bookmarkStart w:id="42" w:name="_Toc20687922"/>
      <w:bookmarkStart w:id="43" w:name="_Toc36664365"/>
      <w:r w:rsidRPr="004C1013">
        <w:rPr>
          <w:rFonts w:asciiTheme="minorHAnsi" w:hAnsiTheme="minorHAnsi" w:cstheme="minorHAnsi"/>
        </w:rPr>
        <w:t>Výnosy a náklady systému ETC</w:t>
      </w:r>
      <w:bookmarkEnd w:id="42"/>
      <w:bookmarkEnd w:id="43"/>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Údaje o výnosoch systému ETC v SR v jednotlivých rokoch prevádzky boli primárne získané od  prevádzkovateľa systému </w:t>
      </w:r>
      <w:r w:rsidRPr="00E442EA">
        <w:rPr>
          <w:rFonts w:asciiTheme="minorHAnsi" w:hAnsiTheme="minorHAnsi" w:cstheme="minorHAnsi"/>
        </w:rPr>
        <w:t xml:space="preserve">[3] </w:t>
      </w:r>
      <w:r w:rsidRPr="004C1013">
        <w:rPr>
          <w:rFonts w:asciiTheme="minorHAnsi" w:hAnsiTheme="minorHAnsi" w:cstheme="minorHAnsi"/>
        </w:rPr>
        <w:t xml:space="preserve">a zo správ NDS, a.s. </w:t>
      </w:r>
      <w:r w:rsidRPr="00E442EA">
        <w:rPr>
          <w:rFonts w:asciiTheme="minorHAnsi" w:hAnsiTheme="minorHAnsi" w:cstheme="minorHAnsi"/>
        </w:rPr>
        <w:t>[5], [6]</w:t>
      </w:r>
      <w:r w:rsidR="00FC3B8F">
        <w:rPr>
          <w:rFonts w:asciiTheme="minorHAnsi" w:hAnsiTheme="minorHAnsi" w:cstheme="minorHAnsi"/>
        </w:rPr>
        <w:t xml:space="preserve"> a NKÚ.</w:t>
      </w:r>
      <w:r w:rsidRPr="004C1013">
        <w:rPr>
          <w:rFonts w:asciiTheme="minorHAnsi" w:hAnsiTheme="minorHAnsi" w:cstheme="minorHAnsi"/>
        </w:rPr>
        <w:t xml:space="preserve"> Uvádzané príjmy z elektronického výberu mýta na spoplatnených úsekoch ciest poskytnuté spoločnosťou SkyToll, a.s. sa zhodovali s hodnotami uvádzanými vo výročných správach NDS, a.s. s malými rozdielmi nepresahujúcimi 2,6 mil. €. Medzi údajmi publikovanými v dokumentoch ASECAP a v zdrojoch </w:t>
      </w:r>
      <w:r w:rsidRPr="00E442EA">
        <w:rPr>
          <w:rFonts w:asciiTheme="minorHAnsi" w:hAnsiTheme="minorHAnsi" w:cstheme="minorHAnsi"/>
        </w:rPr>
        <w:t>[3], [5], [6]</w:t>
      </w:r>
      <w:r w:rsidRPr="004C1013">
        <w:rPr>
          <w:rFonts w:asciiTheme="minorHAnsi" w:hAnsiTheme="minorHAnsi" w:cstheme="minorHAnsi"/>
        </w:rPr>
        <w:t xml:space="preserve"> boli rozdiely v definovaných výnosoch systému až do výšky 76 mil. €, čo značí, že v údajoch ASECAP pre SR sú zohľadnené iné kritéria výpočtu výnosov, resp. iné položky príjmov z mýta, napríklad kumulovaný príjem z časového a výkonového spoplatnenia len diaľnic a rýchlostných ciest (</w:t>
      </w:r>
      <w:r w:rsidR="00C40D3F">
        <w:fldChar w:fldCharType="begin"/>
      </w:r>
      <w:r w:rsidR="00C40D3F">
        <w:instrText xml:space="preserve"> REF _Ref19828704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6</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44" w:name="_Ref19828704"/>
      <w:bookmarkStart w:id="45" w:name="_Toc36664448"/>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6</w:t>
      </w:r>
      <w:r w:rsidR="00C40D3F">
        <w:rPr>
          <w:noProof/>
        </w:rPr>
        <w:fldChar w:fldCharType="end"/>
      </w:r>
      <w:bookmarkEnd w:id="44"/>
      <w:r w:rsidRPr="004C1013">
        <w:t xml:space="preserve"> </w:t>
      </w:r>
      <w:r w:rsidRPr="004C1013">
        <w:tab/>
        <w:t>Rešerš dostupnej literatúry  - výnosy a náklady systému ETC v SR</w:t>
      </w:r>
      <w:bookmarkEnd w:id="45"/>
    </w:p>
    <w:tbl>
      <w:tblPr>
        <w:tblStyle w:val="tabulkaVUD"/>
        <w:tblW w:w="5000" w:type="pct"/>
        <w:tblLook w:val="04A0" w:firstRow="1" w:lastRow="0" w:firstColumn="1" w:lastColumn="0" w:noHBand="0" w:noVBand="1"/>
      </w:tblPr>
      <w:tblGrid>
        <w:gridCol w:w="1001"/>
        <w:gridCol w:w="906"/>
        <w:gridCol w:w="1807"/>
        <w:gridCol w:w="1417"/>
        <w:gridCol w:w="1417"/>
        <w:gridCol w:w="1408"/>
        <w:gridCol w:w="1455"/>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532"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481" w:type="pct"/>
            <w:vMerge w:val="restart"/>
            <w:hideMark/>
          </w:tcPr>
          <w:p w:rsidR="0025522E" w:rsidRPr="004C1013" w:rsidRDefault="0025522E" w:rsidP="009D58D5">
            <w:pPr>
              <w:pStyle w:val="zahltab"/>
            </w:pPr>
            <w:r w:rsidRPr="004C1013">
              <w:t>Rok prevádzky</w:t>
            </w:r>
          </w:p>
        </w:tc>
        <w:tc>
          <w:tcPr>
            <w:tcW w:w="2466" w:type="pct"/>
            <w:gridSpan w:val="3"/>
          </w:tcPr>
          <w:p w:rsidR="0025522E" w:rsidRPr="004C1013" w:rsidRDefault="0025522E" w:rsidP="009D58D5">
            <w:pPr>
              <w:pStyle w:val="zahltab"/>
            </w:pPr>
            <w:r w:rsidRPr="004C1013">
              <w:t>Výnosy (mil. €)</w:t>
            </w:r>
          </w:p>
        </w:tc>
        <w:tc>
          <w:tcPr>
            <w:tcW w:w="1521" w:type="pct"/>
            <w:gridSpan w:val="2"/>
          </w:tcPr>
          <w:p w:rsidR="0025522E" w:rsidRPr="004C1013" w:rsidRDefault="0025522E" w:rsidP="009D58D5">
            <w:pPr>
              <w:pStyle w:val="zahltab"/>
            </w:pPr>
            <w:r w:rsidRPr="004C1013">
              <w:t>Náklady (mil. €)</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381"/>
          <w:tblHeader/>
        </w:trPr>
        <w:tc>
          <w:tcPr>
            <w:tcW w:w="532" w:type="pct"/>
            <w:vMerge/>
            <w:shd w:val="clear" w:color="auto" w:fill="7F7F7F" w:themeFill="text1" w:themeFillTint="80"/>
            <w:hideMark/>
          </w:tcPr>
          <w:p w:rsidR="0025522E" w:rsidRPr="004C1013" w:rsidRDefault="0025522E" w:rsidP="009D58D5">
            <w:pPr>
              <w:pStyle w:val="zahltab"/>
            </w:pPr>
          </w:p>
        </w:tc>
        <w:tc>
          <w:tcPr>
            <w:tcW w:w="481" w:type="pct"/>
            <w:vMerge/>
            <w:hideMark/>
          </w:tcPr>
          <w:p w:rsidR="0025522E" w:rsidRPr="004C1013" w:rsidRDefault="0025522E" w:rsidP="009D58D5">
            <w:pPr>
              <w:pStyle w:val="zahltab"/>
            </w:pPr>
          </w:p>
        </w:tc>
        <w:tc>
          <w:tcPr>
            <w:tcW w:w="960" w:type="pct"/>
            <w:hideMark/>
          </w:tcPr>
          <w:p w:rsidR="0025522E" w:rsidRPr="004C1013" w:rsidRDefault="0025522E" w:rsidP="009D58D5">
            <w:pPr>
              <w:pStyle w:val="zahltab"/>
              <w:rPr>
                <w:bCs/>
              </w:rPr>
            </w:pPr>
            <w:r w:rsidRPr="004C1013">
              <w:rPr>
                <w:bCs/>
              </w:rPr>
              <w:t xml:space="preserve">ASECAP </w:t>
            </w:r>
            <w:r w:rsidRPr="004C1013">
              <w:t>[15], [16]</w:t>
            </w:r>
          </w:p>
        </w:tc>
        <w:tc>
          <w:tcPr>
            <w:tcW w:w="753" w:type="pct"/>
          </w:tcPr>
          <w:p w:rsidR="0025522E" w:rsidRPr="004C1013" w:rsidRDefault="0025522E" w:rsidP="009D58D5">
            <w:pPr>
              <w:pStyle w:val="zahltab"/>
              <w:rPr>
                <w:bCs/>
              </w:rPr>
            </w:pPr>
            <w:r w:rsidRPr="004C1013">
              <w:t>NDS, a.s. [5], [6]</w:t>
            </w:r>
          </w:p>
        </w:tc>
        <w:tc>
          <w:tcPr>
            <w:tcW w:w="753" w:type="pct"/>
          </w:tcPr>
          <w:p w:rsidR="0025522E" w:rsidRPr="004C1013" w:rsidRDefault="0025522E" w:rsidP="009D58D5">
            <w:pPr>
              <w:pStyle w:val="zahltab"/>
            </w:pPr>
            <w:r w:rsidRPr="004C1013">
              <w:t>SkyToll, a.s. [3]</w:t>
            </w:r>
          </w:p>
        </w:tc>
        <w:tc>
          <w:tcPr>
            <w:tcW w:w="748" w:type="pct"/>
          </w:tcPr>
          <w:p w:rsidR="0025522E" w:rsidRPr="004C1013" w:rsidRDefault="0025522E" w:rsidP="009D58D5">
            <w:pPr>
              <w:pStyle w:val="zahltab"/>
              <w:rPr>
                <w:bCs/>
              </w:rPr>
            </w:pPr>
            <w:r w:rsidRPr="004C1013">
              <w:t>NDS, a.s. [5], [6]</w:t>
            </w:r>
            <w:r w:rsidR="004B63F2">
              <w:t xml:space="preserve">, NKÚ </w:t>
            </w:r>
            <w:r w:rsidR="004B63F2" w:rsidRPr="004C1013">
              <w:t>[</w:t>
            </w:r>
            <w:r w:rsidR="004B63F2">
              <w:t>8</w:t>
            </w:r>
            <w:r w:rsidR="004B63F2" w:rsidRPr="004C1013">
              <w:t>]</w:t>
            </w:r>
          </w:p>
        </w:tc>
        <w:tc>
          <w:tcPr>
            <w:tcW w:w="773" w:type="pct"/>
          </w:tcPr>
          <w:p w:rsidR="0025522E" w:rsidRPr="004C1013" w:rsidRDefault="0025522E" w:rsidP="009D58D5">
            <w:pPr>
              <w:pStyle w:val="zahltab"/>
            </w:pPr>
            <w:r w:rsidRPr="004C1013">
              <w:t>SkyToll, a.s. [3]</w:t>
            </w:r>
          </w:p>
        </w:tc>
      </w:tr>
      <w:tr w:rsidR="0025522E" w:rsidRPr="004C1013" w:rsidTr="00404B50">
        <w:trPr>
          <w:trHeight w:val="283"/>
        </w:trPr>
        <w:tc>
          <w:tcPr>
            <w:tcW w:w="532" w:type="pct"/>
            <w:hideMark/>
          </w:tcPr>
          <w:p w:rsidR="0025522E" w:rsidRPr="004C1013" w:rsidRDefault="0025522E" w:rsidP="0025522E">
            <w:pPr>
              <w:pStyle w:val="tabbielystyl"/>
            </w:pPr>
            <w:r w:rsidRPr="004C1013">
              <w:t>2010</w:t>
            </w:r>
          </w:p>
        </w:tc>
        <w:tc>
          <w:tcPr>
            <w:tcW w:w="481" w:type="pct"/>
            <w:hideMark/>
          </w:tcPr>
          <w:p w:rsidR="0025522E" w:rsidRPr="004C1013" w:rsidRDefault="0025522E" w:rsidP="0025522E">
            <w:pPr>
              <w:pStyle w:val="tabbielystyl"/>
            </w:pPr>
            <w:r w:rsidRPr="004C1013">
              <w:t>1.</w:t>
            </w:r>
          </w:p>
        </w:tc>
        <w:tc>
          <w:tcPr>
            <w:tcW w:w="960" w:type="pct"/>
            <w:hideMark/>
          </w:tcPr>
          <w:p w:rsidR="0025522E" w:rsidRPr="004C1013" w:rsidRDefault="0025522E" w:rsidP="0025522E">
            <w:pPr>
              <w:pStyle w:val="tabbielystyl"/>
            </w:pPr>
            <w:r w:rsidRPr="004C1013">
              <w:t>175,30</w:t>
            </w:r>
          </w:p>
        </w:tc>
        <w:tc>
          <w:tcPr>
            <w:tcW w:w="753" w:type="pct"/>
          </w:tcPr>
          <w:p w:rsidR="0025522E" w:rsidRPr="004C1013" w:rsidRDefault="0025522E" w:rsidP="0025522E">
            <w:pPr>
              <w:pStyle w:val="tabbielystyl"/>
            </w:pPr>
            <w:r w:rsidRPr="004C1013">
              <w:t>141,63</w:t>
            </w:r>
          </w:p>
        </w:tc>
        <w:tc>
          <w:tcPr>
            <w:tcW w:w="753" w:type="pct"/>
          </w:tcPr>
          <w:p w:rsidR="0025522E" w:rsidRPr="004C1013" w:rsidRDefault="0025522E" w:rsidP="0025522E">
            <w:pPr>
              <w:pStyle w:val="tabbielystyl"/>
            </w:pPr>
            <w:r w:rsidRPr="004C1013">
              <w:t>141,81</w:t>
            </w:r>
          </w:p>
        </w:tc>
        <w:tc>
          <w:tcPr>
            <w:tcW w:w="748" w:type="pct"/>
          </w:tcPr>
          <w:p w:rsidR="0025522E" w:rsidRPr="004C1013" w:rsidRDefault="0025522E" w:rsidP="0025522E">
            <w:pPr>
              <w:pStyle w:val="tabbielystyl"/>
            </w:pPr>
            <w:r w:rsidRPr="004C1013">
              <w:t>106,41</w:t>
            </w:r>
          </w:p>
        </w:tc>
        <w:tc>
          <w:tcPr>
            <w:tcW w:w="773" w:type="pct"/>
          </w:tcPr>
          <w:p w:rsidR="0025522E" w:rsidRPr="004C1013" w:rsidRDefault="0025522E" w:rsidP="0025522E">
            <w:pPr>
              <w:pStyle w:val="tabbielystyl"/>
            </w:pPr>
            <w:r w:rsidRPr="004C1013">
              <w:t>98,04</w:t>
            </w:r>
          </w:p>
        </w:tc>
      </w:tr>
      <w:tr w:rsidR="0025522E" w:rsidRPr="004C1013" w:rsidTr="00404B50">
        <w:trPr>
          <w:trHeight w:val="283"/>
        </w:trPr>
        <w:tc>
          <w:tcPr>
            <w:tcW w:w="532" w:type="pct"/>
            <w:hideMark/>
          </w:tcPr>
          <w:p w:rsidR="0025522E" w:rsidRPr="004C1013" w:rsidRDefault="0025522E" w:rsidP="0025522E">
            <w:pPr>
              <w:pStyle w:val="tabbielystyl"/>
            </w:pPr>
            <w:r w:rsidRPr="004C1013">
              <w:t>2011</w:t>
            </w:r>
          </w:p>
        </w:tc>
        <w:tc>
          <w:tcPr>
            <w:tcW w:w="481" w:type="pct"/>
            <w:hideMark/>
          </w:tcPr>
          <w:p w:rsidR="0025522E" w:rsidRPr="004C1013" w:rsidRDefault="0025522E" w:rsidP="0025522E">
            <w:pPr>
              <w:pStyle w:val="tabbielystyl"/>
            </w:pPr>
            <w:r w:rsidRPr="004C1013">
              <w:t>2.</w:t>
            </w:r>
          </w:p>
        </w:tc>
        <w:tc>
          <w:tcPr>
            <w:tcW w:w="960" w:type="pct"/>
            <w:hideMark/>
          </w:tcPr>
          <w:p w:rsidR="0025522E" w:rsidRPr="004C1013" w:rsidRDefault="0025522E" w:rsidP="0025522E">
            <w:pPr>
              <w:pStyle w:val="tabbielystyl"/>
            </w:pPr>
            <w:r w:rsidRPr="004C1013">
              <w:t>199,88</w:t>
            </w:r>
          </w:p>
        </w:tc>
        <w:tc>
          <w:tcPr>
            <w:tcW w:w="753" w:type="pct"/>
          </w:tcPr>
          <w:p w:rsidR="0025522E" w:rsidRPr="004C1013" w:rsidRDefault="0025522E" w:rsidP="0025522E">
            <w:pPr>
              <w:pStyle w:val="tabbielystyl"/>
            </w:pPr>
            <w:r w:rsidRPr="004C1013">
              <w:t>153,95</w:t>
            </w:r>
          </w:p>
        </w:tc>
        <w:tc>
          <w:tcPr>
            <w:tcW w:w="753" w:type="pct"/>
          </w:tcPr>
          <w:p w:rsidR="0025522E" w:rsidRPr="004C1013" w:rsidRDefault="0025522E" w:rsidP="0025522E">
            <w:pPr>
              <w:pStyle w:val="tabbielystyl"/>
            </w:pPr>
            <w:r w:rsidRPr="004C1013">
              <w:t>154,06</w:t>
            </w:r>
          </w:p>
        </w:tc>
        <w:tc>
          <w:tcPr>
            <w:tcW w:w="748" w:type="pct"/>
          </w:tcPr>
          <w:p w:rsidR="0025522E" w:rsidRPr="004C1013" w:rsidRDefault="0025522E" w:rsidP="0025522E">
            <w:pPr>
              <w:pStyle w:val="tabbielystyl"/>
            </w:pPr>
            <w:r w:rsidRPr="004C1013">
              <w:t>102,58</w:t>
            </w:r>
          </w:p>
        </w:tc>
        <w:tc>
          <w:tcPr>
            <w:tcW w:w="773" w:type="pct"/>
          </w:tcPr>
          <w:p w:rsidR="0025522E" w:rsidRPr="004C1013" w:rsidRDefault="0025522E" w:rsidP="0025522E">
            <w:pPr>
              <w:pStyle w:val="tabbielystyl"/>
            </w:pPr>
            <w:r w:rsidRPr="004C1013">
              <w:t>100,53</w:t>
            </w:r>
          </w:p>
        </w:tc>
      </w:tr>
      <w:tr w:rsidR="0025522E" w:rsidRPr="004C1013" w:rsidTr="00404B50">
        <w:trPr>
          <w:trHeight w:val="283"/>
        </w:trPr>
        <w:tc>
          <w:tcPr>
            <w:tcW w:w="532" w:type="pct"/>
            <w:hideMark/>
          </w:tcPr>
          <w:p w:rsidR="0025522E" w:rsidRPr="004C1013" w:rsidRDefault="0025522E" w:rsidP="0025522E">
            <w:pPr>
              <w:pStyle w:val="tabbielystyl"/>
            </w:pPr>
            <w:r w:rsidRPr="004C1013">
              <w:t>2012</w:t>
            </w:r>
          </w:p>
        </w:tc>
        <w:tc>
          <w:tcPr>
            <w:tcW w:w="481" w:type="pct"/>
            <w:hideMark/>
          </w:tcPr>
          <w:p w:rsidR="0025522E" w:rsidRPr="004C1013" w:rsidRDefault="0025522E" w:rsidP="0025522E">
            <w:pPr>
              <w:pStyle w:val="tabbielystyl"/>
            </w:pPr>
            <w:r w:rsidRPr="004C1013">
              <w:t>3.</w:t>
            </w:r>
          </w:p>
        </w:tc>
        <w:tc>
          <w:tcPr>
            <w:tcW w:w="960" w:type="pct"/>
            <w:hideMark/>
          </w:tcPr>
          <w:p w:rsidR="0025522E" w:rsidRPr="004C1013" w:rsidRDefault="0025522E" w:rsidP="0025522E">
            <w:pPr>
              <w:pStyle w:val="tabbielystyl"/>
            </w:pPr>
            <w:r w:rsidRPr="004C1013">
              <w:t>151,26</w:t>
            </w:r>
          </w:p>
        </w:tc>
        <w:tc>
          <w:tcPr>
            <w:tcW w:w="753" w:type="pct"/>
          </w:tcPr>
          <w:p w:rsidR="0025522E" w:rsidRPr="004C1013" w:rsidRDefault="0025522E" w:rsidP="0025522E">
            <w:pPr>
              <w:pStyle w:val="tabbielystyl"/>
            </w:pPr>
            <w:r w:rsidRPr="004C1013">
              <w:t>154,80</w:t>
            </w:r>
          </w:p>
        </w:tc>
        <w:tc>
          <w:tcPr>
            <w:tcW w:w="753" w:type="pct"/>
          </w:tcPr>
          <w:p w:rsidR="0025522E" w:rsidRPr="004C1013" w:rsidRDefault="0025522E" w:rsidP="0025522E">
            <w:pPr>
              <w:pStyle w:val="tabbielystyl"/>
            </w:pPr>
            <w:r w:rsidRPr="004C1013">
              <w:t>155,52</w:t>
            </w:r>
          </w:p>
        </w:tc>
        <w:tc>
          <w:tcPr>
            <w:tcW w:w="748" w:type="pct"/>
          </w:tcPr>
          <w:p w:rsidR="0025522E" w:rsidRPr="004C1013" w:rsidRDefault="0025522E" w:rsidP="0025522E">
            <w:pPr>
              <w:pStyle w:val="tabbielystyl"/>
            </w:pPr>
            <w:r w:rsidRPr="004C1013">
              <w:t>70,21</w:t>
            </w:r>
          </w:p>
        </w:tc>
        <w:tc>
          <w:tcPr>
            <w:tcW w:w="773" w:type="pct"/>
          </w:tcPr>
          <w:p w:rsidR="0025522E" w:rsidRPr="004C1013" w:rsidRDefault="0025522E" w:rsidP="0025522E">
            <w:pPr>
              <w:pStyle w:val="tabbielystyl"/>
            </w:pPr>
            <w:r w:rsidRPr="004C1013">
              <w:t>115,57</w:t>
            </w:r>
          </w:p>
        </w:tc>
      </w:tr>
      <w:tr w:rsidR="0025522E" w:rsidRPr="004C1013" w:rsidTr="00404B50">
        <w:trPr>
          <w:trHeight w:val="283"/>
        </w:trPr>
        <w:tc>
          <w:tcPr>
            <w:tcW w:w="532" w:type="pct"/>
            <w:hideMark/>
          </w:tcPr>
          <w:p w:rsidR="0025522E" w:rsidRPr="004C1013" w:rsidRDefault="0025522E" w:rsidP="0025522E">
            <w:pPr>
              <w:pStyle w:val="tabbielystyl"/>
            </w:pPr>
            <w:r w:rsidRPr="004C1013">
              <w:t>2013</w:t>
            </w:r>
          </w:p>
        </w:tc>
        <w:tc>
          <w:tcPr>
            <w:tcW w:w="481" w:type="pct"/>
            <w:hideMark/>
          </w:tcPr>
          <w:p w:rsidR="0025522E" w:rsidRPr="004C1013" w:rsidRDefault="0025522E" w:rsidP="0025522E">
            <w:pPr>
              <w:pStyle w:val="tabbielystyl"/>
            </w:pPr>
            <w:r w:rsidRPr="004C1013">
              <w:t>4.</w:t>
            </w:r>
          </w:p>
        </w:tc>
        <w:tc>
          <w:tcPr>
            <w:tcW w:w="960" w:type="pct"/>
            <w:hideMark/>
          </w:tcPr>
          <w:p w:rsidR="0025522E" w:rsidRPr="004C1013" w:rsidRDefault="0025522E" w:rsidP="0025522E">
            <w:pPr>
              <w:pStyle w:val="tabbielystyl"/>
            </w:pPr>
            <w:r w:rsidRPr="004C1013">
              <w:t>158,63</w:t>
            </w:r>
          </w:p>
        </w:tc>
        <w:tc>
          <w:tcPr>
            <w:tcW w:w="753" w:type="pct"/>
          </w:tcPr>
          <w:p w:rsidR="0025522E" w:rsidRPr="004C1013" w:rsidRDefault="0025522E" w:rsidP="0025522E">
            <w:pPr>
              <w:pStyle w:val="tabbielystyl"/>
            </w:pPr>
            <w:r w:rsidRPr="004C1013">
              <w:t>158,66</w:t>
            </w:r>
          </w:p>
        </w:tc>
        <w:tc>
          <w:tcPr>
            <w:tcW w:w="753" w:type="pct"/>
          </w:tcPr>
          <w:p w:rsidR="0025522E" w:rsidRPr="004C1013" w:rsidRDefault="0025522E" w:rsidP="0025522E">
            <w:pPr>
              <w:pStyle w:val="tabbielystyl"/>
            </w:pPr>
            <w:r w:rsidRPr="004C1013">
              <w:t>159,07</w:t>
            </w:r>
          </w:p>
        </w:tc>
        <w:tc>
          <w:tcPr>
            <w:tcW w:w="748" w:type="pct"/>
          </w:tcPr>
          <w:p w:rsidR="0025522E" w:rsidRPr="004C1013" w:rsidRDefault="0025522E" w:rsidP="0025522E">
            <w:pPr>
              <w:pStyle w:val="tabbielystyl"/>
            </w:pPr>
            <w:r w:rsidRPr="004C1013">
              <w:t>76,12</w:t>
            </w:r>
          </w:p>
        </w:tc>
        <w:tc>
          <w:tcPr>
            <w:tcW w:w="773" w:type="pct"/>
          </w:tcPr>
          <w:p w:rsidR="0025522E" w:rsidRPr="004C1013" w:rsidRDefault="0025522E" w:rsidP="0025522E">
            <w:pPr>
              <w:pStyle w:val="tabbielystyl"/>
            </w:pPr>
            <w:r w:rsidRPr="004C1013">
              <w:t>122,00</w:t>
            </w:r>
          </w:p>
        </w:tc>
      </w:tr>
      <w:tr w:rsidR="0025522E" w:rsidRPr="004C1013" w:rsidTr="00404B50">
        <w:trPr>
          <w:trHeight w:val="283"/>
        </w:trPr>
        <w:tc>
          <w:tcPr>
            <w:tcW w:w="532" w:type="pct"/>
            <w:hideMark/>
          </w:tcPr>
          <w:p w:rsidR="0025522E" w:rsidRPr="004C1013" w:rsidRDefault="0025522E" w:rsidP="0025522E">
            <w:pPr>
              <w:pStyle w:val="tabbielystyl"/>
            </w:pPr>
            <w:r w:rsidRPr="004C1013">
              <w:t>2014</w:t>
            </w:r>
          </w:p>
        </w:tc>
        <w:tc>
          <w:tcPr>
            <w:tcW w:w="481" w:type="pct"/>
            <w:hideMark/>
          </w:tcPr>
          <w:p w:rsidR="0025522E" w:rsidRPr="004C1013" w:rsidRDefault="0025522E" w:rsidP="0025522E">
            <w:pPr>
              <w:pStyle w:val="tabbielystyl"/>
            </w:pPr>
            <w:r w:rsidRPr="004C1013">
              <w:t>5.</w:t>
            </w:r>
          </w:p>
        </w:tc>
        <w:tc>
          <w:tcPr>
            <w:tcW w:w="960" w:type="pct"/>
            <w:hideMark/>
          </w:tcPr>
          <w:p w:rsidR="0025522E" w:rsidRPr="004C1013" w:rsidRDefault="0025522E" w:rsidP="0025522E">
            <w:pPr>
              <w:pStyle w:val="tabbielystyl"/>
            </w:pPr>
            <w:r w:rsidRPr="004C1013">
              <w:t>113,70</w:t>
            </w:r>
          </w:p>
        </w:tc>
        <w:tc>
          <w:tcPr>
            <w:tcW w:w="753" w:type="pct"/>
          </w:tcPr>
          <w:p w:rsidR="0025522E" w:rsidRPr="004C1013" w:rsidRDefault="0025522E" w:rsidP="0025522E">
            <w:pPr>
              <w:pStyle w:val="tabbielystyl"/>
            </w:pPr>
            <w:r w:rsidRPr="004C1013">
              <w:t>181,54</w:t>
            </w:r>
          </w:p>
        </w:tc>
        <w:tc>
          <w:tcPr>
            <w:tcW w:w="753" w:type="pct"/>
          </w:tcPr>
          <w:p w:rsidR="0025522E" w:rsidRPr="004C1013" w:rsidRDefault="0025522E" w:rsidP="0025522E">
            <w:pPr>
              <w:pStyle w:val="tabbielystyl"/>
            </w:pPr>
            <w:r w:rsidRPr="004C1013">
              <w:t>183,39</w:t>
            </w:r>
          </w:p>
        </w:tc>
        <w:tc>
          <w:tcPr>
            <w:tcW w:w="748" w:type="pct"/>
          </w:tcPr>
          <w:p w:rsidR="0025522E" w:rsidRPr="004C1013" w:rsidRDefault="0025522E" w:rsidP="0025522E">
            <w:pPr>
              <w:pStyle w:val="tabbielystyl"/>
            </w:pPr>
            <w:r w:rsidRPr="004C1013">
              <w:t>79,16</w:t>
            </w:r>
          </w:p>
        </w:tc>
        <w:tc>
          <w:tcPr>
            <w:tcW w:w="773" w:type="pct"/>
          </w:tcPr>
          <w:p w:rsidR="0025522E" w:rsidRPr="004C1013" w:rsidRDefault="0025522E" w:rsidP="0025522E">
            <w:pPr>
              <w:pStyle w:val="tabbielystyl"/>
            </w:pPr>
            <w:r w:rsidRPr="004C1013">
              <w:t>70,91</w:t>
            </w:r>
          </w:p>
        </w:tc>
      </w:tr>
      <w:tr w:rsidR="0025522E" w:rsidRPr="004C1013" w:rsidTr="00404B50">
        <w:trPr>
          <w:trHeight w:val="283"/>
        </w:trPr>
        <w:tc>
          <w:tcPr>
            <w:tcW w:w="532" w:type="pct"/>
            <w:hideMark/>
          </w:tcPr>
          <w:p w:rsidR="0025522E" w:rsidRPr="004C1013" w:rsidRDefault="0025522E" w:rsidP="0025522E">
            <w:pPr>
              <w:pStyle w:val="tabbielystyl"/>
            </w:pPr>
            <w:r w:rsidRPr="004C1013">
              <w:t>2015</w:t>
            </w:r>
          </w:p>
        </w:tc>
        <w:tc>
          <w:tcPr>
            <w:tcW w:w="481" w:type="pct"/>
            <w:hideMark/>
          </w:tcPr>
          <w:p w:rsidR="0025522E" w:rsidRPr="004C1013" w:rsidRDefault="0025522E" w:rsidP="0025522E">
            <w:pPr>
              <w:pStyle w:val="tabbielystyl"/>
            </w:pPr>
            <w:r w:rsidRPr="004C1013">
              <w:t>6.</w:t>
            </w:r>
          </w:p>
        </w:tc>
        <w:tc>
          <w:tcPr>
            <w:tcW w:w="960" w:type="pct"/>
            <w:hideMark/>
          </w:tcPr>
          <w:p w:rsidR="0025522E" w:rsidRPr="004C1013" w:rsidRDefault="0025522E" w:rsidP="0025522E">
            <w:pPr>
              <w:pStyle w:val="tabbielystyl"/>
            </w:pPr>
            <w:r w:rsidRPr="004C1013">
              <w:t>119,60</w:t>
            </w:r>
          </w:p>
        </w:tc>
        <w:tc>
          <w:tcPr>
            <w:tcW w:w="753" w:type="pct"/>
          </w:tcPr>
          <w:p w:rsidR="0025522E" w:rsidRPr="004C1013" w:rsidRDefault="0025522E" w:rsidP="0025522E">
            <w:pPr>
              <w:pStyle w:val="tabbielystyl"/>
            </w:pPr>
            <w:r w:rsidRPr="004C1013">
              <w:t>184,92</w:t>
            </w:r>
          </w:p>
        </w:tc>
        <w:tc>
          <w:tcPr>
            <w:tcW w:w="753" w:type="pct"/>
          </w:tcPr>
          <w:p w:rsidR="0025522E" w:rsidRPr="004C1013" w:rsidRDefault="0025522E" w:rsidP="0025522E">
            <w:pPr>
              <w:pStyle w:val="tabbielystyl"/>
            </w:pPr>
            <w:r w:rsidRPr="004C1013">
              <w:t>187,45</w:t>
            </w:r>
          </w:p>
        </w:tc>
        <w:tc>
          <w:tcPr>
            <w:tcW w:w="748" w:type="pct"/>
          </w:tcPr>
          <w:p w:rsidR="0025522E" w:rsidRPr="004C1013" w:rsidRDefault="0025522E" w:rsidP="0025522E">
            <w:pPr>
              <w:pStyle w:val="tabbielystyl"/>
            </w:pPr>
            <w:r w:rsidRPr="004C1013">
              <w:t>99,54</w:t>
            </w:r>
          </w:p>
        </w:tc>
        <w:tc>
          <w:tcPr>
            <w:tcW w:w="773" w:type="pct"/>
          </w:tcPr>
          <w:p w:rsidR="0025522E" w:rsidRPr="004C1013" w:rsidRDefault="0025522E" w:rsidP="0025522E">
            <w:pPr>
              <w:pStyle w:val="tabbielystyl"/>
            </w:pPr>
            <w:r w:rsidRPr="004C1013">
              <w:t>70,58</w:t>
            </w:r>
          </w:p>
        </w:tc>
      </w:tr>
      <w:tr w:rsidR="0025522E" w:rsidRPr="004C1013" w:rsidTr="00404B50">
        <w:trPr>
          <w:trHeight w:val="283"/>
        </w:trPr>
        <w:tc>
          <w:tcPr>
            <w:tcW w:w="532" w:type="pct"/>
            <w:hideMark/>
          </w:tcPr>
          <w:p w:rsidR="0025522E" w:rsidRPr="004C1013" w:rsidRDefault="0025522E" w:rsidP="0025522E">
            <w:pPr>
              <w:pStyle w:val="tabbielystyl"/>
            </w:pPr>
            <w:r w:rsidRPr="004C1013">
              <w:t>2016</w:t>
            </w:r>
          </w:p>
        </w:tc>
        <w:tc>
          <w:tcPr>
            <w:tcW w:w="481" w:type="pct"/>
            <w:hideMark/>
          </w:tcPr>
          <w:p w:rsidR="0025522E" w:rsidRPr="004C1013" w:rsidRDefault="0025522E" w:rsidP="0025522E">
            <w:pPr>
              <w:pStyle w:val="tabbielystyl"/>
            </w:pPr>
            <w:r w:rsidRPr="004C1013">
              <w:t>7.</w:t>
            </w:r>
          </w:p>
        </w:tc>
        <w:tc>
          <w:tcPr>
            <w:tcW w:w="960" w:type="pct"/>
            <w:hideMark/>
          </w:tcPr>
          <w:p w:rsidR="0025522E" w:rsidRPr="004C1013" w:rsidRDefault="0025522E" w:rsidP="0025522E">
            <w:pPr>
              <w:pStyle w:val="tabbielystyl"/>
            </w:pPr>
            <w:r w:rsidRPr="004C1013">
              <w:t>128,16</w:t>
            </w:r>
          </w:p>
        </w:tc>
        <w:tc>
          <w:tcPr>
            <w:tcW w:w="753" w:type="pct"/>
          </w:tcPr>
          <w:p w:rsidR="0025522E" w:rsidRPr="004C1013" w:rsidRDefault="0025522E" w:rsidP="0025522E">
            <w:pPr>
              <w:pStyle w:val="tabbielystyl"/>
            </w:pPr>
            <w:r w:rsidRPr="004C1013">
              <w:t>191,11</w:t>
            </w:r>
          </w:p>
        </w:tc>
        <w:tc>
          <w:tcPr>
            <w:tcW w:w="753" w:type="pct"/>
          </w:tcPr>
          <w:p w:rsidR="0025522E" w:rsidRPr="004C1013" w:rsidRDefault="0025522E" w:rsidP="0025522E">
            <w:pPr>
              <w:pStyle w:val="tabbielystyl"/>
            </w:pPr>
            <w:r w:rsidRPr="004C1013">
              <w:t>193,34</w:t>
            </w:r>
          </w:p>
        </w:tc>
        <w:tc>
          <w:tcPr>
            <w:tcW w:w="748" w:type="pct"/>
          </w:tcPr>
          <w:p w:rsidR="0025522E" w:rsidRPr="004C1013" w:rsidRDefault="0025522E" w:rsidP="0025522E">
            <w:pPr>
              <w:pStyle w:val="tabbielystyl"/>
            </w:pPr>
            <w:r w:rsidRPr="004C1013">
              <w:t>101,12</w:t>
            </w:r>
          </w:p>
        </w:tc>
        <w:tc>
          <w:tcPr>
            <w:tcW w:w="773" w:type="pct"/>
          </w:tcPr>
          <w:p w:rsidR="0025522E" w:rsidRPr="004C1013" w:rsidRDefault="0025522E" w:rsidP="0025522E">
            <w:pPr>
              <w:pStyle w:val="tabbielystyl"/>
            </w:pPr>
            <w:r w:rsidRPr="004C1013">
              <w:t>72,08</w:t>
            </w:r>
          </w:p>
        </w:tc>
      </w:tr>
      <w:tr w:rsidR="0025522E" w:rsidRPr="004C1013" w:rsidTr="00404B50">
        <w:trPr>
          <w:trHeight w:val="283"/>
        </w:trPr>
        <w:tc>
          <w:tcPr>
            <w:tcW w:w="532" w:type="pct"/>
            <w:hideMark/>
          </w:tcPr>
          <w:p w:rsidR="0025522E" w:rsidRPr="004C1013" w:rsidRDefault="0025522E" w:rsidP="0025522E">
            <w:pPr>
              <w:pStyle w:val="tabbielystyl"/>
            </w:pPr>
            <w:r w:rsidRPr="004C1013">
              <w:t>2017</w:t>
            </w:r>
          </w:p>
        </w:tc>
        <w:tc>
          <w:tcPr>
            <w:tcW w:w="481" w:type="pct"/>
            <w:hideMark/>
          </w:tcPr>
          <w:p w:rsidR="0025522E" w:rsidRPr="004C1013" w:rsidRDefault="0025522E" w:rsidP="0025522E">
            <w:pPr>
              <w:pStyle w:val="tabbielystyl"/>
            </w:pPr>
            <w:r w:rsidRPr="004C1013">
              <w:t>8.</w:t>
            </w:r>
          </w:p>
        </w:tc>
        <w:tc>
          <w:tcPr>
            <w:tcW w:w="960" w:type="pct"/>
            <w:hideMark/>
          </w:tcPr>
          <w:p w:rsidR="0025522E" w:rsidRPr="004C1013" w:rsidRDefault="0025522E" w:rsidP="0025522E">
            <w:pPr>
              <w:pStyle w:val="tabbielystyl"/>
            </w:pPr>
            <w:r w:rsidRPr="004C1013">
              <w:t>273,77</w:t>
            </w:r>
          </w:p>
        </w:tc>
        <w:tc>
          <w:tcPr>
            <w:tcW w:w="753" w:type="pct"/>
          </w:tcPr>
          <w:p w:rsidR="0025522E" w:rsidRPr="004C1013" w:rsidRDefault="0025522E" w:rsidP="0025522E">
            <w:pPr>
              <w:pStyle w:val="tabbielystyl"/>
            </w:pPr>
            <w:r w:rsidRPr="004C1013">
              <w:t>198,91</w:t>
            </w:r>
          </w:p>
        </w:tc>
        <w:tc>
          <w:tcPr>
            <w:tcW w:w="753" w:type="pct"/>
          </w:tcPr>
          <w:p w:rsidR="0025522E" w:rsidRPr="004C1013" w:rsidRDefault="0025522E" w:rsidP="0025522E">
            <w:pPr>
              <w:pStyle w:val="tabbielystyl"/>
            </w:pPr>
            <w:r w:rsidRPr="004C1013">
              <w:t>201,14</w:t>
            </w:r>
          </w:p>
        </w:tc>
        <w:tc>
          <w:tcPr>
            <w:tcW w:w="748" w:type="pct"/>
          </w:tcPr>
          <w:p w:rsidR="0025522E" w:rsidRPr="004C1013" w:rsidRDefault="0025522E" w:rsidP="0025522E">
            <w:pPr>
              <w:pStyle w:val="tabbielystyl"/>
            </w:pPr>
            <w:r w:rsidRPr="004C1013">
              <w:t>102,01</w:t>
            </w:r>
          </w:p>
        </w:tc>
        <w:tc>
          <w:tcPr>
            <w:tcW w:w="773" w:type="pct"/>
          </w:tcPr>
          <w:p w:rsidR="0025522E" w:rsidRPr="004C1013" w:rsidRDefault="0025522E" w:rsidP="0025522E">
            <w:pPr>
              <w:pStyle w:val="tabbielystyl"/>
            </w:pPr>
            <w:r w:rsidRPr="004C1013">
              <w:t>70,16</w:t>
            </w:r>
          </w:p>
        </w:tc>
      </w:tr>
      <w:tr w:rsidR="0025522E" w:rsidRPr="004C1013" w:rsidTr="00404B50">
        <w:trPr>
          <w:trHeight w:val="283"/>
        </w:trPr>
        <w:tc>
          <w:tcPr>
            <w:tcW w:w="532" w:type="pct"/>
            <w:hideMark/>
          </w:tcPr>
          <w:p w:rsidR="0025522E" w:rsidRPr="004C1013" w:rsidRDefault="0025522E" w:rsidP="0025522E">
            <w:pPr>
              <w:pStyle w:val="tabbielystyl"/>
            </w:pPr>
            <w:r w:rsidRPr="004C1013">
              <w:t>2018</w:t>
            </w:r>
          </w:p>
        </w:tc>
        <w:tc>
          <w:tcPr>
            <w:tcW w:w="481" w:type="pct"/>
            <w:hideMark/>
          </w:tcPr>
          <w:p w:rsidR="0025522E" w:rsidRPr="004C1013" w:rsidRDefault="0025522E" w:rsidP="0025522E">
            <w:pPr>
              <w:pStyle w:val="tabbielystyl"/>
            </w:pPr>
            <w:r w:rsidRPr="004C1013">
              <w:t>9.</w:t>
            </w:r>
          </w:p>
        </w:tc>
        <w:tc>
          <w:tcPr>
            <w:tcW w:w="960" w:type="pct"/>
            <w:hideMark/>
          </w:tcPr>
          <w:p w:rsidR="0025522E" w:rsidRPr="004C1013" w:rsidRDefault="0025522E" w:rsidP="0025522E">
            <w:pPr>
              <w:pStyle w:val="tabbielystyl"/>
            </w:pPr>
            <w:r w:rsidRPr="004C1013">
              <w:t>144,82</w:t>
            </w:r>
          </w:p>
        </w:tc>
        <w:tc>
          <w:tcPr>
            <w:tcW w:w="753" w:type="pct"/>
          </w:tcPr>
          <w:p w:rsidR="0025522E" w:rsidRPr="004C1013" w:rsidRDefault="0025522E" w:rsidP="0025522E">
            <w:pPr>
              <w:pStyle w:val="tabbielystyl"/>
            </w:pPr>
            <w:r w:rsidRPr="004C1013">
              <w:t>211,13</w:t>
            </w:r>
          </w:p>
        </w:tc>
        <w:tc>
          <w:tcPr>
            <w:tcW w:w="753" w:type="pct"/>
          </w:tcPr>
          <w:p w:rsidR="0025522E" w:rsidRPr="004C1013" w:rsidRDefault="0025522E" w:rsidP="0025522E">
            <w:pPr>
              <w:pStyle w:val="tabbielystyl"/>
            </w:pPr>
            <w:r w:rsidRPr="004C1013">
              <w:t>213,45</w:t>
            </w:r>
          </w:p>
        </w:tc>
        <w:tc>
          <w:tcPr>
            <w:tcW w:w="748" w:type="pct"/>
          </w:tcPr>
          <w:p w:rsidR="0025522E" w:rsidRPr="004C1013" w:rsidRDefault="0025522E" w:rsidP="0025522E">
            <w:pPr>
              <w:pStyle w:val="tabbielystyl"/>
            </w:pPr>
            <w:r w:rsidRPr="004C1013">
              <w:t>104,25</w:t>
            </w:r>
          </w:p>
        </w:tc>
        <w:tc>
          <w:tcPr>
            <w:tcW w:w="773" w:type="pct"/>
          </w:tcPr>
          <w:p w:rsidR="0025522E" w:rsidRPr="004C1013" w:rsidRDefault="0025522E" w:rsidP="0025522E">
            <w:pPr>
              <w:pStyle w:val="tabbielystyl"/>
            </w:pPr>
            <w:r w:rsidRPr="004C1013">
              <w:t>71,76</w:t>
            </w:r>
          </w:p>
        </w:tc>
      </w:tr>
      <w:tr w:rsidR="0025522E" w:rsidRPr="004C1013" w:rsidTr="00404B50">
        <w:trPr>
          <w:trHeight w:val="283"/>
        </w:trPr>
        <w:tc>
          <w:tcPr>
            <w:tcW w:w="1013" w:type="pct"/>
            <w:gridSpan w:val="2"/>
            <w:shd w:val="clear" w:color="auto" w:fill="7F7F7F" w:themeFill="text1" w:themeFillTint="80"/>
            <w:hideMark/>
          </w:tcPr>
          <w:p w:rsidR="0025522E" w:rsidRPr="004C1013" w:rsidRDefault="0025522E" w:rsidP="0025522E">
            <w:pPr>
              <w:pStyle w:val="tabukasivystyl"/>
            </w:pPr>
            <w:r w:rsidRPr="004C1013">
              <w:t>Spolu</w:t>
            </w:r>
          </w:p>
        </w:tc>
        <w:tc>
          <w:tcPr>
            <w:tcW w:w="960" w:type="pct"/>
            <w:shd w:val="clear" w:color="auto" w:fill="7F7F7F" w:themeFill="text1" w:themeFillTint="80"/>
            <w:hideMark/>
          </w:tcPr>
          <w:p w:rsidR="0025522E" w:rsidRPr="004C1013" w:rsidRDefault="0025522E" w:rsidP="0025522E">
            <w:pPr>
              <w:pStyle w:val="tabukasivystyl"/>
            </w:pPr>
            <w:r w:rsidRPr="004C1013">
              <w:t>1 609,98</w:t>
            </w:r>
          </w:p>
        </w:tc>
        <w:tc>
          <w:tcPr>
            <w:tcW w:w="753" w:type="pct"/>
            <w:shd w:val="clear" w:color="auto" w:fill="7F7F7F" w:themeFill="text1" w:themeFillTint="80"/>
          </w:tcPr>
          <w:p w:rsidR="0025522E" w:rsidRPr="004C1013" w:rsidRDefault="0025522E" w:rsidP="0025522E">
            <w:pPr>
              <w:pStyle w:val="tabukasivystyl"/>
            </w:pPr>
            <w:r w:rsidRPr="004C1013">
              <w:t>1 576,65</w:t>
            </w:r>
          </w:p>
        </w:tc>
        <w:tc>
          <w:tcPr>
            <w:tcW w:w="753" w:type="pct"/>
            <w:shd w:val="clear" w:color="auto" w:fill="7F7F7F" w:themeFill="text1" w:themeFillTint="80"/>
          </w:tcPr>
          <w:p w:rsidR="0025522E" w:rsidRPr="004C1013" w:rsidRDefault="0025522E" w:rsidP="0025522E">
            <w:pPr>
              <w:pStyle w:val="tabukasivystyl"/>
            </w:pPr>
            <w:r w:rsidRPr="004C1013">
              <w:t>1 589,22</w:t>
            </w:r>
          </w:p>
        </w:tc>
        <w:tc>
          <w:tcPr>
            <w:tcW w:w="748" w:type="pct"/>
            <w:shd w:val="clear" w:color="auto" w:fill="7F7F7F" w:themeFill="text1" w:themeFillTint="80"/>
          </w:tcPr>
          <w:p w:rsidR="0025522E" w:rsidRPr="004C1013" w:rsidRDefault="0025522E" w:rsidP="0025522E">
            <w:pPr>
              <w:pStyle w:val="tabukasivystyl"/>
            </w:pPr>
            <w:r w:rsidRPr="004C1013">
              <w:t>841,39</w:t>
            </w:r>
          </w:p>
        </w:tc>
        <w:tc>
          <w:tcPr>
            <w:tcW w:w="773" w:type="pct"/>
            <w:shd w:val="clear" w:color="auto" w:fill="7F7F7F" w:themeFill="text1" w:themeFillTint="80"/>
          </w:tcPr>
          <w:p w:rsidR="0025522E" w:rsidRPr="004C1013" w:rsidRDefault="0025522E" w:rsidP="0025522E">
            <w:pPr>
              <w:pStyle w:val="tabukasivystyl"/>
            </w:pPr>
            <w:r w:rsidRPr="004C1013">
              <w:t>791,63</w:t>
            </w:r>
          </w:p>
        </w:tc>
      </w:tr>
      <w:tr w:rsidR="0025522E" w:rsidRPr="004C1013" w:rsidTr="00404B50">
        <w:trPr>
          <w:trHeight w:val="283"/>
        </w:trPr>
        <w:tc>
          <w:tcPr>
            <w:tcW w:w="1013" w:type="pct"/>
            <w:gridSpan w:val="2"/>
            <w:shd w:val="clear" w:color="auto" w:fill="7F7F7F" w:themeFill="text1" w:themeFillTint="80"/>
            <w:hideMark/>
          </w:tcPr>
          <w:p w:rsidR="0025522E" w:rsidRPr="004C1013" w:rsidRDefault="0025522E" w:rsidP="0025522E">
            <w:pPr>
              <w:pStyle w:val="tabukasivystyl"/>
            </w:pPr>
            <w:r w:rsidRPr="004C1013">
              <w:t>Priemer</w:t>
            </w:r>
          </w:p>
        </w:tc>
        <w:tc>
          <w:tcPr>
            <w:tcW w:w="960" w:type="pct"/>
            <w:shd w:val="clear" w:color="auto" w:fill="7F7F7F" w:themeFill="text1" w:themeFillTint="80"/>
            <w:hideMark/>
          </w:tcPr>
          <w:p w:rsidR="0025522E" w:rsidRPr="004C1013" w:rsidRDefault="0025522E" w:rsidP="0025522E">
            <w:pPr>
              <w:pStyle w:val="tabukasivystyl"/>
            </w:pPr>
            <w:r w:rsidRPr="004C1013">
              <w:t>178,89</w:t>
            </w:r>
          </w:p>
        </w:tc>
        <w:tc>
          <w:tcPr>
            <w:tcW w:w="753" w:type="pct"/>
            <w:shd w:val="clear" w:color="auto" w:fill="7F7F7F" w:themeFill="text1" w:themeFillTint="80"/>
          </w:tcPr>
          <w:p w:rsidR="0025522E" w:rsidRPr="004C1013" w:rsidRDefault="0025522E" w:rsidP="0025522E">
            <w:pPr>
              <w:pStyle w:val="tabukasivystyl"/>
            </w:pPr>
            <w:r w:rsidRPr="004C1013">
              <w:t>175,18</w:t>
            </w:r>
          </w:p>
        </w:tc>
        <w:tc>
          <w:tcPr>
            <w:tcW w:w="753" w:type="pct"/>
            <w:shd w:val="clear" w:color="auto" w:fill="7F7F7F" w:themeFill="text1" w:themeFillTint="80"/>
          </w:tcPr>
          <w:p w:rsidR="0025522E" w:rsidRPr="004C1013" w:rsidRDefault="0025522E" w:rsidP="0025522E">
            <w:pPr>
              <w:pStyle w:val="tabukasivystyl"/>
            </w:pPr>
            <w:r w:rsidRPr="004C1013">
              <w:t>176,58</w:t>
            </w:r>
          </w:p>
        </w:tc>
        <w:tc>
          <w:tcPr>
            <w:tcW w:w="748" w:type="pct"/>
            <w:shd w:val="clear" w:color="auto" w:fill="7F7F7F" w:themeFill="text1" w:themeFillTint="80"/>
          </w:tcPr>
          <w:p w:rsidR="0025522E" w:rsidRPr="004C1013" w:rsidRDefault="0025522E" w:rsidP="0025522E">
            <w:pPr>
              <w:pStyle w:val="tabukasivystyl"/>
            </w:pPr>
            <w:r w:rsidRPr="004C1013">
              <w:t>93,49</w:t>
            </w:r>
          </w:p>
        </w:tc>
        <w:tc>
          <w:tcPr>
            <w:tcW w:w="773" w:type="pct"/>
            <w:shd w:val="clear" w:color="auto" w:fill="7F7F7F" w:themeFill="text1" w:themeFillTint="80"/>
          </w:tcPr>
          <w:p w:rsidR="0025522E" w:rsidRPr="004C1013" w:rsidRDefault="0025522E" w:rsidP="0025522E">
            <w:pPr>
              <w:pStyle w:val="tabukasivystyl"/>
            </w:pPr>
            <w:r w:rsidRPr="004C1013">
              <w:t>87,96</w:t>
            </w:r>
          </w:p>
        </w:tc>
      </w:tr>
    </w:tbl>
    <w:p w:rsidR="0025522E" w:rsidRPr="004C1013" w:rsidRDefault="0025522E" w:rsidP="0025522E">
      <w:bookmarkStart w:id="46" w:name="_Ref20072684"/>
    </w:p>
    <w:p w:rsidR="0025522E" w:rsidRPr="004C1013" w:rsidRDefault="0025522E" w:rsidP="0025522E">
      <w:r w:rsidRPr="004C1013">
        <w:t>Pre účely komparatívnej analýzy jednotlivých systémov ETC vybral riešiteľský kolektív z uvádzaných výnosov systému údaje prevádzkovateľa systému</w:t>
      </w:r>
      <w:r w:rsidR="00AB3BC3">
        <w:t xml:space="preserve"> aj údaje správcu systému</w:t>
      </w:r>
      <w:r w:rsidRPr="004C1013">
        <w:t xml:space="preserve"> (</w:t>
      </w:r>
      <w:r w:rsidR="00C40D3F">
        <w:fldChar w:fldCharType="begin"/>
      </w:r>
      <w:r w:rsidR="00C40D3F">
        <w:instrText xml:space="preserve"> REF _Ref20648663 \h  \* MERGEFORMAT </w:instrText>
      </w:r>
      <w:r w:rsidR="00C40D3F">
        <w:fldChar w:fldCharType="separate"/>
      </w:r>
      <w:r w:rsidR="001E4C1C" w:rsidRPr="004C1013">
        <w:t xml:space="preserve">Tab.  </w:t>
      </w:r>
      <w:r w:rsidR="001E4C1C">
        <w:rPr>
          <w:noProof/>
        </w:rPr>
        <w:t>1</w:t>
      </w:r>
      <w:r w:rsidR="001E4C1C">
        <w:rPr>
          <w:noProof/>
        </w:rPr>
        <w:noBreakHyphen/>
        <w:t>7</w:t>
      </w:r>
      <w:r w:rsidR="00C40D3F">
        <w:fldChar w:fldCharType="end"/>
      </w:r>
      <w:r w:rsidRPr="004C1013">
        <w:t>).</w:t>
      </w:r>
      <w:r w:rsidR="00AB3BC3">
        <w:t xml:space="preserve"> </w:t>
      </w:r>
      <w:r w:rsidR="00AD134B">
        <w:t xml:space="preserve">V rámci </w:t>
      </w:r>
      <w:r w:rsidR="00AD134B">
        <w:lastRenderedPageBreak/>
        <w:t xml:space="preserve">komparatívnej analýzy sú teda ukazovatele efektívnosti vyjadrené variantne podľa týchto dvoch zdrojov údajov.  </w:t>
      </w:r>
    </w:p>
    <w:p w:rsidR="0025522E" w:rsidRPr="004C1013" w:rsidRDefault="0025522E" w:rsidP="006B1C25">
      <w:pPr>
        <w:pStyle w:val="tabstyl"/>
      </w:pPr>
      <w:bookmarkStart w:id="47" w:name="_Ref20648663"/>
      <w:bookmarkStart w:id="48" w:name="_Toc36664449"/>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7</w:t>
      </w:r>
      <w:r w:rsidR="00C40D3F">
        <w:rPr>
          <w:noProof/>
        </w:rPr>
        <w:fldChar w:fldCharType="end"/>
      </w:r>
      <w:bookmarkEnd w:id="46"/>
      <w:bookmarkEnd w:id="47"/>
      <w:r w:rsidRPr="004C1013">
        <w:t xml:space="preserve"> </w:t>
      </w:r>
      <w:r w:rsidRPr="004C1013">
        <w:tab/>
        <w:t>Slovensko: ETC indikátor 3. Výnosy</w:t>
      </w:r>
      <w:bookmarkEnd w:id="48"/>
      <w:r w:rsidRPr="004C1013">
        <w:t xml:space="preserve"> </w:t>
      </w:r>
    </w:p>
    <w:tbl>
      <w:tblPr>
        <w:tblStyle w:val="tabulkaVUD"/>
        <w:tblW w:w="5000" w:type="pct"/>
        <w:tblLook w:val="04A0" w:firstRow="1" w:lastRow="0" w:firstColumn="1" w:lastColumn="0" w:noHBand="0" w:noVBand="1"/>
      </w:tblPr>
      <w:tblGrid>
        <w:gridCol w:w="2255"/>
        <w:gridCol w:w="2053"/>
        <w:gridCol w:w="2532"/>
        <w:gridCol w:w="2562"/>
        <w:gridCol w:w="9"/>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499"/>
          <w:tblHeader/>
        </w:trPr>
        <w:tc>
          <w:tcPr>
            <w:tcW w:w="1198"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1090" w:type="pct"/>
            <w:vMerge w:val="restart"/>
            <w:hideMark/>
          </w:tcPr>
          <w:p w:rsidR="0025522E" w:rsidRPr="004C1013" w:rsidRDefault="0025522E" w:rsidP="009D58D5">
            <w:pPr>
              <w:pStyle w:val="zahltab"/>
            </w:pPr>
            <w:r w:rsidRPr="004C1013">
              <w:t>Rok prevádzky</w:t>
            </w:r>
          </w:p>
        </w:tc>
        <w:tc>
          <w:tcPr>
            <w:tcW w:w="2711" w:type="pct"/>
            <w:gridSpan w:val="3"/>
          </w:tcPr>
          <w:p w:rsidR="0025522E" w:rsidRPr="004C1013" w:rsidRDefault="0025522E" w:rsidP="009D58D5">
            <w:pPr>
              <w:pStyle w:val="zahltab"/>
            </w:pPr>
            <w:r w:rsidRPr="004C1013">
              <w:t>Výnosy (mil. €)</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381"/>
          <w:tblHeader/>
        </w:trPr>
        <w:tc>
          <w:tcPr>
            <w:tcW w:w="1198" w:type="pct"/>
            <w:vMerge/>
            <w:shd w:val="clear" w:color="auto" w:fill="7F7F7F" w:themeFill="text1" w:themeFillTint="80"/>
            <w:hideMark/>
          </w:tcPr>
          <w:p w:rsidR="0025522E" w:rsidRPr="004C1013" w:rsidRDefault="0025522E" w:rsidP="009D58D5">
            <w:pPr>
              <w:pStyle w:val="zahltab"/>
            </w:pPr>
          </w:p>
        </w:tc>
        <w:tc>
          <w:tcPr>
            <w:tcW w:w="1090" w:type="pct"/>
            <w:vMerge/>
            <w:hideMark/>
          </w:tcPr>
          <w:p w:rsidR="0025522E" w:rsidRPr="004C1013" w:rsidRDefault="0025522E" w:rsidP="009D58D5">
            <w:pPr>
              <w:pStyle w:val="zahltab"/>
            </w:pPr>
          </w:p>
        </w:tc>
        <w:tc>
          <w:tcPr>
            <w:tcW w:w="1345" w:type="pct"/>
          </w:tcPr>
          <w:p w:rsidR="0025522E" w:rsidRPr="004C1013" w:rsidRDefault="0025522E" w:rsidP="009D58D5">
            <w:pPr>
              <w:pStyle w:val="zahltab"/>
              <w:rPr>
                <w:bCs/>
              </w:rPr>
            </w:pPr>
            <w:r w:rsidRPr="004C1013">
              <w:t>SkyToll, a.s. [3]</w:t>
            </w:r>
          </w:p>
        </w:tc>
        <w:tc>
          <w:tcPr>
            <w:tcW w:w="1366" w:type="pct"/>
            <w:gridSpan w:val="2"/>
          </w:tcPr>
          <w:p w:rsidR="0025522E" w:rsidRPr="004C1013" w:rsidRDefault="0025522E" w:rsidP="009D58D5">
            <w:pPr>
              <w:pStyle w:val="zahltab"/>
            </w:pPr>
            <w:r w:rsidRPr="004C1013">
              <w:t>NDS, a.s. [5], [6]</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2010</w:t>
            </w:r>
          </w:p>
        </w:tc>
        <w:tc>
          <w:tcPr>
            <w:tcW w:w="1090" w:type="pct"/>
            <w:hideMark/>
          </w:tcPr>
          <w:p w:rsidR="0025522E" w:rsidRPr="004C1013" w:rsidRDefault="0025522E" w:rsidP="0025522E">
            <w:pPr>
              <w:pStyle w:val="tabbielystyl"/>
            </w:pPr>
            <w:r w:rsidRPr="004C1013">
              <w:t>1.</w:t>
            </w:r>
          </w:p>
        </w:tc>
        <w:tc>
          <w:tcPr>
            <w:tcW w:w="1345" w:type="pct"/>
          </w:tcPr>
          <w:p w:rsidR="0025522E" w:rsidRPr="004C1013" w:rsidRDefault="0025522E" w:rsidP="0025522E">
            <w:pPr>
              <w:pStyle w:val="tabbielystyl"/>
            </w:pPr>
            <w:r w:rsidRPr="004C1013">
              <w:t>141,81</w:t>
            </w:r>
          </w:p>
        </w:tc>
        <w:tc>
          <w:tcPr>
            <w:tcW w:w="1361" w:type="pct"/>
          </w:tcPr>
          <w:p w:rsidR="0025522E" w:rsidRPr="004C1013" w:rsidRDefault="0025522E" w:rsidP="0025522E">
            <w:pPr>
              <w:pStyle w:val="tabbielystyl"/>
            </w:pPr>
            <w:r w:rsidRPr="004C1013">
              <w:t>141,63</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2011</w:t>
            </w:r>
          </w:p>
        </w:tc>
        <w:tc>
          <w:tcPr>
            <w:tcW w:w="1090" w:type="pct"/>
            <w:hideMark/>
          </w:tcPr>
          <w:p w:rsidR="0025522E" w:rsidRPr="004C1013" w:rsidRDefault="0025522E" w:rsidP="0025522E">
            <w:pPr>
              <w:pStyle w:val="tabbielystyl"/>
            </w:pPr>
            <w:r w:rsidRPr="004C1013">
              <w:t>2.</w:t>
            </w:r>
          </w:p>
        </w:tc>
        <w:tc>
          <w:tcPr>
            <w:tcW w:w="1345" w:type="pct"/>
          </w:tcPr>
          <w:p w:rsidR="0025522E" w:rsidRPr="004C1013" w:rsidRDefault="0025522E" w:rsidP="0025522E">
            <w:pPr>
              <w:pStyle w:val="tabbielystyl"/>
            </w:pPr>
            <w:r w:rsidRPr="004C1013">
              <w:t>154,06</w:t>
            </w:r>
          </w:p>
        </w:tc>
        <w:tc>
          <w:tcPr>
            <w:tcW w:w="1361" w:type="pct"/>
          </w:tcPr>
          <w:p w:rsidR="0025522E" w:rsidRPr="004C1013" w:rsidRDefault="0025522E" w:rsidP="0025522E">
            <w:pPr>
              <w:pStyle w:val="tabbielystyl"/>
            </w:pPr>
            <w:r w:rsidRPr="004C1013">
              <w:t>153,95</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2012</w:t>
            </w:r>
          </w:p>
        </w:tc>
        <w:tc>
          <w:tcPr>
            <w:tcW w:w="1090" w:type="pct"/>
            <w:hideMark/>
          </w:tcPr>
          <w:p w:rsidR="0025522E" w:rsidRPr="004C1013" w:rsidRDefault="0025522E" w:rsidP="0025522E">
            <w:pPr>
              <w:pStyle w:val="tabbielystyl"/>
            </w:pPr>
            <w:r w:rsidRPr="004C1013">
              <w:t>3.</w:t>
            </w:r>
          </w:p>
        </w:tc>
        <w:tc>
          <w:tcPr>
            <w:tcW w:w="1345" w:type="pct"/>
          </w:tcPr>
          <w:p w:rsidR="0025522E" w:rsidRPr="004C1013" w:rsidRDefault="0025522E" w:rsidP="0025522E">
            <w:pPr>
              <w:pStyle w:val="tabbielystyl"/>
            </w:pPr>
            <w:r w:rsidRPr="004C1013">
              <w:t>155,52</w:t>
            </w:r>
          </w:p>
        </w:tc>
        <w:tc>
          <w:tcPr>
            <w:tcW w:w="1361" w:type="pct"/>
          </w:tcPr>
          <w:p w:rsidR="0025522E" w:rsidRPr="004C1013" w:rsidRDefault="0025522E" w:rsidP="0025522E">
            <w:pPr>
              <w:pStyle w:val="tabbielystyl"/>
            </w:pPr>
            <w:r w:rsidRPr="004C1013">
              <w:t>154,80</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2013</w:t>
            </w:r>
          </w:p>
        </w:tc>
        <w:tc>
          <w:tcPr>
            <w:tcW w:w="1090" w:type="pct"/>
            <w:hideMark/>
          </w:tcPr>
          <w:p w:rsidR="0025522E" w:rsidRPr="004C1013" w:rsidRDefault="0025522E" w:rsidP="0025522E">
            <w:pPr>
              <w:pStyle w:val="tabbielystyl"/>
            </w:pPr>
            <w:r w:rsidRPr="004C1013">
              <w:t>4.</w:t>
            </w:r>
          </w:p>
        </w:tc>
        <w:tc>
          <w:tcPr>
            <w:tcW w:w="1345" w:type="pct"/>
          </w:tcPr>
          <w:p w:rsidR="0025522E" w:rsidRPr="004C1013" w:rsidRDefault="0025522E" w:rsidP="0025522E">
            <w:pPr>
              <w:pStyle w:val="tabbielystyl"/>
            </w:pPr>
            <w:r w:rsidRPr="004C1013">
              <w:t>159,07</w:t>
            </w:r>
          </w:p>
        </w:tc>
        <w:tc>
          <w:tcPr>
            <w:tcW w:w="1361" w:type="pct"/>
          </w:tcPr>
          <w:p w:rsidR="0025522E" w:rsidRPr="004C1013" w:rsidRDefault="0025522E" w:rsidP="0025522E">
            <w:pPr>
              <w:pStyle w:val="tabbielystyl"/>
            </w:pPr>
            <w:r w:rsidRPr="004C1013">
              <w:t>158,66</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2014</w:t>
            </w:r>
          </w:p>
        </w:tc>
        <w:tc>
          <w:tcPr>
            <w:tcW w:w="1090" w:type="pct"/>
            <w:hideMark/>
          </w:tcPr>
          <w:p w:rsidR="0025522E" w:rsidRPr="004C1013" w:rsidRDefault="0025522E" w:rsidP="0025522E">
            <w:pPr>
              <w:pStyle w:val="tabbielystyl"/>
            </w:pPr>
            <w:r w:rsidRPr="004C1013">
              <w:t>5.</w:t>
            </w:r>
          </w:p>
        </w:tc>
        <w:tc>
          <w:tcPr>
            <w:tcW w:w="1345" w:type="pct"/>
          </w:tcPr>
          <w:p w:rsidR="0025522E" w:rsidRPr="004C1013" w:rsidRDefault="0025522E" w:rsidP="0025522E">
            <w:pPr>
              <w:pStyle w:val="tabbielystyl"/>
            </w:pPr>
            <w:r w:rsidRPr="004C1013">
              <w:t>183,39</w:t>
            </w:r>
          </w:p>
        </w:tc>
        <w:tc>
          <w:tcPr>
            <w:tcW w:w="1361" w:type="pct"/>
          </w:tcPr>
          <w:p w:rsidR="0025522E" w:rsidRPr="004C1013" w:rsidRDefault="0025522E" w:rsidP="0025522E">
            <w:pPr>
              <w:pStyle w:val="tabbielystyl"/>
            </w:pPr>
            <w:r w:rsidRPr="004C1013">
              <w:t>181,54</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2015</w:t>
            </w:r>
          </w:p>
        </w:tc>
        <w:tc>
          <w:tcPr>
            <w:tcW w:w="1090" w:type="pct"/>
            <w:hideMark/>
          </w:tcPr>
          <w:p w:rsidR="0025522E" w:rsidRPr="004C1013" w:rsidRDefault="0025522E" w:rsidP="0025522E">
            <w:pPr>
              <w:pStyle w:val="tabbielystyl"/>
            </w:pPr>
            <w:r w:rsidRPr="004C1013">
              <w:t>6.</w:t>
            </w:r>
          </w:p>
        </w:tc>
        <w:tc>
          <w:tcPr>
            <w:tcW w:w="1345" w:type="pct"/>
          </w:tcPr>
          <w:p w:rsidR="0025522E" w:rsidRPr="004C1013" w:rsidRDefault="0025522E" w:rsidP="0025522E">
            <w:pPr>
              <w:pStyle w:val="tabbielystyl"/>
            </w:pPr>
            <w:r w:rsidRPr="004C1013">
              <w:t>187,45</w:t>
            </w:r>
          </w:p>
        </w:tc>
        <w:tc>
          <w:tcPr>
            <w:tcW w:w="1361" w:type="pct"/>
          </w:tcPr>
          <w:p w:rsidR="0025522E" w:rsidRPr="004C1013" w:rsidRDefault="0025522E" w:rsidP="0025522E">
            <w:pPr>
              <w:pStyle w:val="tabbielystyl"/>
            </w:pPr>
            <w:r w:rsidRPr="004C1013">
              <w:t>184,92</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2016</w:t>
            </w:r>
          </w:p>
        </w:tc>
        <w:tc>
          <w:tcPr>
            <w:tcW w:w="1090" w:type="pct"/>
            <w:hideMark/>
          </w:tcPr>
          <w:p w:rsidR="0025522E" w:rsidRPr="004C1013" w:rsidRDefault="0025522E" w:rsidP="0025522E">
            <w:pPr>
              <w:pStyle w:val="tabbielystyl"/>
            </w:pPr>
            <w:r w:rsidRPr="004C1013">
              <w:t>7.</w:t>
            </w:r>
          </w:p>
        </w:tc>
        <w:tc>
          <w:tcPr>
            <w:tcW w:w="1345" w:type="pct"/>
          </w:tcPr>
          <w:p w:rsidR="0025522E" w:rsidRPr="004C1013" w:rsidRDefault="0025522E" w:rsidP="0025522E">
            <w:pPr>
              <w:pStyle w:val="tabbielystyl"/>
            </w:pPr>
            <w:r w:rsidRPr="004C1013">
              <w:t>193,34</w:t>
            </w:r>
          </w:p>
        </w:tc>
        <w:tc>
          <w:tcPr>
            <w:tcW w:w="1361" w:type="pct"/>
          </w:tcPr>
          <w:p w:rsidR="0025522E" w:rsidRPr="004C1013" w:rsidRDefault="0025522E" w:rsidP="0025522E">
            <w:pPr>
              <w:pStyle w:val="tabbielystyl"/>
            </w:pPr>
            <w:r w:rsidRPr="004C1013">
              <w:t>191,11</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2017</w:t>
            </w:r>
          </w:p>
        </w:tc>
        <w:tc>
          <w:tcPr>
            <w:tcW w:w="1090" w:type="pct"/>
            <w:hideMark/>
          </w:tcPr>
          <w:p w:rsidR="0025522E" w:rsidRPr="004C1013" w:rsidRDefault="0025522E" w:rsidP="0025522E">
            <w:pPr>
              <w:pStyle w:val="tabbielystyl"/>
            </w:pPr>
            <w:r w:rsidRPr="004C1013">
              <w:t>8.</w:t>
            </w:r>
          </w:p>
        </w:tc>
        <w:tc>
          <w:tcPr>
            <w:tcW w:w="1345" w:type="pct"/>
          </w:tcPr>
          <w:p w:rsidR="0025522E" w:rsidRPr="004C1013" w:rsidRDefault="0025522E" w:rsidP="0025522E">
            <w:pPr>
              <w:pStyle w:val="tabbielystyl"/>
            </w:pPr>
            <w:r w:rsidRPr="004C1013">
              <w:t>201,14</w:t>
            </w:r>
          </w:p>
        </w:tc>
        <w:tc>
          <w:tcPr>
            <w:tcW w:w="1361" w:type="pct"/>
          </w:tcPr>
          <w:p w:rsidR="0025522E" w:rsidRPr="004C1013" w:rsidRDefault="0025522E" w:rsidP="0025522E">
            <w:pPr>
              <w:pStyle w:val="tabbielystyl"/>
            </w:pPr>
            <w:r w:rsidRPr="004C1013">
              <w:t>198,91</w:t>
            </w:r>
          </w:p>
        </w:tc>
      </w:tr>
      <w:tr w:rsidR="0025522E" w:rsidRPr="004C1013" w:rsidTr="00404B50">
        <w:trPr>
          <w:gridAfter w:val="1"/>
          <w:wAfter w:w="6" w:type="pct"/>
          <w:trHeight w:val="283"/>
        </w:trPr>
        <w:tc>
          <w:tcPr>
            <w:tcW w:w="1198" w:type="pct"/>
            <w:hideMark/>
          </w:tcPr>
          <w:p w:rsidR="0025522E" w:rsidRPr="004C1013" w:rsidRDefault="0025522E" w:rsidP="0025522E">
            <w:pPr>
              <w:pStyle w:val="tabbielystyl"/>
            </w:pPr>
            <w:r w:rsidRPr="004C1013">
              <w:t>2018</w:t>
            </w:r>
          </w:p>
        </w:tc>
        <w:tc>
          <w:tcPr>
            <w:tcW w:w="1090" w:type="pct"/>
            <w:hideMark/>
          </w:tcPr>
          <w:p w:rsidR="0025522E" w:rsidRPr="004C1013" w:rsidRDefault="0025522E" w:rsidP="0025522E">
            <w:pPr>
              <w:pStyle w:val="tabbielystyl"/>
            </w:pPr>
            <w:r w:rsidRPr="004C1013">
              <w:t>9.</w:t>
            </w:r>
          </w:p>
        </w:tc>
        <w:tc>
          <w:tcPr>
            <w:tcW w:w="1345" w:type="pct"/>
          </w:tcPr>
          <w:p w:rsidR="0025522E" w:rsidRPr="004C1013" w:rsidRDefault="0025522E" w:rsidP="0025522E">
            <w:pPr>
              <w:pStyle w:val="tabbielystyl"/>
            </w:pPr>
            <w:r w:rsidRPr="004C1013">
              <w:t>213,45</w:t>
            </w:r>
          </w:p>
        </w:tc>
        <w:tc>
          <w:tcPr>
            <w:tcW w:w="1361" w:type="pct"/>
          </w:tcPr>
          <w:p w:rsidR="0025522E" w:rsidRPr="004C1013" w:rsidRDefault="0025522E" w:rsidP="0025522E">
            <w:pPr>
              <w:pStyle w:val="tabbielystyl"/>
            </w:pPr>
            <w:r w:rsidRPr="004C1013">
              <w:t>211,13</w:t>
            </w:r>
          </w:p>
        </w:tc>
      </w:tr>
      <w:tr w:rsidR="0025522E" w:rsidRPr="004C1013" w:rsidTr="00404B50">
        <w:trPr>
          <w:gridAfter w:val="1"/>
          <w:wAfter w:w="6" w:type="pct"/>
          <w:trHeight w:val="283"/>
        </w:trPr>
        <w:tc>
          <w:tcPr>
            <w:tcW w:w="2289"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345" w:type="pct"/>
            <w:shd w:val="clear" w:color="auto" w:fill="7F7F7F" w:themeFill="text1" w:themeFillTint="80"/>
          </w:tcPr>
          <w:p w:rsidR="0025522E" w:rsidRPr="004C1013" w:rsidRDefault="0025522E" w:rsidP="0025522E">
            <w:pPr>
              <w:pStyle w:val="tabukasivystyl"/>
            </w:pPr>
            <w:r w:rsidRPr="004C1013">
              <w:t>1 589,22</w:t>
            </w:r>
          </w:p>
        </w:tc>
        <w:tc>
          <w:tcPr>
            <w:tcW w:w="1361" w:type="pct"/>
            <w:shd w:val="clear" w:color="auto" w:fill="7F7F7F" w:themeFill="text1" w:themeFillTint="80"/>
          </w:tcPr>
          <w:p w:rsidR="0025522E" w:rsidRPr="004C1013" w:rsidRDefault="0025522E" w:rsidP="0025522E">
            <w:pPr>
              <w:pStyle w:val="tabukasivystyl"/>
            </w:pPr>
            <w:r w:rsidRPr="004C1013">
              <w:t>1 576,65</w:t>
            </w:r>
          </w:p>
        </w:tc>
      </w:tr>
      <w:tr w:rsidR="0025522E" w:rsidRPr="004C1013" w:rsidTr="00404B50">
        <w:trPr>
          <w:gridAfter w:val="1"/>
          <w:wAfter w:w="6" w:type="pct"/>
          <w:trHeight w:val="283"/>
        </w:trPr>
        <w:tc>
          <w:tcPr>
            <w:tcW w:w="2289"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345" w:type="pct"/>
            <w:shd w:val="clear" w:color="auto" w:fill="7F7F7F" w:themeFill="text1" w:themeFillTint="80"/>
          </w:tcPr>
          <w:p w:rsidR="0025522E" w:rsidRPr="004C1013" w:rsidRDefault="0025522E" w:rsidP="0025522E">
            <w:pPr>
              <w:pStyle w:val="tabukasivystyl"/>
            </w:pPr>
            <w:r w:rsidRPr="004C1013">
              <w:t>176,58</w:t>
            </w:r>
          </w:p>
        </w:tc>
        <w:tc>
          <w:tcPr>
            <w:tcW w:w="1361" w:type="pct"/>
            <w:shd w:val="clear" w:color="auto" w:fill="7F7F7F" w:themeFill="text1" w:themeFillTint="80"/>
          </w:tcPr>
          <w:p w:rsidR="0025522E" w:rsidRPr="004C1013" w:rsidRDefault="0025522E" w:rsidP="0025522E">
            <w:pPr>
              <w:pStyle w:val="tabukasivystyl"/>
            </w:pPr>
            <w:r w:rsidRPr="004C1013">
              <w:t>175,18</w:t>
            </w:r>
          </w:p>
        </w:tc>
      </w:tr>
    </w:tbl>
    <w:p w:rsidR="00E47B23" w:rsidRDefault="00E47B23" w:rsidP="0025522E">
      <w:pPr>
        <w:pStyle w:val="Normaltext"/>
        <w:spacing w:line="276" w:lineRule="auto"/>
        <w:rPr>
          <w:rFonts w:asciiTheme="minorHAnsi" w:hAnsiTheme="minorHAnsi" w:cstheme="minorHAnsi"/>
        </w:rPr>
      </w:pP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Informácie o celkových nákladoch na vybudovanie a prevádzku mýtneho systému boli čerpané z publikovaných dokumentov NDS, a.s. [5], [6]</w:t>
      </w:r>
      <w:r w:rsidR="00FC3B8F">
        <w:rPr>
          <w:rFonts w:asciiTheme="minorHAnsi" w:hAnsiTheme="minorHAnsi" w:cstheme="minorHAnsi"/>
        </w:rPr>
        <w:t>, NKÚ [8</w:t>
      </w:r>
      <w:r w:rsidR="00FC3B8F" w:rsidRPr="004C1013">
        <w:rPr>
          <w:rFonts w:asciiTheme="minorHAnsi" w:hAnsiTheme="minorHAnsi" w:cstheme="minorHAnsi"/>
        </w:rPr>
        <w:t>]</w:t>
      </w:r>
      <w:r w:rsidR="00FC3B8F">
        <w:rPr>
          <w:rFonts w:asciiTheme="minorHAnsi" w:hAnsiTheme="minorHAnsi" w:cstheme="minorHAnsi"/>
        </w:rPr>
        <w:t xml:space="preserve"> </w:t>
      </w:r>
      <w:r w:rsidRPr="004C1013">
        <w:rPr>
          <w:rFonts w:asciiTheme="minorHAnsi" w:hAnsiTheme="minorHAnsi" w:cstheme="minorHAnsi"/>
        </w:rPr>
        <w:t>a poskytnutých štatistík spoločnosti SkyToll, a.s. [3], (</w:t>
      </w:r>
      <w:r w:rsidR="00C40D3F">
        <w:fldChar w:fldCharType="begin"/>
      </w:r>
      <w:r w:rsidR="00C40D3F">
        <w:instrText xml:space="preserve"> REF _Ref19828704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6</w:t>
      </w:r>
      <w:r w:rsidR="00C40D3F">
        <w:fldChar w:fldCharType="end"/>
      </w:r>
      <w:r w:rsidRPr="004C1013">
        <w:rPr>
          <w:rFonts w:asciiTheme="minorHAnsi" w:hAnsiTheme="minorHAnsi" w:cstheme="minorHAnsi"/>
        </w:rPr>
        <w:t>). Rozdiely v uvádzaných hodnotách nákladov na systém možno odôvodniť skutočnosťou, že v nákladoch EMS uvádzaných spoločnosťou NDS, a.s. sú uvádzané tiež náklady na nezávislého znalca, ktoré nie sú priamo nákladmi prevádzkova</w:t>
      </w:r>
      <w:r w:rsidR="00FC3B8F">
        <w:rPr>
          <w:rFonts w:asciiTheme="minorHAnsi" w:hAnsiTheme="minorHAnsi" w:cstheme="minorHAnsi"/>
        </w:rPr>
        <w:t xml:space="preserve">teľa </w:t>
      </w:r>
      <w:r w:rsidRPr="004C1013">
        <w:rPr>
          <w:rFonts w:asciiTheme="minorHAnsi" w:hAnsiTheme="minorHAnsi" w:cstheme="minorHAnsi"/>
        </w:rPr>
        <w:t xml:space="preserve">systému.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Ďalšie disproporcie v  uvádzaných nákladoch systému za jednotlivé roky prevádzky odôvodňuje okrem vyššie uvedenej skutočnosti tiež použitie odlišného modelu vyčíslenia rozloženia splátok za vybudovanie systému v účtovných závierkach správcu EMS a jeho prevádzkovateľa. Zatiaľ čo správca systému udáva náklady na systém rozpočítané na šesť rokov prevádzky (podľa dodatku k zmluve z roku 2011), prevádzkovateľ systému udáva štvorročné, zmluvné rozloženie splátok. Dodatkom k zmluve, podľa ktorého sa časti splátok za roky 2012 a 2013 vo výške približne 40 mil. € ročne stali splatné s dvojročným posunom, vznikli správcovi systému tiež dodatočné náklady reprezentované 3,5% úrokovou sadzbou, ktoré síce nesúvisia s prevádzkou mýta, ale sú zahrnuté v nákladoch uvádzaných prevádzkovateľom systému, spoločnosťou SkyToll, a.s. </w:t>
      </w:r>
    </w:p>
    <w:p w:rsidR="00551187" w:rsidRDefault="0025522E" w:rsidP="0025522E">
      <w:pPr>
        <w:pStyle w:val="Normaltext"/>
        <w:spacing w:line="276" w:lineRule="auto"/>
        <w:rPr>
          <w:rFonts w:asciiTheme="minorHAnsi" w:hAnsiTheme="minorHAnsi" w:cstheme="minorHAnsi"/>
          <w:highlight w:val="yellow"/>
        </w:rPr>
      </w:pPr>
      <w:r w:rsidRPr="004C1013">
        <w:rPr>
          <w:rFonts w:asciiTheme="minorHAnsi" w:hAnsiTheme="minorHAnsi" w:cstheme="minorHAnsi"/>
        </w:rPr>
        <w:t>Rozdiel v nákladoch systému EMS uvedených v oficiálnych správach správcu a prevádzkovateľa systému je za 9 rokov prevádzky približne 50 mil. € (6% z kumulovaných nákladov rokov 2010 -2018) a v priemere 5,5 mil. € ročne (</w:t>
      </w:r>
      <w:r w:rsidR="00C40D3F">
        <w:fldChar w:fldCharType="begin"/>
      </w:r>
      <w:r w:rsidR="00C40D3F">
        <w:instrText xml:space="preserve"> REF _Ref19828704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6</w:t>
      </w:r>
      <w:r w:rsidR="00C40D3F">
        <w:fldChar w:fldCharType="end"/>
      </w:r>
      <w:r w:rsidRPr="004C1013">
        <w:rPr>
          <w:rFonts w:asciiTheme="minorHAnsi" w:hAnsiTheme="minorHAnsi" w:cstheme="minorHAnsi"/>
        </w:rPr>
        <w:t xml:space="preserve">). </w:t>
      </w:r>
      <w:r w:rsidR="00AD134B" w:rsidRPr="00551187">
        <w:rPr>
          <w:rFonts w:asciiTheme="minorHAnsi" w:hAnsiTheme="minorHAnsi" w:cstheme="minorHAnsi"/>
        </w:rPr>
        <w:t xml:space="preserve">Aj napriek </w:t>
      </w:r>
      <w:r w:rsidR="00551187" w:rsidRPr="00551187">
        <w:rPr>
          <w:rFonts w:asciiTheme="minorHAnsi" w:hAnsiTheme="minorHAnsi" w:cstheme="minorHAnsi"/>
        </w:rPr>
        <w:t xml:space="preserve">týmto </w:t>
      </w:r>
      <w:r w:rsidR="00AD134B" w:rsidRPr="00551187">
        <w:rPr>
          <w:rFonts w:asciiTheme="minorHAnsi" w:hAnsiTheme="minorHAnsi" w:cstheme="minorHAnsi"/>
        </w:rPr>
        <w:t xml:space="preserve">relatívne nízkym rozdielom </w:t>
      </w:r>
      <w:r w:rsidR="00551187">
        <w:rPr>
          <w:rFonts w:asciiTheme="minorHAnsi" w:hAnsiTheme="minorHAnsi" w:cstheme="minorHAnsi"/>
        </w:rPr>
        <w:t xml:space="preserve">sú v rámci komparatívnej analýzy využité údaje obidvoch spoločností pre účely variantného vyjadrenia efektívnosti slovenského EMS </w:t>
      </w:r>
      <w:r w:rsidR="00551187" w:rsidRPr="004C1013">
        <w:t>(</w:t>
      </w:r>
      <w:r w:rsidR="00C40D3F">
        <w:fldChar w:fldCharType="begin"/>
      </w:r>
      <w:r w:rsidR="00C40D3F">
        <w:instrText xml:space="preserve"> REF _Ref20213570 \h  \* MERGEFORMAT </w:instrText>
      </w:r>
      <w:r w:rsidR="00C40D3F">
        <w:fldChar w:fldCharType="separate"/>
      </w:r>
      <w:r w:rsidR="001E4C1C" w:rsidRPr="004C1013">
        <w:t xml:space="preserve">Tab.  </w:t>
      </w:r>
      <w:r w:rsidR="001E4C1C">
        <w:rPr>
          <w:noProof/>
        </w:rPr>
        <w:t>1</w:t>
      </w:r>
      <w:r w:rsidR="001E4C1C">
        <w:rPr>
          <w:noProof/>
        </w:rPr>
        <w:noBreakHyphen/>
        <w:t>8</w:t>
      </w:r>
      <w:r w:rsidR="00C40D3F">
        <w:fldChar w:fldCharType="end"/>
      </w:r>
      <w:r w:rsidR="00551187" w:rsidRPr="004C1013">
        <w:t>)</w:t>
      </w:r>
      <w:r w:rsidR="00551187">
        <w:rPr>
          <w:rFonts w:asciiTheme="minorHAnsi" w:hAnsiTheme="minorHAnsi" w:cstheme="minorHAnsi"/>
        </w:rPr>
        <w:t xml:space="preserve">. </w:t>
      </w:r>
    </w:p>
    <w:p w:rsidR="00E47B23" w:rsidRDefault="00E47B23" w:rsidP="006B1C25">
      <w:pPr>
        <w:pStyle w:val="tabstyl"/>
      </w:pPr>
      <w:bookmarkStart w:id="49" w:name="_Ref20213570"/>
    </w:p>
    <w:p w:rsidR="0025522E" w:rsidRPr="004C1013" w:rsidRDefault="0025522E" w:rsidP="006B1C25">
      <w:pPr>
        <w:pStyle w:val="tabstyl"/>
      </w:pPr>
      <w:bookmarkStart w:id="50" w:name="_Toc36664450"/>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8</w:t>
      </w:r>
      <w:r w:rsidR="00C40D3F">
        <w:rPr>
          <w:noProof/>
        </w:rPr>
        <w:fldChar w:fldCharType="end"/>
      </w:r>
      <w:bookmarkEnd w:id="49"/>
      <w:r w:rsidRPr="004C1013">
        <w:t xml:space="preserve"> </w:t>
      </w:r>
      <w:r w:rsidRPr="004C1013">
        <w:tab/>
        <w:t>Slovensko: ETC indikátor 4. Náklady</w:t>
      </w:r>
      <w:bookmarkEnd w:id="50"/>
      <w:r w:rsidRPr="004C1013">
        <w:t xml:space="preserve"> </w:t>
      </w:r>
    </w:p>
    <w:tbl>
      <w:tblPr>
        <w:tblStyle w:val="tabulkaVUD"/>
        <w:tblW w:w="5000" w:type="pct"/>
        <w:tblLook w:val="04A0" w:firstRow="1" w:lastRow="0" w:firstColumn="1" w:lastColumn="0" w:noHBand="0" w:noVBand="1"/>
      </w:tblPr>
      <w:tblGrid>
        <w:gridCol w:w="2257"/>
        <w:gridCol w:w="2048"/>
        <w:gridCol w:w="2439"/>
        <w:gridCol w:w="11"/>
        <w:gridCol w:w="2648"/>
        <w:gridCol w:w="8"/>
      </w:tblGrid>
      <w:tr w:rsidR="0025522E" w:rsidRPr="004C1013" w:rsidTr="00404B50">
        <w:trPr>
          <w:gridAfter w:val="1"/>
          <w:cnfStyle w:val="100000000000" w:firstRow="1" w:lastRow="0" w:firstColumn="0" w:lastColumn="0" w:oddVBand="0" w:evenVBand="0" w:oddHBand="0" w:evenHBand="0" w:firstRowFirstColumn="0" w:firstRowLastColumn="0" w:lastRowFirstColumn="0" w:lastRowLastColumn="0"/>
          <w:wAfter w:w="5" w:type="pct"/>
          <w:trHeight w:val="499"/>
          <w:tblHeader/>
        </w:trPr>
        <w:tc>
          <w:tcPr>
            <w:tcW w:w="1199"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1088" w:type="pct"/>
            <w:vMerge w:val="restart"/>
            <w:hideMark/>
          </w:tcPr>
          <w:p w:rsidR="0025522E" w:rsidRPr="004C1013" w:rsidRDefault="0025522E" w:rsidP="009D58D5">
            <w:pPr>
              <w:pStyle w:val="zahltab"/>
            </w:pPr>
            <w:r w:rsidRPr="004C1013">
              <w:t>Rok prevádzky</w:t>
            </w:r>
          </w:p>
        </w:tc>
        <w:tc>
          <w:tcPr>
            <w:tcW w:w="2709" w:type="pct"/>
            <w:gridSpan w:val="3"/>
          </w:tcPr>
          <w:p w:rsidR="0025522E" w:rsidRPr="004C1013" w:rsidRDefault="0025522E" w:rsidP="009D58D5">
            <w:pPr>
              <w:pStyle w:val="zahltab"/>
            </w:pPr>
            <w:r w:rsidRPr="004C1013">
              <w:t>Náklady (mil. €)</w:t>
            </w:r>
          </w:p>
        </w:tc>
      </w:tr>
      <w:tr w:rsidR="0025522E" w:rsidRPr="004C1013" w:rsidTr="00404B50">
        <w:trPr>
          <w:gridAfter w:val="1"/>
          <w:cnfStyle w:val="100000000000" w:firstRow="1" w:lastRow="0" w:firstColumn="0" w:lastColumn="0" w:oddVBand="0" w:evenVBand="0" w:oddHBand="0" w:evenHBand="0" w:firstRowFirstColumn="0" w:firstRowLastColumn="0" w:lastRowFirstColumn="0" w:lastRowLastColumn="0"/>
          <w:wAfter w:w="5" w:type="pct"/>
          <w:trHeight w:val="381"/>
          <w:tblHeader/>
        </w:trPr>
        <w:tc>
          <w:tcPr>
            <w:tcW w:w="1199" w:type="pct"/>
            <w:vMerge/>
            <w:shd w:val="clear" w:color="auto" w:fill="7F7F7F" w:themeFill="text1" w:themeFillTint="80"/>
            <w:hideMark/>
          </w:tcPr>
          <w:p w:rsidR="0025522E" w:rsidRPr="004C1013" w:rsidRDefault="0025522E" w:rsidP="009D58D5">
            <w:pPr>
              <w:pStyle w:val="zahltab"/>
            </w:pPr>
          </w:p>
        </w:tc>
        <w:tc>
          <w:tcPr>
            <w:tcW w:w="1088" w:type="pct"/>
            <w:vMerge/>
            <w:hideMark/>
          </w:tcPr>
          <w:p w:rsidR="0025522E" w:rsidRPr="004C1013" w:rsidRDefault="0025522E" w:rsidP="009D58D5">
            <w:pPr>
              <w:pStyle w:val="zahltab"/>
            </w:pPr>
          </w:p>
        </w:tc>
        <w:tc>
          <w:tcPr>
            <w:tcW w:w="1296" w:type="pct"/>
          </w:tcPr>
          <w:p w:rsidR="0025522E" w:rsidRPr="004C1013" w:rsidRDefault="0025522E" w:rsidP="009D58D5">
            <w:pPr>
              <w:pStyle w:val="zahltab"/>
              <w:rPr>
                <w:bCs/>
              </w:rPr>
            </w:pPr>
            <w:r w:rsidRPr="004C1013">
              <w:t>SkyToll, a.s. [3]</w:t>
            </w:r>
          </w:p>
        </w:tc>
        <w:tc>
          <w:tcPr>
            <w:tcW w:w="1413" w:type="pct"/>
            <w:gridSpan w:val="2"/>
          </w:tcPr>
          <w:p w:rsidR="0025522E" w:rsidRPr="004C1013" w:rsidRDefault="0025522E" w:rsidP="009D58D5">
            <w:pPr>
              <w:pStyle w:val="zahltab"/>
            </w:pPr>
            <w:r w:rsidRPr="004C1013">
              <w:t>NDS, a.s. [5], [6]</w:t>
            </w:r>
          </w:p>
        </w:tc>
      </w:tr>
      <w:tr w:rsidR="0025522E" w:rsidRPr="004C1013" w:rsidTr="00404B50">
        <w:trPr>
          <w:trHeight w:val="283"/>
        </w:trPr>
        <w:tc>
          <w:tcPr>
            <w:tcW w:w="1199" w:type="pct"/>
            <w:hideMark/>
          </w:tcPr>
          <w:p w:rsidR="0025522E" w:rsidRPr="004C1013" w:rsidRDefault="0025522E" w:rsidP="0025522E">
            <w:pPr>
              <w:pStyle w:val="tabbielystyl"/>
            </w:pPr>
            <w:r w:rsidRPr="004C1013">
              <w:t>2010</w:t>
            </w:r>
          </w:p>
        </w:tc>
        <w:tc>
          <w:tcPr>
            <w:tcW w:w="1088" w:type="pct"/>
            <w:hideMark/>
          </w:tcPr>
          <w:p w:rsidR="0025522E" w:rsidRPr="004C1013" w:rsidRDefault="0025522E" w:rsidP="0025522E">
            <w:pPr>
              <w:pStyle w:val="tabbielystyl"/>
            </w:pPr>
            <w:r w:rsidRPr="004C1013">
              <w:t>1.</w:t>
            </w:r>
          </w:p>
        </w:tc>
        <w:tc>
          <w:tcPr>
            <w:tcW w:w="1302" w:type="pct"/>
            <w:gridSpan w:val="2"/>
          </w:tcPr>
          <w:p w:rsidR="0025522E" w:rsidRPr="004C1013" w:rsidRDefault="0025522E" w:rsidP="0025522E">
            <w:pPr>
              <w:pStyle w:val="tabbielystyl"/>
            </w:pPr>
            <w:r w:rsidRPr="004C1013">
              <w:t>98,04</w:t>
            </w:r>
          </w:p>
        </w:tc>
        <w:tc>
          <w:tcPr>
            <w:tcW w:w="1412" w:type="pct"/>
            <w:gridSpan w:val="2"/>
          </w:tcPr>
          <w:p w:rsidR="0025522E" w:rsidRPr="004C1013" w:rsidRDefault="0025522E" w:rsidP="0025522E">
            <w:pPr>
              <w:pStyle w:val="tabbielystyl"/>
            </w:pPr>
            <w:r w:rsidRPr="004C1013">
              <w:t>106,41</w:t>
            </w:r>
          </w:p>
        </w:tc>
      </w:tr>
      <w:tr w:rsidR="0025522E" w:rsidRPr="004C1013" w:rsidTr="00404B50">
        <w:trPr>
          <w:trHeight w:val="283"/>
        </w:trPr>
        <w:tc>
          <w:tcPr>
            <w:tcW w:w="1199" w:type="pct"/>
            <w:hideMark/>
          </w:tcPr>
          <w:p w:rsidR="0025522E" w:rsidRPr="004C1013" w:rsidRDefault="0025522E" w:rsidP="0025522E">
            <w:pPr>
              <w:pStyle w:val="tabbielystyl"/>
            </w:pPr>
            <w:r w:rsidRPr="004C1013">
              <w:t>2011</w:t>
            </w:r>
          </w:p>
        </w:tc>
        <w:tc>
          <w:tcPr>
            <w:tcW w:w="1088" w:type="pct"/>
            <w:hideMark/>
          </w:tcPr>
          <w:p w:rsidR="0025522E" w:rsidRPr="004C1013" w:rsidRDefault="0025522E" w:rsidP="0025522E">
            <w:pPr>
              <w:pStyle w:val="tabbielystyl"/>
            </w:pPr>
            <w:r w:rsidRPr="004C1013">
              <w:t>2.</w:t>
            </w:r>
          </w:p>
        </w:tc>
        <w:tc>
          <w:tcPr>
            <w:tcW w:w="1302" w:type="pct"/>
            <w:gridSpan w:val="2"/>
          </w:tcPr>
          <w:p w:rsidR="0025522E" w:rsidRPr="004C1013" w:rsidRDefault="0025522E" w:rsidP="0025522E">
            <w:pPr>
              <w:pStyle w:val="tabbielystyl"/>
            </w:pPr>
            <w:r w:rsidRPr="004C1013">
              <w:t>100,53</w:t>
            </w:r>
          </w:p>
        </w:tc>
        <w:tc>
          <w:tcPr>
            <w:tcW w:w="1412" w:type="pct"/>
            <w:gridSpan w:val="2"/>
          </w:tcPr>
          <w:p w:rsidR="0025522E" w:rsidRPr="004C1013" w:rsidRDefault="0025522E" w:rsidP="0025522E">
            <w:pPr>
              <w:pStyle w:val="tabbielystyl"/>
            </w:pPr>
            <w:r w:rsidRPr="004C1013">
              <w:t>102,58</w:t>
            </w:r>
          </w:p>
        </w:tc>
      </w:tr>
      <w:tr w:rsidR="0025522E" w:rsidRPr="004C1013" w:rsidTr="00404B50">
        <w:trPr>
          <w:trHeight w:val="283"/>
        </w:trPr>
        <w:tc>
          <w:tcPr>
            <w:tcW w:w="1199" w:type="pct"/>
            <w:hideMark/>
          </w:tcPr>
          <w:p w:rsidR="0025522E" w:rsidRPr="004C1013" w:rsidRDefault="0025522E" w:rsidP="0025522E">
            <w:pPr>
              <w:pStyle w:val="tabbielystyl"/>
            </w:pPr>
            <w:r w:rsidRPr="004C1013">
              <w:t>2012</w:t>
            </w:r>
          </w:p>
        </w:tc>
        <w:tc>
          <w:tcPr>
            <w:tcW w:w="1088" w:type="pct"/>
            <w:hideMark/>
          </w:tcPr>
          <w:p w:rsidR="0025522E" w:rsidRPr="004C1013" w:rsidRDefault="0025522E" w:rsidP="0025522E">
            <w:pPr>
              <w:pStyle w:val="tabbielystyl"/>
            </w:pPr>
            <w:r w:rsidRPr="004C1013">
              <w:t>3.</w:t>
            </w:r>
          </w:p>
        </w:tc>
        <w:tc>
          <w:tcPr>
            <w:tcW w:w="1302" w:type="pct"/>
            <w:gridSpan w:val="2"/>
          </w:tcPr>
          <w:p w:rsidR="0025522E" w:rsidRPr="004C1013" w:rsidRDefault="0025522E" w:rsidP="0025522E">
            <w:pPr>
              <w:pStyle w:val="tabbielystyl"/>
            </w:pPr>
            <w:r w:rsidRPr="004C1013">
              <w:t>115,57</w:t>
            </w:r>
          </w:p>
        </w:tc>
        <w:tc>
          <w:tcPr>
            <w:tcW w:w="1412" w:type="pct"/>
            <w:gridSpan w:val="2"/>
          </w:tcPr>
          <w:p w:rsidR="0025522E" w:rsidRPr="004C1013" w:rsidRDefault="0025522E" w:rsidP="0025522E">
            <w:pPr>
              <w:pStyle w:val="tabbielystyl"/>
            </w:pPr>
            <w:r w:rsidRPr="004C1013">
              <w:t>70,21</w:t>
            </w:r>
          </w:p>
        </w:tc>
      </w:tr>
      <w:tr w:rsidR="0025522E" w:rsidRPr="004C1013" w:rsidTr="00404B50">
        <w:trPr>
          <w:trHeight w:val="283"/>
        </w:trPr>
        <w:tc>
          <w:tcPr>
            <w:tcW w:w="1199" w:type="pct"/>
            <w:hideMark/>
          </w:tcPr>
          <w:p w:rsidR="0025522E" w:rsidRPr="004C1013" w:rsidRDefault="0025522E" w:rsidP="0025522E">
            <w:pPr>
              <w:pStyle w:val="tabbielystyl"/>
            </w:pPr>
            <w:r w:rsidRPr="004C1013">
              <w:t>2013</w:t>
            </w:r>
          </w:p>
        </w:tc>
        <w:tc>
          <w:tcPr>
            <w:tcW w:w="1088" w:type="pct"/>
            <w:hideMark/>
          </w:tcPr>
          <w:p w:rsidR="0025522E" w:rsidRPr="004C1013" w:rsidRDefault="0025522E" w:rsidP="0025522E">
            <w:pPr>
              <w:pStyle w:val="tabbielystyl"/>
            </w:pPr>
            <w:r w:rsidRPr="004C1013">
              <w:t>4.</w:t>
            </w:r>
          </w:p>
        </w:tc>
        <w:tc>
          <w:tcPr>
            <w:tcW w:w="1302" w:type="pct"/>
            <w:gridSpan w:val="2"/>
          </w:tcPr>
          <w:p w:rsidR="0025522E" w:rsidRPr="004C1013" w:rsidRDefault="0025522E" w:rsidP="0025522E">
            <w:pPr>
              <w:pStyle w:val="tabbielystyl"/>
            </w:pPr>
            <w:r w:rsidRPr="004C1013">
              <w:t>122,00</w:t>
            </w:r>
          </w:p>
        </w:tc>
        <w:tc>
          <w:tcPr>
            <w:tcW w:w="1412" w:type="pct"/>
            <w:gridSpan w:val="2"/>
          </w:tcPr>
          <w:p w:rsidR="0025522E" w:rsidRPr="004C1013" w:rsidRDefault="0025522E" w:rsidP="0025522E">
            <w:pPr>
              <w:pStyle w:val="tabbielystyl"/>
            </w:pPr>
            <w:r w:rsidRPr="004C1013">
              <w:t>76,12</w:t>
            </w:r>
          </w:p>
        </w:tc>
      </w:tr>
      <w:tr w:rsidR="0025522E" w:rsidRPr="004C1013" w:rsidTr="00404B50">
        <w:trPr>
          <w:trHeight w:val="283"/>
        </w:trPr>
        <w:tc>
          <w:tcPr>
            <w:tcW w:w="1199" w:type="pct"/>
            <w:hideMark/>
          </w:tcPr>
          <w:p w:rsidR="0025522E" w:rsidRPr="004C1013" w:rsidRDefault="0025522E" w:rsidP="0025522E">
            <w:pPr>
              <w:pStyle w:val="tabbielystyl"/>
            </w:pPr>
            <w:r w:rsidRPr="004C1013">
              <w:t>2014</w:t>
            </w:r>
          </w:p>
        </w:tc>
        <w:tc>
          <w:tcPr>
            <w:tcW w:w="1088" w:type="pct"/>
            <w:hideMark/>
          </w:tcPr>
          <w:p w:rsidR="0025522E" w:rsidRPr="004C1013" w:rsidRDefault="0025522E" w:rsidP="0025522E">
            <w:pPr>
              <w:pStyle w:val="tabbielystyl"/>
            </w:pPr>
            <w:r w:rsidRPr="004C1013">
              <w:t>5.</w:t>
            </w:r>
          </w:p>
        </w:tc>
        <w:tc>
          <w:tcPr>
            <w:tcW w:w="1302" w:type="pct"/>
            <w:gridSpan w:val="2"/>
          </w:tcPr>
          <w:p w:rsidR="0025522E" w:rsidRPr="004C1013" w:rsidRDefault="0025522E" w:rsidP="0025522E">
            <w:pPr>
              <w:pStyle w:val="tabbielystyl"/>
            </w:pPr>
            <w:r w:rsidRPr="004C1013">
              <w:t>70,91</w:t>
            </w:r>
          </w:p>
        </w:tc>
        <w:tc>
          <w:tcPr>
            <w:tcW w:w="1412" w:type="pct"/>
            <w:gridSpan w:val="2"/>
          </w:tcPr>
          <w:p w:rsidR="0025522E" w:rsidRPr="004C1013" w:rsidRDefault="0025522E" w:rsidP="0025522E">
            <w:pPr>
              <w:pStyle w:val="tabbielystyl"/>
            </w:pPr>
            <w:r w:rsidRPr="004C1013">
              <w:t>79,16</w:t>
            </w:r>
          </w:p>
        </w:tc>
      </w:tr>
      <w:tr w:rsidR="0025522E" w:rsidRPr="004C1013" w:rsidTr="00404B50">
        <w:trPr>
          <w:trHeight w:val="283"/>
        </w:trPr>
        <w:tc>
          <w:tcPr>
            <w:tcW w:w="1199" w:type="pct"/>
            <w:hideMark/>
          </w:tcPr>
          <w:p w:rsidR="0025522E" w:rsidRPr="004C1013" w:rsidRDefault="0025522E" w:rsidP="0025522E">
            <w:pPr>
              <w:pStyle w:val="tabbielystyl"/>
            </w:pPr>
            <w:r w:rsidRPr="004C1013">
              <w:t>2015</w:t>
            </w:r>
          </w:p>
        </w:tc>
        <w:tc>
          <w:tcPr>
            <w:tcW w:w="1088" w:type="pct"/>
            <w:hideMark/>
          </w:tcPr>
          <w:p w:rsidR="0025522E" w:rsidRPr="004C1013" w:rsidRDefault="0025522E" w:rsidP="0025522E">
            <w:pPr>
              <w:pStyle w:val="tabbielystyl"/>
            </w:pPr>
            <w:r w:rsidRPr="004C1013">
              <w:t>6.</w:t>
            </w:r>
          </w:p>
        </w:tc>
        <w:tc>
          <w:tcPr>
            <w:tcW w:w="1302" w:type="pct"/>
            <w:gridSpan w:val="2"/>
          </w:tcPr>
          <w:p w:rsidR="0025522E" w:rsidRPr="004C1013" w:rsidRDefault="0025522E" w:rsidP="0025522E">
            <w:pPr>
              <w:pStyle w:val="tabbielystyl"/>
            </w:pPr>
            <w:r w:rsidRPr="004C1013">
              <w:t>70,58</w:t>
            </w:r>
          </w:p>
        </w:tc>
        <w:tc>
          <w:tcPr>
            <w:tcW w:w="1412" w:type="pct"/>
            <w:gridSpan w:val="2"/>
          </w:tcPr>
          <w:p w:rsidR="0025522E" w:rsidRPr="004C1013" w:rsidRDefault="0025522E" w:rsidP="0025522E">
            <w:pPr>
              <w:pStyle w:val="tabbielystyl"/>
            </w:pPr>
            <w:r w:rsidRPr="004C1013">
              <w:t>99,54</w:t>
            </w:r>
          </w:p>
        </w:tc>
      </w:tr>
      <w:tr w:rsidR="0025522E" w:rsidRPr="004C1013" w:rsidTr="00404B50">
        <w:trPr>
          <w:trHeight w:val="283"/>
        </w:trPr>
        <w:tc>
          <w:tcPr>
            <w:tcW w:w="1199" w:type="pct"/>
            <w:hideMark/>
          </w:tcPr>
          <w:p w:rsidR="0025522E" w:rsidRPr="004C1013" w:rsidRDefault="0025522E" w:rsidP="0025522E">
            <w:pPr>
              <w:pStyle w:val="tabbielystyl"/>
            </w:pPr>
            <w:r w:rsidRPr="004C1013">
              <w:t>2016</w:t>
            </w:r>
          </w:p>
        </w:tc>
        <w:tc>
          <w:tcPr>
            <w:tcW w:w="1088" w:type="pct"/>
            <w:hideMark/>
          </w:tcPr>
          <w:p w:rsidR="0025522E" w:rsidRPr="004C1013" w:rsidRDefault="0025522E" w:rsidP="0025522E">
            <w:pPr>
              <w:pStyle w:val="tabbielystyl"/>
            </w:pPr>
            <w:r w:rsidRPr="004C1013">
              <w:t>7.</w:t>
            </w:r>
          </w:p>
        </w:tc>
        <w:tc>
          <w:tcPr>
            <w:tcW w:w="1302" w:type="pct"/>
            <w:gridSpan w:val="2"/>
          </w:tcPr>
          <w:p w:rsidR="0025522E" w:rsidRPr="004C1013" w:rsidRDefault="0025522E" w:rsidP="0025522E">
            <w:pPr>
              <w:pStyle w:val="tabbielystyl"/>
            </w:pPr>
            <w:r w:rsidRPr="004C1013">
              <w:t>72,08</w:t>
            </w:r>
          </w:p>
        </w:tc>
        <w:tc>
          <w:tcPr>
            <w:tcW w:w="1412" w:type="pct"/>
            <w:gridSpan w:val="2"/>
          </w:tcPr>
          <w:p w:rsidR="0025522E" w:rsidRPr="004C1013" w:rsidRDefault="0025522E" w:rsidP="0025522E">
            <w:pPr>
              <w:pStyle w:val="tabbielystyl"/>
            </w:pPr>
            <w:r w:rsidRPr="004C1013">
              <w:t>101,12</w:t>
            </w:r>
          </w:p>
        </w:tc>
      </w:tr>
      <w:tr w:rsidR="0025522E" w:rsidRPr="004C1013" w:rsidTr="00404B50">
        <w:trPr>
          <w:trHeight w:val="283"/>
        </w:trPr>
        <w:tc>
          <w:tcPr>
            <w:tcW w:w="1199" w:type="pct"/>
            <w:hideMark/>
          </w:tcPr>
          <w:p w:rsidR="0025522E" w:rsidRPr="004C1013" w:rsidRDefault="0025522E" w:rsidP="0025522E">
            <w:pPr>
              <w:pStyle w:val="tabbielystyl"/>
            </w:pPr>
            <w:r w:rsidRPr="004C1013">
              <w:t>2017</w:t>
            </w:r>
          </w:p>
        </w:tc>
        <w:tc>
          <w:tcPr>
            <w:tcW w:w="1088" w:type="pct"/>
            <w:hideMark/>
          </w:tcPr>
          <w:p w:rsidR="0025522E" w:rsidRPr="004C1013" w:rsidRDefault="0025522E" w:rsidP="0025522E">
            <w:pPr>
              <w:pStyle w:val="tabbielystyl"/>
            </w:pPr>
            <w:r w:rsidRPr="004C1013">
              <w:t>8.</w:t>
            </w:r>
          </w:p>
        </w:tc>
        <w:tc>
          <w:tcPr>
            <w:tcW w:w="1302" w:type="pct"/>
            <w:gridSpan w:val="2"/>
          </w:tcPr>
          <w:p w:rsidR="0025522E" w:rsidRPr="004C1013" w:rsidRDefault="0025522E" w:rsidP="0025522E">
            <w:pPr>
              <w:pStyle w:val="tabbielystyl"/>
            </w:pPr>
            <w:r w:rsidRPr="004C1013">
              <w:t>70,16</w:t>
            </w:r>
          </w:p>
        </w:tc>
        <w:tc>
          <w:tcPr>
            <w:tcW w:w="1412" w:type="pct"/>
            <w:gridSpan w:val="2"/>
          </w:tcPr>
          <w:p w:rsidR="0025522E" w:rsidRPr="004C1013" w:rsidRDefault="0025522E" w:rsidP="0025522E">
            <w:pPr>
              <w:pStyle w:val="tabbielystyl"/>
            </w:pPr>
            <w:r w:rsidRPr="004C1013">
              <w:t>102,01</w:t>
            </w:r>
          </w:p>
        </w:tc>
      </w:tr>
      <w:tr w:rsidR="0025522E" w:rsidRPr="004C1013" w:rsidTr="00404B50">
        <w:trPr>
          <w:trHeight w:val="283"/>
        </w:trPr>
        <w:tc>
          <w:tcPr>
            <w:tcW w:w="1199" w:type="pct"/>
            <w:hideMark/>
          </w:tcPr>
          <w:p w:rsidR="0025522E" w:rsidRPr="004C1013" w:rsidRDefault="0025522E" w:rsidP="0025522E">
            <w:pPr>
              <w:pStyle w:val="tabbielystyl"/>
            </w:pPr>
            <w:r w:rsidRPr="004C1013">
              <w:t>2018</w:t>
            </w:r>
          </w:p>
        </w:tc>
        <w:tc>
          <w:tcPr>
            <w:tcW w:w="1088" w:type="pct"/>
            <w:hideMark/>
          </w:tcPr>
          <w:p w:rsidR="0025522E" w:rsidRPr="004C1013" w:rsidRDefault="0025522E" w:rsidP="0025522E">
            <w:pPr>
              <w:pStyle w:val="tabbielystyl"/>
            </w:pPr>
            <w:r w:rsidRPr="004C1013">
              <w:t>9.</w:t>
            </w:r>
          </w:p>
        </w:tc>
        <w:tc>
          <w:tcPr>
            <w:tcW w:w="1302" w:type="pct"/>
            <w:gridSpan w:val="2"/>
          </w:tcPr>
          <w:p w:rsidR="0025522E" w:rsidRPr="004C1013" w:rsidRDefault="0025522E" w:rsidP="0025522E">
            <w:pPr>
              <w:pStyle w:val="tabbielystyl"/>
            </w:pPr>
            <w:r w:rsidRPr="004C1013">
              <w:t>71,76</w:t>
            </w:r>
          </w:p>
        </w:tc>
        <w:tc>
          <w:tcPr>
            <w:tcW w:w="1412" w:type="pct"/>
            <w:gridSpan w:val="2"/>
          </w:tcPr>
          <w:p w:rsidR="0025522E" w:rsidRPr="004C1013" w:rsidRDefault="0025522E" w:rsidP="0025522E">
            <w:pPr>
              <w:pStyle w:val="tabbielystyl"/>
            </w:pPr>
            <w:r w:rsidRPr="004C1013">
              <w:t>104,25</w:t>
            </w:r>
          </w:p>
        </w:tc>
      </w:tr>
      <w:tr w:rsidR="0025522E" w:rsidRPr="004C1013" w:rsidTr="00404B50">
        <w:trPr>
          <w:trHeight w:val="283"/>
        </w:trPr>
        <w:tc>
          <w:tcPr>
            <w:tcW w:w="2287"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302" w:type="pct"/>
            <w:gridSpan w:val="2"/>
            <w:shd w:val="clear" w:color="auto" w:fill="7F7F7F" w:themeFill="text1" w:themeFillTint="80"/>
          </w:tcPr>
          <w:p w:rsidR="0025522E" w:rsidRPr="004C1013" w:rsidRDefault="0025522E" w:rsidP="0025522E">
            <w:pPr>
              <w:pStyle w:val="tabukasivystyl"/>
            </w:pPr>
            <w:r w:rsidRPr="004C1013">
              <w:t>791,63</w:t>
            </w:r>
          </w:p>
        </w:tc>
        <w:tc>
          <w:tcPr>
            <w:tcW w:w="1412" w:type="pct"/>
            <w:gridSpan w:val="2"/>
            <w:shd w:val="clear" w:color="auto" w:fill="7F7F7F" w:themeFill="text1" w:themeFillTint="80"/>
          </w:tcPr>
          <w:p w:rsidR="0025522E" w:rsidRPr="004C1013" w:rsidRDefault="0025522E" w:rsidP="0025522E">
            <w:pPr>
              <w:pStyle w:val="tabukasivystyl"/>
            </w:pPr>
            <w:r w:rsidRPr="004C1013">
              <w:t>841,39</w:t>
            </w:r>
          </w:p>
        </w:tc>
      </w:tr>
      <w:tr w:rsidR="0025522E" w:rsidRPr="004C1013" w:rsidTr="00404B50">
        <w:trPr>
          <w:trHeight w:val="283"/>
        </w:trPr>
        <w:tc>
          <w:tcPr>
            <w:tcW w:w="2287"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302" w:type="pct"/>
            <w:gridSpan w:val="2"/>
            <w:shd w:val="clear" w:color="auto" w:fill="7F7F7F" w:themeFill="text1" w:themeFillTint="80"/>
          </w:tcPr>
          <w:p w:rsidR="0025522E" w:rsidRPr="004C1013" w:rsidRDefault="0025522E" w:rsidP="0025522E">
            <w:pPr>
              <w:pStyle w:val="tabukasivystyl"/>
            </w:pPr>
            <w:r w:rsidRPr="004C1013">
              <w:t>87,96</w:t>
            </w:r>
          </w:p>
        </w:tc>
        <w:tc>
          <w:tcPr>
            <w:tcW w:w="1412" w:type="pct"/>
            <w:gridSpan w:val="2"/>
            <w:shd w:val="clear" w:color="auto" w:fill="7F7F7F" w:themeFill="text1" w:themeFillTint="80"/>
          </w:tcPr>
          <w:p w:rsidR="0025522E" w:rsidRPr="004C1013" w:rsidRDefault="0025522E" w:rsidP="0025522E">
            <w:pPr>
              <w:pStyle w:val="tabukasivystyl"/>
            </w:pPr>
            <w:r w:rsidRPr="004C1013">
              <w:t>93,49</w:t>
            </w:r>
          </w:p>
        </w:tc>
      </w:tr>
    </w:tbl>
    <w:p w:rsidR="0025522E" w:rsidRPr="004C1013" w:rsidRDefault="0025522E" w:rsidP="0025522E">
      <w:pPr>
        <w:pStyle w:val="Nadpis2"/>
        <w:rPr>
          <w:rFonts w:asciiTheme="minorHAnsi" w:hAnsiTheme="minorHAnsi" w:cstheme="minorHAnsi"/>
        </w:rPr>
      </w:pPr>
      <w:bookmarkStart w:id="51" w:name="_Toc20687923"/>
      <w:bookmarkStart w:id="52" w:name="_Toc36664366"/>
      <w:r w:rsidRPr="004C1013">
        <w:rPr>
          <w:rFonts w:asciiTheme="minorHAnsi" w:hAnsiTheme="minorHAnsi" w:cstheme="minorHAnsi"/>
        </w:rPr>
        <w:t>Nemecko</w:t>
      </w:r>
      <w:bookmarkEnd w:id="51"/>
      <w:bookmarkEnd w:id="52"/>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Spoločnosť Toll Collect bola spolkovou vládou poverená prevádzkovať systém mýta, ktorý vypočítava a vyberá poplatky podľa dĺžky použitého vymedzeného úseku ciest.</w:t>
      </w:r>
    </w:p>
    <w:p w:rsidR="0025522E"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Systém funguje ako satelitný s využitím GPS, GSM a DSRC technológií komunikácie. Na komunikáciu so systémom kontroly sa využíva aj infračervené rozhranie. </w:t>
      </w:r>
    </w:p>
    <w:p w:rsidR="000B36C4" w:rsidRDefault="00DF2C15" w:rsidP="0025522E">
      <w:pPr>
        <w:pStyle w:val="Normaltext"/>
        <w:spacing w:line="276" w:lineRule="auto"/>
        <w:rPr>
          <w:rFonts w:asciiTheme="minorHAnsi" w:hAnsiTheme="minorHAnsi" w:cstheme="minorHAnsi"/>
        </w:rPr>
      </w:pPr>
      <w:r>
        <w:rPr>
          <w:rFonts w:asciiTheme="minorHAnsi" w:hAnsiTheme="minorHAnsi" w:cstheme="minorHAnsi"/>
        </w:rPr>
        <w:t>Aktuálny p</w:t>
      </w:r>
      <w:r w:rsidR="000B36C4">
        <w:rPr>
          <w:rFonts w:asciiTheme="minorHAnsi" w:hAnsiTheme="minorHAnsi" w:cstheme="minorHAnsi"/>
        </w:rPr>
        <w:t xml:space="preserve">rávny základ výberu mýta </w:t>
      </w:r>
      <w:r>
        <w:rPr>
          <w:rFonts w:asciiTheme="minorHAnsi" w:hAnsiTheme="minorHAnsi" w:cstheme="minorHAnsi"/>
        </w:rPr>
        <w:t xml:space="preserve">v Nemecku </w:t>
      </w:r>
      <w:r w:rsidR="000B36C4">
        <w:rPr>
          <w:rFonts w:asciiTheme="minorHAnsi" w:hAnsiTheme="minorHAnsi" w:cstheme="minorHAnsi"/>
        </w:rPr>
        <w:t xml:space="preserve">tvorí </w:t>
      </w:r>
      <w:r>
        <w:rPr>
          <w:rFonts w:asciiTheme="minorHAnsi" w:hAnsiTheme="minorHAnsi" w:cstheme="minorHAnsi"/>
        </w:rPr>
        <w:t xml:space="preserve">nemecký spolkový zákon o cestnom mýte z júla 2011, nemecké nariadenie o mýte pre nákladné vozidlá </w:t>
      </w:r>
      <w:r w:rsidRPr="00DF2C15">
        <w:rPr>
          <w:rFonts w:asciiTheme="minorHAnsi" w:hAnsiTheme="minorHAnsi" w:cstheme="minorHAnsi"/>
        </w:rPr>
        <w:t>- LKW-Maut</w:t>
      </w:r>
      <w:r>
        <w:rPr>
          <w:rFonts w:asciiTheme="minorHAnsi" w:hAnsiTheme="minorHAnsi" w:cstheme="minorHAnsi"/>
        </w:rPr>
        <w:t xml:space="preserve"> z júna 2018, BAG prepravné predpisy z januára 2016 a predpisy o spoplatňovaní diaľnic z júla 2018. Väčšina právnych predpisov bola zmenená a aktualizovaná  koncom roku 2018. </w:t>
      </w:r>
    </w:p>
    <w:p w:rsidR="0025522E" w:rsidRPr="004C1013" w:rsidRDefault="0025522E" w:rsidP="0025522E">
      <w:pPr>
        <w:pStyle w:val="Nadpis3"/>
        <w:rPr>
          <w:rFonts w:asciiTheme="minorHAnsi" w:hAnsiTheme="minorHAnsi" w:cstheme="minorHAnsi"/>
        </w:rPr>
      </w:pPr>
      <w:bookmarkStart w:id="53" w:name="_Toc20687924"/>
      <w:bookmarkStart w:id="54" w:name="_Toc36664367"/>
      <w:r w:rsidRPr="004C1013">
        <w:rPr>
          <w:rFonts w:asciiTheme="minorHAnsi" w:hAnsiTheme="minorHAnsi" w:cstheme="minorHAnsi"/>
        </w:rPr>
        <w:t>Základné charakteristiky systému ETC</w:t>
      </w:r>
      <w:bookmarkEnd w:id="53"/>
      <w:bookmarkEnd w:id="54"/>
    </w:p>
    <w:p w:rsidR="0025522E" w:rsidRPr="004C1013" w:rsidRDefault="0025522E" w:rsidP="0025522E">
      <w:r w:rsidRPr="004C1013">
        <w:t xml:space="preserve">Systém ETC je v Nemecku prevádzkovaný od 1. januára 2005. </w:t>
      </w:r>
      <w:r w:rsidR="00551187">
        <w:t xml:space="preserve">Správcom systému je </w:t>
      </w:r>
      <w:r w:rsidR="001434A7" w:rsidRPr="001434A7">
        <w:t>Federálny úrad pre nákladnú dopravu (BAG)</w:t>
      </w:r>
      <w:r w:rsidR="001434A7">
        <w:t>, ktorý je</w:t>
      </w:r>
      <w:r w:rsidR="001434A7" w:rsidRPr="001434A7">
        <w:t xml:space="preserve"> nezávislým orgánom Spolkového ministerstva dopravy a </w:t>
      </w:r>
      <w:r w:rsidR="001434A7">
        <w:t xml:space="preserve">digitálnej infraštruktúry (BMVI). </w:t>
      </w:r>
      <w:r w:rsidR="001434A7" w:rsidRPr="001434A7">
        <w:t xml:space="preserve"> </w:t>
      </w:r>
      <w:r w:rsidRPr="004C1013">
        <w:t>Zmluva s</w:t>
      </w:r>
      <w:r w:rsidR="001434A7">
        <w:t xml:space="preserve"> prevádzkovateľom systému, </w:t>
      </w:r>
      <w:r w:rsidRPr="004C1013">
        <w:t xml:space="preserve"> spoločnosťou Toll Collect</w:t>
      </w:r>
      <w:r w:rsidR="001434A7">
        <w:t>,</w:t>
      </w:r>
      <w:r w:rsidRPr="004C1013">
        <w:t xml:space="preserve"> je stanovená na 15 rokov</w:t>
      </w:r>
      <w:r w:rsidR="001434A7">
        <w:t>.</w:t>
      </w:r>
      <w:r w:rsidRPr="004C1013">
        <w:t xml:space="preserve"> </w:t>
      </w:r>
    </w:p>
    <w:p w:rsidR="0025522E" w:rsidRPr="004C1013" w:rsidRDefault="0025522E" w:rsidP="006B1C25">
      <w:pPr>
        <w:pStyle w:val="tabstyl"/>
      </w:pPr>
      <w:bookmarkStart w:id="55" w:name="_Toc36664451"/>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9</w:t>
      </w:r>
      <w:r w:rsidR="00C40D3F">
        <w:rPr>
          <w:noProof/>
        </w:rPr>
        <w:fldChar w:fldCharType="end"/>
      </w:r>
      <w:r w:rsidRPr="004C1013">
        <w:tab/>
        <w:t>Prehľad základných charakteristík systému ETC v Nemecku</w:t>
      </w:r>
      <w:bookmarkEnd w:id="55"/>
    </w:p>
    <w:tbl>
      <w:tblPr>
        <w:tblStyle w:val="tabulkaVUD"/>
        <w:tblW w:w="5000" w:type="pct"/>
        <w:tblLook w:val="04A0" w:firstRow="1" w:lastRow="0" w:firstColumn="1" w:lastColumn="0" w:noHBand="0" w:noVBand="1"/>
      </w:tblPr>
      <w:tblGrid>
        <w:gridCol w:w="3288"/>
        <w:gridCol w:w="6123"/>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rPr>
        <w:tc>
          <w:tcPr>
            <w:tcW w:w="1747" w:type="pct"/>
            <w:shd w:val="clear" w:color="auto" w:fill="7F7F7F" w:themeFill="text1" w:themeFillTint="80"/>
            <w:hideMark/>
          </w:tcPr>
          <w:p w:rsidR="0025522E" w:rsidRPr="004C1013" w:rsidRDefault="0025522E" w:rsidP="0025522E">
            <w:pPr>
              <w:pStyle w:val="tabukasivystyl"/>
            </w:pPr>
            <w:r w:rsidRPr="004C1013">
              <w:t>Technológia</w:t>
            </w:r>
          </w:p>
        </w:tc>
        <w:tc>
          <w:tcPr>
            <w:tcW w:w="3253" w:type="pct"/>
            <w:shd w:val="clear" w:color="auto" w:fill="auto"/>
            <w:vAlign w:val="bottom"/>
            <w:hideMark/>
          </w:tcPr>
          <w:p w:rsidR="0025522E" w:rsidRPr="004C1013" w:rsidRDefault="0025522E" w:rsidP="0025522E">
            <w:pPr>
              <w:pStyle w:val="tabbielystyl"/>
            </w:pPr>
            <w:r w:rsidRPr="004C1013">
              <w:t>GPS/GSM</w:t>
            </w:r>
          </w:p>
        </w:tc>
      </w:tr>
      <w:tr w:rsidR="0025522E" w:rsidRPr="004C1013" w:rsidTr="00404B50">
        <w:trPr>
          <w:trHeight w:val="283"/>
        </w:trPr>
        <w:tc>
          <w:tcPr>
            <w:tcW w:w="1747" w:type="pct"/>
            <w:shd w:val="clear" w:color="auto" w:fill="7F7F7F" w:themeFill="text1" w:themeFillTint="80"/>
            <w:hideMark/>
          </w:tcPr>
          <w:p w:rsidR="0025522E" w:rsidRPr="004C1013" w:rsidRDefault="00AD134B" w:rsidP="0025522E">
            <w:pPr>
              <w:pStyle w:val="tabukasivystyl"/>
            </w:pPr>
            <w:r>
              <w:t>Správca systému</w:t>
            </w:r>
          </w:p>
        </w:tc>
        <w:tc>
          <w:tcPr>
            <w:tcW w:w="3253" w:type="pct"/>
            <w:vAlign w:val="bottom"/>
            <w:hideMark/>
          </w:tcPr>
          <w:p w:rsidR="0025522E" w:rsidRPr="004C1013" w:rsidRDefault="007476A6" w:rsidP="0025522E">
            <w:pPr>
              <w:pStyle w:val="tabbielystyl"/>
            </w:pPr>
            <w:r>
              <w:t>Federálny úrad pre nákladnú dopravu</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Prevádzkovateľ systému</w:t>
            </w:r>
          </w:p>
        </w:tc>
        <w:tc>
          <w:tcPr>
            <w:tcW w:w="3253" w:type="pct"/>
            <w:vAlign w:val="bottom"/>
            <w:hideMark/>
          </w:tcPr>
          <w:p w:rsidR="0025522E" w:rsidRPr="004C1013" w:rsidRDefault="0025522E" w:rsidP="0025522E">
            <w:pPr>
              <w:pStyle w:val="tabbielystyl"/>
            </w:pPr>
            <w:r w:rsidRPr="004C1013">
              <w:t>Toll Collect</w:t>
            </w:r>
            <w:r w:rsidR="00F949F2">
              <w:t xml:space="preserve"> </w:t>
            </w:r>
            <w:r w:rsidR="00F949F2" w:rsidRPr="00F949F2">
              <w:t>GmbH</w:t>
            </w:r>
            <w:r w:rsidRPr="004C1013">
              <w:t> </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Uvedenie do prevádzky</w:t>
            </w:r>
          </w:p>
        </w:tc>
        <w:tc>
          <w:tcPr>
            <w:tcW w:w="3253" w:type="pct"/>
            <w:vAlign w:val="bottom"/>
            <w:hideMark/>
          </w:tcPr>
          <w:p w:rsidR="0025522E" w:rsidRPr="004C1013" w:rsidRDefault="0025522E" w:rsidP="0025522E">
            <w:pPr>
              <w:pStyle w:val="tabbielystyl"/>
            </w:pPr>
            <w:r w:rsidRPr="004C1013">
              <w:t>1.1.2005</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Zmluvná doba prevádzky</w:t>
            </w:r>
          </w:p>
        </w:tc>
        <w:tc>
          <w:tcPr>
            <w:tcW w:w="3253" w:type="pct"/>
            <w:vAlign w:val="bottom"/>
            <w:hideMark/>
          </w:tcPr>
          <w:p w:rsidR="0025522E" w:rsidRPr="004C1013" w:rsidRDefault="0025522E" w:rsidP="0025522E">
            <w:pPr>
              <w:pStyle w:val="tabbielystyl"/>
            </w:pPr>
            <w:r w:rsidRPr="004C1013">
              <w:t>15</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lastRenderedPageBreak/>
              <w:t>Doba prevádzky k 31.12.2018  (roky)</w:t>
            </w:r>
          </w:p>
        </w:tc>
        <w:tc>
          <w:tcPr>
            <w:tcW w:w="3253" w:type="pct"/>
            <w:vAlign w:val="bottom"/>
            <w:hideMark/>
          </w:tcPr>
          <w:p w:rsidR="0025522E" w:rsidRPr="004C1013" w:rsidRDefault="0025522E" w:rsidP="0025522E">
            <w:pPr>
              <w:pStyle w:val="tabbielystyl"/>
            </w:pPr>
            <w:r w:rsidRPr="004C1013">
              <w:t>14</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Spoplatnené vozidlá (kategória)</w:t>
            </w:r>
          </w:p>
        </w:tc>
        <w:tc>
          <w:tcPr>
            <w:tcW w:w="3253" w:type="pct"/>
            <w:vAlign w:val="bottom"/>
            <w:hideMark/>
          </w:tcPr>
          <w:p w:rsidR="0025522E" w:rsidRPr="004C1013" w:rsidRDefault="0025522E" w:rsidP="0025522E">
            <w:pPr>
              <w:pStyle w:val="tabbielystyl"/>
            </w:pPr>
            <w:r w:rsidRPr="004C1013">
              <w:t xml:space="preserve">Trucks &gt;12t, od r. 2015 &gt;7,5t </w:t>
            </w:r>
          </w:p>
        </w:tc>
      </w:tr>
    </w:tbl>
    <w:p w:rsidR="0025522E" w:rsidRPr="004C1013" w:rsidRDefault="0025522E" w:rsidP="0025522E">
      <w:pPr>
        <w:pStyle w:val="Nadpis3"/>
        <w:rPr>
          <w:rFonts w:asciiTheme="minorHAnsi" w:hAnsiTheme="minorHAnsi" w:cstheme="minorHAnsi"/>
        </w:rPr>
      </w:pPr>
      <w:bookmarkStart w:id="56" w:name="_Toc20687925"/>
      <w:bookmarkStart w:id="57" w:name="_Toc36664368"/>
      <w:r w:rsidRPr="004C1013">
        <w:rPr>
          <w:rFonts w:asciiTheme="minorHAnsi" w:hAnsiTheme="minorHAnsi" w:cstheme="minorHAnsi"/>
        </w:rPr>
        <w:t>Sieť vymedzených úsekov ciest</w:t>
      </w:r>
      <w:bookmarkEnd w:id="56"/>
      <w:bookmarkEnd w:id="57"/>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Údaje o počte kilometrov vymedzených úsekoch ciest podliehajúcim výkonovému spoplatneniu nákladných vozidiel v Nemecku v jednotlivých rokoch prevádzky (2005-2018) boli získané zo štatistických bulletinov ASECAP [15], ASECAP národných reportov Nemecka [16]. Tieto čísla boli tiež overené na oficiálnych webových stránkach prevádzkovateľa systému TollCollect. </w:t>
      </w:r>
    </w:p>
    <w:p w:rsidR="0025522E"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Od 1. júla 2018 došlo v systéme elektronického výberu mýta k zásadným zmenám z hľadiska siete vymedzených úsekov ciest - jej rozšíreniu na všetky federálne cesty v rozsahu prevyšujúcom 50.000 km [13]. Do tohto obdobia boli mýtom zaťažené len federálne diaľnice v dĺžke približne 12.850 km a 2.350 km vnútroštátnych ciest, z toho 1.250 km spoplatnené od roku 2007/2012 a ďalších 1.100 km od roku 2015 [14]</w:t>
      </w:r>
      <w:r w:rsidR="00FF12B3">
        <w:rPr>
          <w:rFonts w:asciiTheme="minorHAnsi" w:hAnsiTheme="minorHAnsi" w:cstheme="minorHAnsi"/>
        </w:rPr>
        <w:t xml:space="preserve">. Na obrázku je zobrazená sieť spoplatnených úsekov ciest v Nemecku </w:t>
      </w:r>
      <w:r w:rsidR="008B29B3">
        <w:rPr>
          <w:rFonts w:asciiTheme="minorHAnsi" w:hAnsiTheme="minorHAnsi" w:cstheme="minorHAnsi"/>
        </w:rPr>
        <w:t xml:space="preserve">platná </w:t>
      </w:r>
      <w:r w:rsidR="00FF12B3">
        <w:rPr>
          <w:rFonts w:asciiTheme="minorHAnsi" w:hAnsiTheme="minorHAnsi" w:cstheme="minorHAnsi"/>
        </w:rPr>
        <w:t>k</w:t>
      </w:r>
      <w:r w:rsidR="008B29B3">
        <w:rPr>
          <w:rFonts w:asciiTheme="minorHAnsi" w:hAnsiTheme="minorHAnsi" w:cstheme="minorHAnsi"/>
        </w:rPr>
        <w:t> 1. júlu</w:t>
      </w:r>
      <w:r w:rsidR="00FF12B3">
        <w:rPr>
          <w:rFonts w:asciiTheme="minorHAnsi" w:hAnsiTheme="minorHAnsi" w:cstheme="minorHAnsi"/>
        </w:rPr>
        <w:t xml:space="preserve"> 2015</w:t>
      </w:r>
      <w:r w:rsidR="008B29B3">
        <w:rPr>
          <w:rFonts w:asciiTheme="minorHAnsi" w:hAnsiTheme="minorHAnsi" w:cstheme="minorHAnsi"/>
        </w:rPr>
        <w:t xml:space="preserve"> (</w:t>
      </w:r>
      <w:r w:rsidR="00AE5B8A">
        <w:rPr>
          <w:rFonts w:asciiTheme="minorHAnsi" w:hAnsiTheme="minorHAnsi" w:cstheme="minorHAnsi"/>
        </w:rPr>
        <w:fldChar w:fldCharType="begin"/>
      </w:r>
      <w:r w:rsidR="008B29B3">
        <w:rPr>
          <w:rFonts w:asciiTheme="minorHAnsi" w:hAnsiTheme="minorHAnsi" w:cstheme="minorHAnsi"/>
        </w:rPr>
        <w:instrText xml:space="preserve"> REF _Ref21200085 \h </w:instrText>
      </w:r>
      <w:r w:rsidR="00AE5B8A">
        <w:rPr>
          <w:rFonts w:asciiTheme="minorHAnsi" w:hAnsiTheme="minorHAnsi" w:cstheme="minorHAnsi"/>
        </w:rPr>
      </w:r>
      <w:r w:rsidR="00AE5B8A">
        <w:rPr>
          <w:rFonts w:asciiTheme="minorHAnsi" w:hAnsiTheme="minorHAnsi" w:cstheme="minorHAnsi"/>
        </w:rPr>
        <w:fldChar w:fldCharType="separate"/>
      </w:r>
      <w:r w:rsidR="001E4C1C" w:rsidRPr="004C1013">
        <w:t xml:space="preserve">Obr. </w:t>
      </w:r>
      <w:r w:rsidR="001E4C1C">
        <w:rPr>
          <w:noProof/>
        </w:rPr>
        <w:t>1</w:t>
      </w:r>
      <w:r w:rsidR="001E4C1C">
        <w:noBreakHyphen/>
      </w:r>
      <w:r w:rsidR="001E4C1C">
        <w:rPr>
          <w:noProof/>
        </w:rPr>
        <w:t>2</w:t>
      </w:r>
      <w:r w:rsidR="00AE5B8A">
        <w:rPr>
          <w:rFonts w:asciiTheme="minorHAnsi" w:hAnsiTheme="minorHAnsi" w:cstheme="minorHAnsi"/>
        </w:rPr>
        <w:fldChar w:fldCharType="end"/>
      </w:r>
      <w:r w:rsidR="008B29B3">
        <w:rPr>
          <w:rFonts w:asciiTheme="minorHAnsi" w:hAnsiTheme="minorHAnsi" w:cstheme="minorHAnsi"/>
        </w:rPr>
        <w:t xml:space="preserve">). Rozšírenie siete na 50.842 km v roku 2018 nie je z dôvodu skreslenia výsledkov v komparatívnej analýze systémov uvažované. </w:t>
      </w:r>
    </w:p>
    <w:p w:rsidR="00FF12B3" w:rsidRPr="004C1013" w:rsidRDefault="00FF12B3" w:rsidP="00FF12B3">
      <w:pPr>
        <w:pStyle w:val="Normaltext"/>
        <w:spacing w:line="276" w:lineRule="auto"/>
        <w:rPr>
          <w:rFonts w:asciiTheme="minorHAnsi" w:hAnsiTheme="minorHAnsi" w:cstheme="minorHAnsi"/>
        </w:rPr>
      </w:pPr>
      <w:r w:rsidRPr="004C1013">
        <w:rPr>
          <w:rFonts w:asciiTheme="minorHAnsi" w:hAnsiTheme="minorHAnsi" w:cstheme="minorHAnsi"/>
        </w:rPr>
        <w:t>Prehľad rozšírení spoplatnenej siete za jednotlivé rok prevádzky systému ETC je uvedený v nasledujúcej tabuľke (</w:t>
      </w:r>
      <w:r w:rsidR="00C40D3F">
        <w:fldChar w:fldCharType="begin"/>
      </w:r>
      <w:r w:rsidR="00C40D3F">
        <w:instrText xml:space="preserve"> REF _Ref20074252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10</w:t>
      </w:r>
      <w:r w:rsidR="00C40D3F">
        <w:fldChar w:fldCharType="end"/>
      </w:r>
      <w:r w:rsidRPr="004C1013">
        <w:rPr>
          <w:rFonts w:asciiTheme="minorHAnsi" w:hAnsiTheme="minorHAnsi" w:cstheme="minorHAnsi"/>
        </w:rPr>
        <w:t>)</w:t>
      </w:r>
    </w:p>
    <w:p w:rsidR="00FF12B3" w:rsidRPr="004C1013" w:rsidRDefault="00FF12B3" w:rsidP="006B1C25">
      <w:pPr>
        <w:pStyle w:val="tabstyl"/>
      </w:pPr>
      <w:bookmarkStart w:id="58" w:name="_Ref20074252"/>
      <w:bookmarkStart w:id="59" w:name="_Toc36664452"/>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10</w:t>
      </w:r>
      <w:r w:rsidR="00C40D3F">
        <w:rPr>
          <w:noProof/>
        </w:rPr>
        <w:fldChar w:fldCharType="end"/>
      </w:r>
      <w:bookmarkEnd w:id="58"/>
      <w:r w:rsidRPr="004C1013">
        <w:t xml:space="preserve"> </w:t>
      </w:r>
      <w:r w:rsidRPr="004C1013">
        <w:tab/>
        <w:t>Nemecko: ETC indikátor 1. Dĺžka siete</w:t>
      </w:r>
      <w:bookmarkEnd w:id="59"/>
    </w:p>
    <w:tbl>
      <w:tblPr>
        <w:tblStyle w:val="tabulkaVUD"/>
        <w:tblW w:w="5000" w:type="pct"/>
        <w:tblLook w:val="04A0" w:firstRow="1" w:lastRow="0" w:firstColumn="1" w:lastColumn="0" w:noHBand="0" w:noVBand="1"/>
      </w:tblPr>
      <w:tblGrid>
        <w:gridCol w:w="2533"/>
        <w:gridCol w:w="2494"/>
        <w:gridCol w:w="4384"/>
      </w:tblGrid>
      <w:tr w:rsidR="00FF12B3" w:rsidRPr="004C1013" w:rsidTr="005F2300">
        <w:trPr>
          <w:cnfStyle w:val="100000000000" w:firstRow="1" w:lastRow="0" w:firstColumn="0" w:lastColumn="0" w:oddVBand="0" w:evenVBand="0" w:oddHBand="0" w:evenHBand="0" w:firstRowFirstColumn="0" w:firstRowLastColumn="0" w:lastRowFirstColumn="0" w:lastRowLastColumn="0"/>
          <w:trHeight w:val="610"/>
          <w:tblHeader/>
        </w:trPr>
        <w:tc>
          <w:tcPr>
            <w:tcW w:w="1346" w:type="pct"/>
            <w:shd w:val="clear" w:color="auto" w:fill="7F7F7F" w:themeFill="text1" w:themeFillTint="80"/>
            <w:hideMark/>
          </w:tcPr>
          <w:p w:rsidR="00FF12B3" w:rsidRPr="004C1013" w:rsidRDefault="00FF12B3" w:rsidP="009D58D5">
            <w:pPr>
              <w:pStyle w:val="zahltab"/>
            </w:pPr>
            <w:r w:rsidRPr="004C1013">
              <w:t>Kalendárny rok</w:t>
            </w:r>
          </w:p>
        </w:tc>
        <w:tc>
          <w:tcPr>
            <w:tcW w:w="1325" w:type="pct"/>
            <w:hideMark/>
          </w:tcPr>
          <w:p w:rsidR="00FF12B3" w:rsidRPr="004C1013" w:rsidRDefault="00FF12B3" w:rsidP="009D58D5">
            <w:pPr>
              <w:pStyle w:val="zahltab"/>
            </w:pPr>
            <w:r w:rsidRPr="004C1013">
              <w:t>Rok prevádzky</w:t>
            </w:r>
          </w:p>
        </w:tc>
        <w:tc>
          <w:tcPr>
            <w:tcW w:w="2329" w:type="pct"/>
            <w:hideMark/>
          </w:tcPr>
          <w:p w:rsidR="00FF12B3" w:rsidRPr="004C1013" w:rsidRDefault="00FF12B3" w:rsidP="009D58D5">
            <w:pPr>
              <w:pStyle w:val="zahltab"/>
            </w:pPr>
            <w:r w:rsidRPr="004C1013">
              <w:t>Dĺžka spoplatnených úsekov ciest</w:t>
            </w:r>
            <w:r>
              <w:t xml:space="preserve"> (km)</w:t>
            </w:r>
          </w:p>
        </w:tc>
      </w:tr>
      <w:tr w:rsidR="00FF12B3" w:rsidRPr="004C1013" w:rsidTr="005F2300">
        <w:trPr>
          <w:trHeight w:val="300"/>
        </w:trPr>
        <w:tc>
          <w:tcPr>
            <w:tcW w:w="1346" w:type="pct"/>
            <w:hideMark/>
          </w:tcPr>
          <w:p w:rsidR="00FF12B3" w:rsidRPr="004C1013" w:rsidRDefault="00FF12B3" w:rsidP="005F2300">
            <w:pPr>
              <w:pStyle w:val="tabbielystyl"/>
            </w:pPr>
            <w:r w:rsidRPr="004C1013">
              <w:t>2005</w:t>
            </w:r>
          </w:p>
        </w:tc>
        <w:tc>
          <w:tcPr>
            <w:tcW w:w="1325" w:type="pct"/>
            <w:hideMark/>
          </w:tcPr>
          <w:p w:rsidR="00FF12B3" w:rsidRPr="004C1013" w:rsidRDefault="00FF12B3" w:rsidP="005F2300">
            <w:pPr>
              <w:pStyle w:val="tabbielystyl"/>
            </w:pPr>
            <w:r w:rsidRPr="004C1013">
              <w:t>1.</w:t>
            </w:r>
          </w:p>
        </w:tc>
        <w:tc>
          <w:tcPr>
            <w:tcW w:w="2329" w:type="pct"/>
            <w:vAlign w:val="bottom"/>
            <w:hideMark/>
          </w:tcPr>
          <w:p w:rsidR="00FF12B3" w:rsidRPr="004C1013" w:rsidRDefault="00FF12B3" w:rsidP="005F2300">
            <w:pPr>
              <w:pStyle w:val="tabbielystyl"/>
            </w:pPr>
            <w:r w:rsidRPr="004C1013">
              <w:t>12 211</w:t>
            </w:r>
          </w:p>
        </w:tc>
      </w:tr>
      <w:tr w:rsidR="00FF12B3" w:rsidRPr="004C1013" w:rsidTr="005F2300">
        <w:trPr>
          <w:trHeight w:val="300"/>
        </w:trPr>
        <w:tc>
          <w:tcPr>
            <w:tcW w:w="1346" w:type="pct"/>
            <w:hideMark/>
          </w:tcPr>
          <w:p w:rsidR="00FF12B3" w:rsidRPr="004C1013" w:rsidRDefault="00FF12B3" w:rsidP="005F2300">
            <w:pPr>
              <w:pStyle w:val="tabbielystyl"/>
            </w:pPr>
            <w:r w:rsidRPr="004C1013">
              <w:t>2006</w:t>
            </w:r>
          </w:p>
        </w:tc>
        <w:tc>
          <w:tcPr>
            <w:tcW w:w="1325" w:type="pct"/>
            <w:hideMark/>
          </w:tcPr>
          <w:p w:rsidR="00FF12B3" w:rsidRPr="004C1013" w:rsidRDefault="00FF12B3" w:rsidP="005F2300">
            <w:pPr>
              <w:pStyle w:val="tabbielystyl"/>
            </w:pPr>
            <w:r w:rsidRPr="004C1013">
              <w:t>2.</w:t>
            </w:r>
          </w:p>
        </w:tc>
        <w:tc>
          <w:tcPr>
            <w:tcW w:w="2329" w:type="pct"/>
            <w:vAlign w:val="bottom"/>
            <w:hideMark/>
          </w:tcPr>
          <w:p w:rsidR="00FF12B3" w:rsidRPr="004C1013" w:rsidRDefault="00FF12B3" w:rsidP="005F2300">
            <w:pPr>
              <w:pStyle w:val="tabbielystyl"/>
            </w:pPr>
            <w:r w:rsidRPr="004C1013">
              <w:t>12 363</w:t>
            </w:r>
          </w:p>
        </w:tc>
      </w:tr>
      <w:tr w:rsidR="00FF12B3" w:rsidRPr="004C1013" w:rsidTr="005F2300">
        <w:trPr>
          <w:trHeight w:val="300"/>
        </w:trPr>
        <w:tc>
          <w:tcPr>
            <w:tcW w:w="1346" w:type="pct"/>
            <w:hideMark/>
          </w:tcPr>
          <w:p w:rsidR="00FF12B3" w:rsidRPr="004C1013" w:rsidRDefault="00FF12B3" w:rsidP="005F2300">
            <w:pPr>
              <w:pStyle w:val="tabbielystyl"/>
            </w:pPr>
            <w:r w:rsidRPr="004C1013">
              <w:t>2007</w:t>
            </w:r>
          </w:p>
        </w:tc>
        <w:tc>
          <w:tcPr>
            <w:tcW w:w="1325" w:type="pct"/>
            <w:hideMark/>
          </w:tcPr>
          <w:p w:rsidR="00FF12B3" w:rsidRPr="004C1013" w:rsidRDefault="00FF12B3" w:rsidP="005F2300">
            <w:pPr>
              <w:pStyle w:val="tabbielystyl"/>
            </w:pPr>
            <w:r w:rsidRPr="004C1013">
              <w:t>3.</w:t>
            </w:r>
          </w:p>
        </w:tc>
        <w:tc>
          <w:tcPr>
            <w:tcW w:w="2329" w:type="pct"/>
            <w:vAlign w:val="bottom"/>
            <w:hideMark/>
          </w:tcPr>
          <w:p w:rsidR="00FF12B3" w:rsidRPr="004C1013" w:rsidRDefault="00FF12B3" w:rsidP="005F2300">
            <w:pPr>
              <w:pStyle w:val="tabbielystyl"/>
            </w:pPr>
            <w:r w:rsidRPr="004C1013">
              <w:t>12 531</w:t>
            </w:r>
          </w:p>
        </w:tc>
      </w:tr>
      <w:tr w:rsidR="00FF12B3" w:rsidRPr="004C1013" w:rsidTr="005F2300">
        <w:trPr>
          <w:trHeight w:val="300"/>
        </w:trPr>
        <w:tc>
          <w:tcPr>
            <w:tcW w:w="1346" w:type="pct"/>
            <w:hideMark/>
          </w:tcPr>
          <w:p w:rsidR="00FF12B3" w:rsidRPr="004C1013" w:rsidRDefault="00FF12B3" w:rsidP="005F2300">
            <w:pPr>
              <w:pStyle w:val="tabbielystyl"/>
            </w:pPr>
            <w:r w:rsidRPr="004C1013">
              <w:t>2008</w:t>
            </w:r>
          </w:p>
        </w:tc>
        <w:tc>
          <w:tcPr>
            <w:tcW w:w="1325" w:type="pct"/>
            <w:hideMark/>
          </w:tcPr>
          <w:p w:rsidR="00FF12B3" w:rsidRPr="004C1013" w:rsidRDefault="00FF12B3" w:rsidP="005F2300">
            <w:pPr>
              <w:pStyle w:val="tabbielystyl"/>
            </w:pPr>
            <w:r w:rsidRPr="004C1013">
              <w:t>4.</w:t>
            </w:r>
          </w:p>
        </w:tc>
        <w:tc>
          <w:tcPr>
            <w:tcW w:w="2329" w:type="pct"/>
            <w:vAlign w:val="bottom"/>
            <w:hideMark/>
          </w:tcPr>
          <w:p w:rsidR="00FF12B3" w:rsidRPr="004C1013" w:rsidRDefault="00FF12B3" w:rsidP="005F2300">
            <w:pPr>
              <w:pStyle w:val="tabbielystyl"/>
            </w:pPr>
            <w:r w:rsidRPr="004C1013">
              <w:t>12 678</w:t>
            </w:r>
          </w:p>
        </w:tc>
      </w:tr>
      <w:tr w:rsidR="00FF12B3" w:rsidRPr="004C1013" w:rsidTr="005F2300">
        <w:trPr>
          <w:trHeight w:val="300"/>
        </w:trPr>
        <w:tc>
          <w:tcPr>
            <w:tcW w:w="1346" w:type="pct"/>
            <w:hideMark/>
          </w:tcPr>
          <w:p w:rsidR="00FF12B3" w:rsidRPr="004C1013" w:rsidRDefault="00FF12B3" w:rsidP="005F2300">
            <w:pPr>
              <w:pStyle w:val="tabbielystyl"/>
            </w:pPr>
            <w:r w:rsidRPr="004C1013">
              <w:t>2009</w:t>
            </w:r>
          </w:p>
        </w:tc>
        <w:tc>
          <w:tcPr>
            <w:tcW w:w="1325" w:type="pct"/>
            <w:hideMark/>
          </w:tcPr>
          <w:p w:rsidR="00FF12B3" w:rsidRPr="004C1013" w:rsidRDefault="00FF12B3" w:rsidP="005F2300">
            <w:pPr>
              <w:pStyle w:val="tabbielystyl"/>
            </w:pPr>
            <w:r w:rsidRPr="004C1013">
              <w:t>5.</w:t>
            </w:r>
          </w:p>
        </w:tc>
        <w:tc>
          <w:tcPr>
            <w:tcW w:w="2329" w:type="pct"/>
            <w:vAlign w:val="bottom"/>
            <w:hideMark/>
          </w:tcPr>
          <w:p w:rsidR="00FF12B3" w:rsidRPr="004C1013" w:rsidRDefault="00FF12B3" w:rsidP="005F2300">
            <w:pPr>
              <w:pStyle w:val="tabbielystyl"/>
            </w:pPr>
            <w:r w:rsidRPr="004C1013">
              <w:t>12 775</w:t>
            </w:r>
          </w:p>
        </w:tc>
      </w:tr>
      <w:tr w:rsidR="00FF12B3" w:rsidRPr="004C1013" w:rsidTr="005F2300">
        <w:trPr>
          <w:trHeight w:val="300"/>
        </w:trPr>
        <w:tc>
          <w:tcPr>
            <w:tcW w:w="1346" w:type="pct"/>
            <w:hideMark/>
          </w:tcPr>
          <w:p w:rsidR="00FF12B3" w:rsidRPr="004C1013" w:rsidRDefault="00FF12B3" w:rsidP="005F2300">
            <w:pPr>
              <w:pStyle w:val="tabbielystyl"/>
            </w:pPr>
            <w:r w:rsidRPr="004C1013">
              <w:t>2010</w:t>
            </w:r>
          </w:p>
        </w:tc>
        <w:tc>
          <w:tcPr>
            <w:tcW w:w="1325" w:type="pct"/>
            <w:hideMark/>
          </w:tcPr>
          <w:p w:rsidR="00FF12B3" w:rsidRPr="004C1013" w:rsidRDefault="00FF12B3" w:rsidP="005F2300">
            <w:pPr>
              <w:pStyle w:val="tabbielystyl"/>
            </w:pPr>
            <w:r w:rsidRPr="004C1013">
              <w:t>6.</w:t>
            </w:r>
          </w:p>
        </w:tc>
        <w:tc>
          <w:tcPr>
            <w:tcW w:w="2329" w:type="pct"/>
            <w:vAlign w:val="bottom"/>
            <w:hideMark/>
          </w:tcPr>
          <w:p w:rsidR="00FF12B3" w:rsidRPr="004C1013" w:rsidRDefault="00FF12B3" w:rsidP="005F2300">
            <w:pPr>
              <w:pStyle w:val="tabbielystyl"/>
            </w:pPr>
            <w:r w:rsidRPr="004C1013">
              <w:t>12 788</w:t>
            </w:r>
          </w:p>
        </w:tc>
      </w:tr>
      <w:tr w:rsidR="00FF12B3" w:rsidRPr="004C1013" w:rsidTr="005F2300">
        <w:trPr>
          <w:trHeight w:val="300"/>
        </w:trPr>
        <w:tc>
          <w:tcPr>
            <w:tcW w:w="1346" w:type="pct"/>
            <w:hideMark/>
          </w:tcPr>
          <w:p w:rsidR="00FF12B3" w:rsidRPr="004C1013" w:rsidRDefault="00FF12B3" w:rsidP="005F2300">
            <w:pPr>
              <w:pStyle w:val="tabbielystyl"/>
            </w:pPr>
            <w:r w:rsidRPr="004C1013">
              <w:t>2011</w:t>
            </w:r>
          </w:p>
        </w:tc>
        <w:tc>
          <w:tcPr>
            <w:tcW w:w="1325" w:type="pct"/>
            <w:hideMark/>
          </w:tcPr>
          <w:p w:rsidR="00FF12B3" w:rsidRPr="004C1013" w:rsidRDefault="00FF12B3" w:rsidP="005F2300">
            <w:pPr>
              <w:pStyle w:val="tabbielystyl"/>
            </w:pPr>
            <w:r w:rsidRPr="004C1013">
              <w:t>7.</w:t>
            </w:r>
          </w:p>
        </w:tc>
        <w:tc>
          <w:tcPr>
            <w:tcW w:w="2329" w:type="pct"/>
            <w:vAlign w:val="bottom"/>
            <w:hideMark/>
          </w:tcPr>
          <w:p w:rsidR="00FF12B3" w:rsidRPr="004C1013" w:rsidRDefault="00FF12B3" w:rsidP="005F2300">
            <w:pPr>
              <w:pStyle w:val="tabbielystyl"/>
            </w:pPr>
            <w:r w:rsidRPr="004C1013">
              <w:t>12 812</w:t>
            </w:r>
          </w:p>
        </w:tc>
      </w:tr>
      <w:tr w:rsidR="00FF12B3" w:rsidRPr="004C1013" w:rsidTr="005F2300">
        <w:trPr>
          <w:trHeight w:val="300"/>
        </w:trPr>
        <w:tc>
          <w:tcPr>
            <w:tcW w:w="1346" w:type="pct"/>
            <w:hideMark/>
          </w:tcPr>
          <w:p w:rsidR="00FF12B3" w:rsidRPr="004C1013" w:rsidRDefault="00FF12B3" w:rsidP="005F2300">
            <w:pPr>
              <w:pStyle w:val="tabbielystyl"/>
            </w:pPr>
            <w:r w:rsidRPr="004C1013">
              <w:t>2012</w:t>
            </w:r>
          </w:p>
        </w:tc>
        <w:tc>
          <w:tcPr>
            <w:tcW w:w="1325" w:type="pct"/>
            <w:hideMark/>
          </w:tcPr>
          <w:p w:rsidR="00FF12B3" w:rsidRPr="004C1013" w:rsidRDefault="00FF12B3" w:rsidP="005F2300">
            <w:pPr>
              <w:pStyle w:val="tabbielystyl"/>
            </w:pPr>
            <w:r w:rsidRPr="004C1013">
              <w:t>8.</w:t>
            </w:r>
          </w:p>
        </w:tc>
        <w:tc>
          <w:tcPr>
            <w:tcW w:w="2329" w:type="pct"/>
            <w:vAlign w:val="bottom"/>
            <w:hideMark/>
          </w:tcPr>
          <w:p w:rsidR="00FF12B3" w:rsidRPr="004C1013" w:rsidRDefault="00FF12B3" w:rsidP="005F2300">
            <w:pPr>
              <w:pStyle w:val="tabbielystyl"/>
            </w:pPr>
            <w:r w:rsidRPr="004C1013">
              <w:t>13 999</w:t>
            </w:r>
          </w:p>
        </w:tc>
      </w:tr>
      <w:tr w:rsidR="00FF12B3" w:rsidRPr="004C1013" w:rsidTr="005F2300">
        <w:trPr>
          <w:trHeight w:val="300"/>
        </w:trPr>
        <w:tc>
          <w:tcPr>
            <w:tcW w:w="1346" w:type="pct"/>
            <w:hideMark/>
          </w:tcPr>
          <w:p w:rsidR="00FF12B3" w:rsidRPr="004C1013" w:rsidRDefault="00FF12B3" w:rsidP="005F2300">
            <w:pPr>
              <w:pStyle w:val="tabbielystyl"/>
            </w:pPr>
            <w:r w:rsidRPr="004C1013">
              <w:t>2013</w:t>
            </w:r>
          </w:p>
        </w:tc>
        <w:tc>
          <w:tcPr>
            <w:tcW w:w="1325" w:type="pct"/>
            <w:hideMark/>
          </w:tcPr>
          <w:p w:rsidR="00FF12B3" w:rsidRPr="004C1013" w:rsidRDefault="00FF12B3" w:rsidP="005F2300">
            <w:pPr>
              <w:pStyle w:val="tabbielystyl"/>
            </w:pPr>
            <w:r w:rsidRPr="004C1013">
              <w:t>9.</w:t>
            </w:r>
          </w:p>
        </w:tc>
        <w:tc>
          <w:tcPr>
            <w:tcW w:w="2329" w:type="pct"/>
            <w:vAlign w:val="bottom"/>
            <w:hideMark/>
          </w:tcPr>
          <w:p w:rsidR="00FF12B3" w:rsidRPr="004C1013" w:rsidRDefault="00FF12B3" w:rsidP="005F2300">
            <w:pPr>
              <w:pStyle w:val="tabbielystyl"/>
            </w:pPr>
            <w:r w:rsidRPr="004C1013">
              <w:t>14 064</w:t>
            </w:r>
          </w:p>
        </w:tc>
      </w:tr>
      <w:tr w:rsidR="00FF12B3" w:rsidRPr="004C1013" w:rsidTr="005F2300">
        <w:trPr>
          <w:trHeight w:val="300"/>
        </w:trPr>
        <w:tc>
          <w:tcPr>
            <w:tcW w:w="1346" w:type="pct"/>
            <w:hideMark/>
          </w:tcPr>
          <w:p w:rsidR="00FF12B3" w:rsidRPr="004C1013" w:rsidRDefault="00FF12B3" w:rsidP="005F2300">
            <w:pPr>
              <w:pStyle w:val="tabbielystyl"/>
            </w:pPr>
            <w:r w:rsidRPr="004C1013">
              <w:t>2014</w:t>
            </w:r>
          </w:p>
        </w:tc>
        <w:tc>
          <w:tcPr>
            <w:tcW w:w="1325" w:type="pct"/>
            <w:hideMark/>
          </w:tcPr>
          <w:p w:rsidR="00FF12B3" w:rsidRPr="004C1013" w:rsidRDefault="00FF12B3" w:rsidP="005F2300">
            <w:pPr>
              <w:pStyle w:val="tabbielystyl"/>
            </w:pPr>
            <w:r w:rsidRPr="004C1013">
              <w:t>10</w:t>
            </w:r>
          </w:p>
        </w:tc>
        <w:tc>
          <w:tcPr>
            <w:tcW w:w="2329" w:type="pct"/>
            <w:vAlign w:val="bottom"/>
            <w:hideMark/>
          </w:tcPr>
          <w:p w:rsidR="00FF12B3" w:rsidRPr="004C1013" w:rsidRDefault="00FF12B3" w:rsidP="005F2300">
            <w:pPr>
              <w:pStyle w:val="tabbielystyl"/>
            </w:pPr>
            <w:r w:rsidRPr="004C1013">
              <w:t>14 136</w:t>
            </w:r>
          </w:p>
        </w:tc>
      </w:tr>
      <w:tr w:rsidR="00FF12B3" w:rsidRPr="004C1013" w:rsidTr="005F2300">
        <w:trPr>
          <w:trHeight w:val="300"/>
        </w:trPr>
        <w:tc>
          <w:tcPr>
            <w:tcW w:w="1346" w:type="pct"/>
            <w:hideMark/>
          </w:tcPr>
          <w:p w:rsidR="00FF12B3" w:rsidRPr="004C1013" w:rsidRDefault="00FF12B3" w:rsidP="005F2300">
            <w:pPr>
              <w:pStyle w:val="tabbielystyl"/>
            </w:pPr>
            <w:r w:rsidRPr="004C1013">
              <w:t>2015</w:t>
            </w:r>
          </w:p>
        </w:tc>
        <w:tc>
          <w:tcPr>
            <w:tcW w:w="1325" w:type="pct"/>
            <w:hideMark/>
          </w:tcPr>
          <w:p w:rsidR="00FF12B3" w:rsidRPr="004C1013" w:rsidRDefault="00FF12B3" w:rsidP="005F2300">
            <w:pPr>
              <w:pStyle w:val="tabbielystyl"/>
            </w:pPr>
            <w:r w:rsidRPr="004C1013">
              <w:t>11</w:t>
            </w:r>
          </w:p>
        </w:tc>
        <w:tc>
          <w:tcPr>
            <w:tcW w:w="2329" w:type="pct"/>
            <w:vAlign w:val="bottom"/>
            <w:hideMark/>
          </w:tcPr>
          <w:p w:rsidR="00FF12B3" w:rsidRPr="004C1013" w:rsidRDefault="00FF12B3" w:rsidP="005F2300">
            <w:pPr>
              <w:pStyle w:val="tabbielystyl"/>
            </w:pPr>
            <w:r w:rsidRPr="004C1013">
              <w:t>15 252</w:t>
            </w:r>
          </w:p>
        </w:tc>
      </w:tr>
      <w:tr w:rsidR="00FF12B3" w:rsidRPr="004C1013" w:rsidTr="005F2300">
        <w:trPr>
          <w:trHeight w:val="300"/>
        </w:trPr>
        <w:tc>
          <w:tcPr>
            <w:tcW w:w="1346" w:type="pct"/>
            <w:hideMark/>
          </w:tcPr>
          <w:p w:rsidR="00FF12B3" w:rsidRPr="004C1013" w:rsidRDefault="00FF12B3" w:rsidP="005F2300">
            <w:pPr>
              <w:pStyle w:val="tabbielystyl"/>
            </w:pPr>
            <w:r w:rsidRPr="004C1013">
              <w:t>2016</w:t>
            </w:r>
          </w:p>
        </w:tc>
        <w:tc>
          <w:tcPr>
            <w:tcW w:w="1325" w:type="pct"/>
            <w:hideMark/>
          </w:tcPr>
          <w:p w:rsidR="00FF12B3" w:rsidRPr="004C1013" w:rsidRDefault="00FF12B3" w:rsidP="005F2300">
            <w:pPr>
              <w:pStyle w:val="tabbielystyl"/>
            </w:pPr>
            <w:r w:rsidRPr="004C1013">
              <w:t>12</w:t>
            </w:r>
          </w:p>
        </w:tc>
        <w:tc>
          <w:tcPr>
            <w:tcW w:w="2329" w:type="pct"/>
            <w:vAlign w:val="bottom"/>
            <w:hideMark/>
          </w:tcPr>
          <w:p w:rsidR="00FF12B3" w:rsidRPr="004C1013" w:rsidRDefault="00FF12B3" w:rsidP="005F2300">
            <w:pPr>
              <w:pStyle w:val="tabbielystyl"/>
            </w:pPr>
            <w:r w:rsidRPr="004C1013">
              <w:t>15 276</w:t>
            </w:r>
          </w:p>
        </w:tc>
      </w:tr>
      <w:tr w:rsidR="00FF12B3" w:rsidRPr="004C1013" w:rsidTr="005F2300">
        <w:trPr>
          <w:trHeight w:val="300"/>
        </w:trPr>
        <w:tc>
          <w:tcPr>
            <w:tcW w:w="1346" w:type="pct"/>
            <w:hideMark/>
          </w:tcPr>
          <w:p w:rsidR="00FF12B3" w:rsidRPr="004C1013" w:rsidRDefault="00FF12B3" w:rsidP="005F2300">
            <w:pPr>
              <w:pStyle w:val="tabbielystyl"/>
            </w:pPr>
            <w:r w:rsidRPr="004C1013">
              <w:t>2017</w:t>
            </w:r>
          </w:p>
        </w:tc>
        <w:tc>
          <w:tcPr>
            <w:tcW w:w="1325" w:type="pct"/>
            <w:hideMark/>
          </w:tcPr>
          <w:p w:rsidR="00FF12B3" w:rsidRPr="004C1013" w:rsidRDefault="00FF12B3" w:rsidP="005F2300">
            <w:pPr>
              <w:pStyle w:val="tabbielystyl"/>
            </w:pPr>
            <w:r w:rsidRPr="004C1013">
              <w:t>13</w:t>
            </w:r>
          </w:p>
        </w:tc>
        <w:tc>
          <w:tcPr>
            <w:tcW w:w="2329" w:type="pct"/>
            <w:vAlign w:val="bottom"/>
            <w:hideMark/>
          </w:tcPr>
          <w:p w:rsidR="00FF12B3" w:rsidRPr="004C1013" w:rsidRDefault="00FF12B3" w:rsidP="005F2300">
            <w:pPr>
              <w:pStyle w:val="tabbielystyl"/>
            </w:pPr>
            <w:r w:rsidRPr="004C1013">
              <w:t>15 306</w:t>
            </w:r>
          </w:p>
        </w:tc>
      </w:tr>
      <w:tr w:rsidR="00FF12B3" w:rsidRPr="004C1013" w:rsidTr="005F2300">
        <w:trPr>
          <w:trHeight w:val="300"/>
        </w:trPr>
        <w:tc>
          <w:tcPr>
            <w:tcW w:w="1346" w:type="pct"/>
            <w:hideMark/>
          </w:tcPr>
          <w:p w:rsidR="00FF12B3" w:rsidRPr="004C1013" w:rsidRDefault="00FF12B3" w:rsidP="005F2300">
            <w:pPr>
              <w:pStyle w:val="tabbielystyl"/>
            </w:pPr>
            <w:r w:rsidRPr="004C1013">
              <w:t>2018</w:t>
            </w:r>
          </w:p>
        </w:tc>
        <w:tc>
          <w:tcPr>
            <w:tcW w:w="1325" w:type="pct"/>
            <w:hideMark/>
          </w:tcPr>
          <w:p w:rsidR="00FF12B3" w:rsidRPr="004C1013" w:rsidRDefault="00FF12B3" w:rsidP="005F2300">
            <w:pPr>
              <w:pStyle w:val="tabbielystyl"/>
            </w:pPr>
            <w:r w:rsidRPr="004C1013">
              <w:t>14</w:t>
            </w:r>
          </w:p>
        </w:tc>
        <w:tc>
          <w:tcPr>
            <w:tcW w:w="2329" w:type="pct"/>
            <w:vAlign w:val="bottom"/>
            <w:hideMark/>
          </w:tcPr>
          <w:p w:rsidR="00FF12B3" w:rsidRPr="004C1013" w:rsidRDefault="00FF12B3" w:rsidP="005F2300">
            <w:pPr>
              <w:pStyle w:val="tabbielystyl"/>
            </w:pPr>
            <w:r w:rsidRPr="004C1013">
              <w:t>50 842</w:t>
            </w:r>
          </w:p>
        </w:tc>
      </w:tr>
    </w:tbl>
    <w:p w:rsidR="00FF12B3" w:rsidRDefault="00FF12B3" w:rsidP="0025522E">
      <w:pPr>
        <w:pStyle w:val="Normaltext"/>
        <w:spacing w:line="276" w:lineRule="auto"/>
        <w:rPr>
          <w:rFonts w:asciiTheme="minorHAnsi" w:hAnsiTheme="minorHAnsi" w:cstheme="minorHAnsi"/>
        </w:rPr>
      </w:pPr>
    </w:p>
    <w:p w:rsidR="00FF12B3" w:rsidRDefault="00FF12B3" w:rsidP="003202AC">
      <w:pPr>
        <w:pStyle w:val="Normaltext"/>
        <w:spacing w:line="276" w:lineRule="auto"/>
        <w:jc w:val="center"/>
        <w:rPr>
          <w:rFonts w:asciiTheme="minorHAnsi" w:hAnsiTheme="minorHAnsi" w:cstheme="minorHAnsi"/>
        </w:rPr>
      </w:pPr>
      <w:r>
        <w:rPr>
          <w:rFonts w:asciiTheme="minorHAnsi" w:hAnsiTheme="minorHAnsi" w:cstheme="minorHAnsi"/>
          <w:noProof/>
          <w:lang w:eastAsia="sk-SK"/>
        </w:rPr>
        <w:lastRenderedPageBreak/>
        <w:drawing>
          <wp:inline distT="0" distB="0" distL="0" distR="0">
            <wp:extent cx="5281083" cy="6520647"/>
            <wp:effectExtent l="19050" t="0" r="0" b="0"/>
            <wp:docPr id="74" name="Obrázek 73" descr="karte_strecken_d-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e_strecken_d-page-001.jpg"/>
                    <pic:cNvPicPr/>
                  </pic:nvPicPr>
                  <pic:blipFill>
                    <a:blip r:embed="rId20" cstate="print"/>
                    <a:srcRect t="12702"/>
                    <a:stretch>
                      <a:fillRect/>
                    </a:stretch>
                  </pic:blipFill>
                  <pic:spPr>
                    <a:xfrm>
                      <a:off x="0" y="0"/>
                      <a:ext cx="5282778" cy="6522739"/>
                    </a:xfrm>
                    <a:prstGeom prst="rect">
                      <a:avLst/>
                    </a:prstGeom>
                  </pic:spPr>
                </pic:pic>
              </a:graphicData>
            </a:graphic>
          </wp:inline>
        </w:drawing>
      </w:r>
    </w:p>
    <w:p w:rsidR="00FF12B3" w:rsidRPr="004C1013" w:rsidRDefault="00FF12B3" w:rsidP="006B1C25">
      <w:pPr>
        <w:pStyle w:val="Popis"/>
      </w:pPr>
      <w:bookmarkStart w:id="60" w:name="_Ref21200085"/>
      <w:bookmarkStart w:id="61" w:name="_Toc36664506"/>
      <w:bookmarkStart w:id="62" w:name="_Ref21200081"/>
      <w:r w:rsidRPr="004C1013">
        <w:t xml:space="preserve">Obr. </w:t>
      </w:r>
      <w:r w:rsidR="00C40D3F">
        <w:fldChar w:fldCharType="begin"/>
      </w:r>
      <w:r w:rsidR="00C40D3F">
        <w:instrText xml:space="preserve"> STYLEREF 1 \s </w:instrText>
      </w:r>
      <w:r w:rsidR="00C40D3F">
        <w:fldChar w:fldCharType="separate"/>
      </w:r>
      <w:r w:rsidR="00D61B89">
        <w:rPr>
          <w:noProof/>
        </w:rPr>
        <w:t>1</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w:t>
      </w:r>
      <w:r w:rsidR="00C40D3F">
        <w:rPr>
          <w:noProof/>
        </w:rPr>
        <w:fldChar w:fldCharType="end"/>
      </w:r>
      <w:bookmarkEnd w:id="60"/>
      <w:r w:rsidRPr="004C1013">
        <w:tab/>
        <w:t xml:space="preserve">Sieť vymedzených úsekov ciest </w:t>
      </w:r>
      <w:r w:rsidR="008B29B3">
        <w:t>systému ETC v Nemecku</w:t>
      </w:r>
      <w:bookmarkEnd w:id="61"/>
      <w:r w:rsidRPr="004C1013">
        <w:t xml:space="preserve"> </w:t>
      </w:r>
      <w:bookmarkEnd w:id="62"/>
    </w:p>
    <w:p w:rsidR="0025522E" w:rsidRPr="004C1013" w:rsidRDefault="0025522E" w:rsidP="0025522E">
      <w:pPr>
        <w:pStyle w:val="Nadpis3"/>
        <w:rPr>
          <w:rFonts w:asciiTheme="minorHAnsi" w:hAnsiTheme="minorHAnsi" w:cstheme="minorHAnsi"/>
        </w:rPr>
      </w:pPr>
      <w:bookmarkStart w:id="63" w:name="_Toc20687926"/>
      <w:bookmarkStart w:id="64" w:name="_Toc36664369"/>
      <w:r w:rsidRPr="004C1013">
        <w:rPr>
          <w:rFonts w:asciiTheme="minorHAnsi" w:hAnsiTheme="minorHAnsi" w:cstheme="minorHAnsi"/>
        </w:rPr>
        <w:t>Dopravné výkony na spoplatnenej sieti</w:t>
      </w:r>
      <w:bookmarkEnd w:id="63"/>
      <w:bookmarkEnd w:id="64"/>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Povinnými vozidlami podliehajúcimi plateniu mýta v Nemecku boli do októbra 2015 len nákladné vozidlá s hmotnosťou nad 12,5 tony,  1. októbra 2015 bolo výkonové spoplatnenie rozšírené na nákladné vozidlá s hmotnosťou nad 7,5 tony.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Za účelom zistenia dopravných výkonov povinných vozidiel na vymedzených úsekoch ciest v Nemecku boli analyzované a navzájom porovnané údaje viacerých informačných zdrojov, najmä [15], [16], [17],  </w:t>
      </w:r>
      <w:r w:rsidRPr="004C1013">
        <w:rPr>
          <w:rFonts w:asciiTheme="minorHAnsi" w:hAnsiTheme="minorHAnsi" w:cstheme="minorHAnsi"/>
        </w:rPr>
        <w:lastRenderedPageBreak/>
        <w:t>[18]. Dopravná intenzita na spoplatnených úsekoch je v dostupnej literatúre uvádzaná v dvoch úrovniach pre oba ukazovatele -  denné intenzity priemerného jednotkového kilometra spoplatnenej siete a kumulované ročné dopravné výkony na spoplatnenej sieti . Prehľad výsledkov rešerše dostupnej literatúry je uvedený v nasledujúcej tabuľke (</w:t>
      </w:r>
      <w:r w:rsidR="00C40D3F">
        <w:fldChar w:fldCharType="begin"/>
      </w:r>
      <w:r w:rsidR="00C40D3F">
        <w:instrText xml:space="preserve"> REF _Ref19737159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11</w:t>
      </w:r>
      <w:r w:rsidR="00C40D3F">
        <w:fldChar w:fldCharType="end"/>
      </w:r>
      <w:r w:rsidRPr="004C1013">
        <w:rPr>
          <w:rFonts w:asciiTheme="minorHAnsi" w:hAnsiTheme="minorHAnsi" w:cstheme="minorHAnsi"/>
        </w:rPr>
        <w:t xml:space="preserve">).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V zdroji [16] je uvádzaný rovnaký vzorec prepočtu dopravných výkonov na priemernom 1km siete z kumulovaných ročných výkono</w:t>
      </w:r>
      <w:r w:rsidR="008B29B3">
        <w:rPr>
          <w:rFonts w:asciiTheme="minorHAnsi" w:hAnsiTheme="minorHAnsi" w:cstheme="minorHAnsi"/>
        </w:rPr>
        <w:t>v</w:t>
      </w:r>
      <w:r w:rsidRPr="004C1013">
        <w:rPr>
          <w:rFonts w:asciiTheme="minorHAnsi" w:hAnsiTheme="minorHAnsi" w:cstheme="minorHAnsi"/>
        </w:rPr>
        <w:t xml:space="preserve"> na sieti ako používa riešiteľský kolektív pri validácii publikovaných údajov. Po vzájomnom prepočte uvedených ukazovateľov dopravnej intenzity na spoplatnenej sieti z údajov zverejnených v [15], [16] a [18] boli zistené rozdiely v dostupnej báze údajov, čo </w:t>
      </w:r>
      <w:r w:rsidR="008B29B3">
        <w:rPr>
          <w:rFonts w:asciiTheme="minorHAnsi" w:hAnsiTheme="minorHAnsi" w:cstheme="minorHAnsi"/>
        </w:rPr>
        <w:t>svedčí</w:t>
      </w:r>
      <w:r w:rsidRPr="004C1013">
        <w:rPr>
          <w:rFonts w:asciiTheme="minorHAnsi" w:hAnsiTheme="minorHAnsi" w:cstheme="minorHAnsi"/>
        </w:rPr>
        <w:t xml:space="preserve"> o nepresnosti zverejnených dát predovšetkým za obdobie rokov 2012 – 2018. Tieto rozdiely nie sú významné, najväčšie (rok 2015) dosahujú 12%. Nesúrodosť uvádzaných dát možno odôvodniť rozšírením siete spoplatnených úsekov vnútroštátnych ciest k  1.7.2015 [14] ako aj spoplatnením vozidiel nad 7,5 tony v októbri daného roka a nezohľadnením týchto zmien do prepočtov intenzity, poprípade zahrnutím len ročných aritmetických priemerov povinných vozidiel na spoplatnenej sieti. </w:t>
      </w:r>
    </w:p>
    <w:p w:rsidR="0025522E" w:rsidRPr="004C1013" w:rsidRDefault="0025522E" w:rsidP="006B1C25">
      <w:pPr>
        <w:pStyle w:val="tabstyl"/>
      </w:pPr>
      <w:bookmarkStart w:id="65" w:name="_Ref19737159"/>
      <w:bookmarkStart w:id="66" w:name="_Toc36664453"/>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11</w:t>
      </w:r>
      <w:r w:rsidR="00C40D3F">
        <w:rPr>
          <w:noProof/>
        </w:rPr>
        <w:fldChar w:fldCharType="end"/>
      </w:r>
      <w:bookmarkEnd w:id="65"/>
      <w:r w:rsidRPr="004C1013">
        <w:t xml:space="preserve"> </w:t>
      </w:r>
      <w:r w:rsidRPr="004C1013">
        <w:tab/>
        <w:t>Rešerš dostupnej literatúry  - dopravné výkony na sieti v Nemecku</w:t>
      </w:r>
      <w:bookmarkEnd w:id="66"/>
      <w:r w:rsidRPr="004C1013">
        <w:t xml:space="preserve"> </w:t>
      </w:r>
    </w:p>
    <w:tbl>
      <w:tblPr>
        <w:tblStyle w:val="tabulkaVUD"/>
        <w:tblW w:w="5000" w:type="pct"/>
        <w:tblLayout w:type="fixed"/>
        <w:tblLook w:val="04A0" w:firstRow="1" w:lastRow="0" w:firstColumn="1" w:lastColumn="0" w:noHBand="0" w:noVBand="1"/>
      </w:tblPr>
      <w:tblGrid>
        <w:gridCol w:w="1002"/>
        <w:gridCol w:w="906"/>
        <w:gridCol w:w="1240"/>
        <w:gridCol w:w="1276"/>
        <w:gridCol w:w="992"/>
        <w:gridCol w:w="1417"/>
        <w:gridCol w:w="1276"/>
        <w:gridCol w:w="1302"/>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532"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481" w:type="pct"/>
            <w:vMerge w:val="restart"/>
            <w:hideMark/>
          </w:tcPr>
          <w:p w:rsidR="0025522E" w:rsidRPr="004C1013" w:rsidRDefault="0025522E" w:rsidP="009D58D5">
            <w:pPr>
              <w:pStyle w:val="zahltab"/>
            </w:pPr>
            <w:r w:rsidRPr="004C1013">
              <w:t>Rok prevádzky</w:t>
            </w:r>
          </w:p>
        </w:tc>
        <w:tc>
          <w:tcPr>
            <w:tcW w:w="1337" w:type="pct"/>
            <w:gridSpan w:val="2"/>
          </w:tcPr>
          <w:p w:rsidR="0025522E" w:rsidRPr="004C1013" w:rsidRDefault="0025522E" w:rsidP="009D58D5">
            <w:pPr>
              <w:pStyle w:val="zahltab"/>
            </w:pPr>
            <w:r w:rsidRPr="004C1013">
              <w:t>Priemerná denná intenzita na 1km (voz)</w:t>
            </w:r>
          </w:p>
        </w:tc>
        <w:tc>
          <w:tcPr>
            <w:tcW w:w="2650" w:type="pct"/>
            <w:gridSpan w:val="4"/>
          </w:tcPr>
          <w:p w:rsidR="0025522E" w:rsidRPr="004C1013" w:rsidRDefault="0025522E" w:rsidP="009D58D5">
            <w:pPr>
              <w:pStyle w:val="zahltab"/>
            </w:pPr>
            <w:r w:rsidRPr="004C1013">
              <w:t>Kumulované dopravné výkony</w:t>
            </w:r>
          </w:p>
          <w:p w:rsidR="0025522E" w:rsidRPr="004C1013" w:rsidRDefault="0025522E" w:rsidP="009D58D5">
            <w:pPr>
              <w:pStyle w:val="zahltab"/>
            </w:pPr>
            <w:r w:rsidRPr="004C1013">
              <w:t>(mil. vkm/rok)</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532" w:type="pct"/>
            <w:vMerge/>
            <w:shd w:val="clear" w:color="auto" w:fill="7F7F7F" w:themeFill="text1" w:themeFillTint="80"/>
            <w:hideMark/>
          </w:tcPr>
          <w:p w:rsidR="0025522E" w:rsidRPr="004C1013" w:rsidRDefault="0025522E" w:rsidP="009D58D5">
            <w:pPr>
              <w:pStyle w:val="zahltab"/>
            </w:pPr>
          </w:p>
        </w:tc>
        <w:tc>
          <w:tcPr>
            <w:tcW w:w="481" w:type="pct"/>
            <w:vMerge/>
            <w:hideMark/>
          </w:tcPr>
          <w:p w:rsidR="0025522E" w:rsidRPr="004C1013" w:rsidRDefault="0025522E" w:rsidP="009D58D5">
            <w:pPr>
              <w:pStyle w:val="zahltab"/>
            </w:pPr>
          </w:p>
        </w:tc>
        <w:tc>
          <w:tcPr>
            <w:tcW w:w="659" w:type="pct"/>
            <w:hideMark/>
          </w:tcPr>
          <w:p w:rsidR="0025522E" w:rsidRPr="004C1013" w:rsidRDefault="0025522E" w:rsidP="009D58D5">
            <w:pPr>
              <w:pStyle w:val="zahltab"/>
            </w:pPr>
            <w:r w:rsidRPr="004C1013">
              <w:t>ASECAP-B [15]</w:t>
            </w:r>
          </w:p>
        </w:tc>
        <w:tc>
          <w:tcPr>
            <w:tcW w:w="678" w:type="pct"/>
          </w:tcPr>
          <w:p w:rsidR="0025522E" w:rsidRPr="004C1013" w:rsidRDefault="0025522E" w:rsidP="009D58D5">
            <w:pPr>
              <w:pStyle w:val="zahltab"/>
            </w:pPr>
            <w:r w:rsidRPr="004C1013">
              <w:t>Prepočet  (podľa [18])</w:t>
            </w:r>
          </w:p>
        </w:tc>
        <w:tc>
          <w:tcPr>
            <w:tcW w:w="527" w:type="pct"/>
          </w:tcPr>
          <w:p w:rsidR="0025522E" w:rsidRPr="004C1013" w:rsidRDefault="0025522E" w:rsidP="009D58D5">
            <w:pPr>
              <w:pStyle w:val="zahltab"/>
            </w:pPr>
            <w:r w:rsidRPr="004C1013">
              <w:t>ASECAP-NS</w:t>
            </w:r>
          </w:p>
          <w:p w:rsidR="0025522E" w:rsidRPr="004C1013" w:rsidRDefault="0025522E" w:rsidP="009D58D5">
            <w:pPr>
              <w:pStyle w:val="zahltab"/>
              <w:rPr>
                <w:bCs/>
              </w:rPr>
            </w:pPr>
            <w:r w:rsidRPr="004C1013">
              <w:t>[16]</w:t>
            </w:r>
          </w:p>
        </w:tc>
        <w:tc>
          <w:tcPr>
            <w:tcW w:w="753" w:type="pct"/>
          </w:tcPr>
          <w:p w:rsidR="0025522E" w:rsidRPr="004C1013" w:rsidRDefault="0025522E" w:rsidP="009D58D5">
            <w:pPr>
              <w:pStyle w:val="zahltab"/>
              <w:rPr>
                <w:bCs/>
              </w:rPr>
            </w:pPr>
            <w:r w:rsidRPr="004C1013">
              <w:t>Štátne inštitúcie [18]</w:t>
            </w:r>
          </w:p>
        </w:tc>
        <w:tc>
          <w:tcPr>
            <w:tcW w:w="678" w:type="pct"/>
          </w:tcPr>
          <w:p w:rsidR="0025522E" w:rsidRPr="004C1013" w:rsidRDefault="0025522E" w:rsidP="009D58D5">
            <w:pPr>
              <w:pStyle w:val="zahltab"/>
            </w:pPr>
            <w:r w:rsidRPr="004C1013">
              <w:t>Odborná lit.  [17]</w:t>
            </w:r>
          </w:p>
        </w:tc>
        <w:tc>
          <w:tcPr>
            <w:tcW w:w="692" w:type="pct"/>
          </w:tcPr>
          <w:p w:rsidR="0025522E" w:rsidRPr="004C1013" w:rsidRDefault="0025522E" w:rsidP="009D58D5">
            <w:pPr>
              <w:pStyle w:val="zahltab"/>
            </w:pPr>
            <w:r w:rsidRPr="004C1013">
              <w:t xml:space="preserve">Prepočet </w:t>
            </w:r>
            <w:r w:rsidRPr="004C1013">
              <w:rPr>
                <w:bCs/>
              </w:rPr>
              <w:t xml:space="preserve">(podľa </w:t>
            </w:r>
            <w:r w:rsidRPr="004C1013">
              <w:t>[15])</w:t>
            </w:r>
          </w:p>
        </w:tc>
      </w:tr>
      <w:tr w:rsidR="0025522E" w:rsidRPr="004C1013" w:rsidTr="00404B50">
        <w:trPr>
          <w:trHeight w:val="283"/>
        </w:trPr>
        <w:tc>
          <w:tcPr>
            <w:tcW w:w="532" w:type="pct"/>
            <w:hideMark/>
          </w:tcPr>
          <w:p w:rsidR="0025522E" w:rsidRPr="004C1013" w:rsidRDefault="0025522E" w:rsidP="0025522E">
            <w:pPr>
              <w:pStyle w:val="tabbielystyl"/>
            </w:pPr>
            <w:r w:rsidRPr="004C1013">
              <w:t>2005</w:t>
            </w:r>
          </w:p>
        </w:tc>
        <w:tc>
          <w:tcPr>
            <w:tcW w:w="481" w:type="pct"/>
            <w:hideMark/>
          </w:tcPr>
          <w:p w:rsidR="0025522E" w:rsidRPr="004C1013" w:rsidRDefault="0025522E" w:rsidP="0025522E">
            <w:pPr>
              <w:pStyle w:val="tabbielystyl"/>
            </w:pPr>
            <w:r w:rsidRPr="004C1013">
              <w:t>1.</w:t>
            </w:r>
          </w:p>
        </w:tc>
        <w:tc>
          <w:tcPr>
            <w:tcW w:w="659" w:type="pct"/>
            <w:vAlign w:val="bottom"/>
            <w:hideMark/>
          </w:tcPr>
          <w:p w:rsidR="0025522E" w:rsidRPr="004C1013" w:rsidRDefault="0025522E" w:rsidP="0025522E">
            <w:pPr>
              <w:pStyle w:val="tabbielystyl"/>
            </w:pPr>
            <w:r w:rsidRPr="004C1013">
              <w:t>N/A</w:t>
            </w:r>
          </w:p>
        </w:tc>
        <w:tc>
          <w:tcPr>
            <w:tcW w:w="678" w:type="pct"/>
            <w:vAlign w:val="bottom"/>
          </w:tcPr>
          <w:p w:rsidR="0025522E" w:rsidRPr="004C1013" w:rsidRDefault="0025522E" w:rsidP="0025522E">
            <w:pPr>
              <w:pStyle w:val="tabbielystyl"/>
            </w:pPr>
            <w:r w:rsidRPr="004C1013">
              <w:t>N/A</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N/A</w:t>
            </w:r>
          </w:p>
        </w:tc>
        <w:tc>
          <w:tcPr>
            <w:tcW w:w="678" w:type="pct"/>
            <w:vAlign w:val="bottom"/>
          </w:tcPr>
          <w:p w:rsidR="0025522E" w:rsidRPr="004C1013" w:rsidRDefault="0025522E" w:rsidP="0025522E">
            <w:pPr>
              <w:pStyle w:val="tabbielystyl"/>
            </w:pPr>
            <w:r w:rsidRPr="004C1013">
              <w:t>24</w:t>
            </w:r>
            <w:r w:rsidR="00FC3B8F">
              <w:t xml:space="preserve"> 000</w:t>
            </w:r>
          </w:p>
        </w:tc>
        <w:tc>
          <w:tcPr>
            <w:tcW w:w="692" w:type="pct"/>
          </w:tcPr>
          <w:p w:rsidR="0025522E" w:rsidRPr="004C1013" w:rsidRDefault="0025522E" w:rsidP="0025522E">
            <w:pPr>
              <w:pStyle w:val="tabbielystyl"/>
            </w:pPr>
            <w:r w:rsidRPr="004C1013">
              <w:t>N/A</w:t>
            </w:r>
          </w:p>
        </w:tc>
      </w:tr>
      <w:tr w:rsidR="0025522E" w:rsidRPr="004C1013" w:rsidTr="00404B50">
        <w:trPr>
          <w:trHeight w:val="283"/>
        </w:trPr>
        <w:tc>
          <w:tcPr>
            <w:tcW w:w="532" w:type="pct"/>
            <w:hideMark/>
          </w:tcPr>
          <w:p w:rsidR="0025522E" w:rsidRPr="004C1013" w:rsidRDefault="0025522E" w:rsidP="0025522E">
            <w:pPr>
              <w:pStyle w:val="tabbielystyl"/>
            </w:pPr>
            <w:r w:rsidRPr="004C1013">
              <w:t>2006</w:t>
            </w:r>
          </w:p>
        </w:tc>
        <w:tc>
          <w:tcPr>
            <w:tcW w:w="481" w:type="pct"/>
            <w:hideMark/>
          </w:tcPr>
          <w:p w:rsidR="0025522E" w:rsidRPr="004C1013" w:rsidRDefault="0025522E" w:rsidP="0025522E">
            <w:pPr>
              <w:pStyle w:val="tabbielystyl"/>
            </w:pPr>
            <w:r w:rsidRPr="004C1013">
              <w:t>2.</w:t>
            </w:r>
          </w:p>
        </w:tc>
        <w:tc>
          <w:tcPr>
            <w:tcW w:w="659" w:type="pct"/>
            <w:vAlign w:val="bottom"/>
            <w:hideMark/>
          </w:tcPr>
          <w:p w:rsidR="0025522E" w:rsidRPr="004C1013" w:rsidRDefault="0025522E" w:rsidP="0025522E">
            <w:pPr>
              <w:pStyle w:val="tabbielystyl"/>
            </w:pPr>
            <w:r w:rsidRPr="004C1013">
              <w:t>5 784</w:t>
            </w:r>
          </w:p>
        </w:tc>
        <w:tc>
          <w:tcPr>
            <w:tcW w:w="678" w:type="pct"/>
            <w:vAlign w:val="bottom"/>
          </w:tcPr>
          <w:p w:rsidR="0025522E" w:rsidRPr="004C1013" w:rsidRDefault="0025522E" w:rsidP="0025522E">
            <w:pPr>
              <w:pStyle w:val="tabbielystyl"/>
            </w:pPr>
            <w:r w:rsidRPr="004C1013">
              <w:t>5 739</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25 897</w:t>
            </w:r>
          </w:p>
        </w:tc>
        <w:tc>
          <w:tcPr>
            <w:tcW w:w="678" w:type="pct"/>
            <w:vAlign w:val="bottom"/>
          </w:tcPr>
          <w:p w:rsidR="0025522E" w:rsidRPr="004C1013" w:rsidRDefault="00FC3B8F" w:rsidP="0025522E">
            <w:pPr>
              <w:pStyle w:val="tabbielystyl"/>
            </w:pPr>
            <w:r>
              <w:t>25 800</w:t>
            </w:r>
          </w:p>
        </w:tc>
        <w:tc>
          <w:tcPr>
            <w:tcW w:w="692" w:type="pct"/>
            <w:vAlign w:val="bottom"/>
          </w:tcPr>
          <w:p w:rsidR="0025522E" w:rsidRPr="004C1013" w:rsidRDefault="0025522E" w:rsidP="0025522E">
            <w:pPr>
              <w:pStyle w:val="tabbielystyl"/>
            </w:pPr>
            <w:r w:rsidRPr="004C1013">
              <w:t>26 100</w:t>
            </w:r>
          </w:p>
        </w:tc>
      </w:tr>
      <w:tr w:rsidR="0025522E" w:rsidRPr="004C1013" w:rsidTr="00404B50">
        <w:trPr>
          <w:trHeight w:val="283"/>
        </w:trPr>
        <w:tc>
          <w:tcPr>
            <w:tcW w:w="532" w:type="pct"/>
            <w:hideMark/>
          </w:tcPr>
          <w:p w:rsidR="0025522E" w:rsidRPr="004C1013" w:rsidRDefault="0025522E" w:rsidP="0025522E">
            <w:pPr>
              <w:pStyle w:val="tabbielystyl"/>
            </w:pPr>
            <w:r w:rsidRPr="004C1013">
              <w:t>2007</w:t>
            </w:r>
          </w:p>
        </w:tc>
        <w:tc>
          <w:tcPr>
            <w:tcW w:w="481" w:type="pct"/>
            <w:hideMark/>
          </w:tcPr>
          <w:p w:rsidR="0025522E" w:rsidRPr="004C1013" w:rsidRDefault="0025522E" w:rsidP="0025522E">
            <w:pPr>
              <w:pStyle w:val="tabbielystyl"/>
            </w:pPr>
            <w:r w:rsidRPr="004C1013">
              <w:t>3.</w:t>
            </w:r>
          </w:p>
        </w:tc>
        <w:tc>
          <w:tcPr>
            <w:tcW w:w="659" w:type="pct"/>
            <w:vAlign w:val="bottom"/>
            <w:hideMark/>
          </w:tcPr>
          <w:p w:rsidR="0025522E" w:rsidRPr="004C1013" w:rsidRDefault="0025522E" w:rsidP="0025522E">
            <w:pPr>
              <w:pStyle w:val="tabbielystyl"/>
            </w:pPr>
            <w:r w:rsidRPr="004C1013">
              <w:t>5 991</w:t>
            </w:r>
          </w:p>
        </w:tc>
        <w:tc>
          <w:tcPr>
            <w:tcW w:w="678" w:type="pct"/>
            <w:vAlign w:val="bottom"/>
          </w:tcPr>
          <w:p w:rsidR="0025522E" w:rsidRPr="004C1013" w:rsidRDefault="0025522E" w:rsidP="0025522E">
            <w:pPr>
              <w:pStyle w:val="tabbielystyl"/>
            </w:pPr>
            <w:r w:rsidRPr="004C1013">
              <w:t>5 996</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27 424</w:t>
            </w:r>
          </w:p>
        </w:tc>
        <w:tc>
          <w:tcPr>
            <w:tcW w:w="678" w:type="pct"/>
            <w:vAlign w:val="bottom"/>
          </w:tcPr>
          <w:p w:rsidR="0025522E" w:rsidRPr="004C1013" w:rsidRDefault="00FC3B8F" w:rsidP="0025522E">
            <w:pPr>
              <w:pStyle w:val="tabbielystyl"/>
            </w:pPr>
            <w:r>
              <w:t>27 400</w:t>
            </w:r>
          </w:p>
        </w:tc>
        <w:tc>
          <w:tcPr>
            <w:tcW w:w="692" w:type="pct"/>
            <w:vAlign w:val="bottom"/>
          </w:tcPr>
          <w:p w:rsidR="0025522E" w:rsidRPr="004C1013" w:rsidRDefault="0025522E" w:rsidP="0025522E">
            <w:pPr>
              <w:pStyle w:val="tabbielystyl"/>
            </w:pPr>
            <w:r w:rsidRPr="004C1013">
              <w:t>27 402</w:t>
            </w:r>
          </w:p>
        </w:tc>
      </w:tr>
      <w:tr w:rsidR="0025522E" w:rsidRPr="004C1013" w:rsidTr="00404B50">
        <w:trPr>
          <w:trHeight w:val="283"/>
        </w:trPr>
        <w:tc>
          <w:tcPr>
            <w:tcW w:w="532" w:type="pct"/>
            <w:hideMark/>
          </w:tcPr>
          <w:p w:rsidR="0025522E" w:rsidRPr="004C1013" w:rsidRDefault="0025522E" w:rsidP="0025522E">
            <w:pPr>
              <w:pStyle w:val="tabbielystyl"/>
            </w:pPr>
            <w:r w:rsidRPr="004C1013">
              <w:t>2008</w:t>
            </w:r>
          </w:p>
        </w:tc>
        <w:tc>
          <w:tcPr>
            <w:tcW w:w="481" w:type="pct"/>
            <w:hideMark/>
          </w:tcPr>
          <w:p w:rsidR="0025522E" w:rsidRPr="004C1013" w:rsidRDefault="0025522E" w:rsidP="0025522E">
            <w:pPr>
              <w:pStyle w:val="tabbielystyl"/>
            </w:pPr>
            <w:r w:rsidRPr="004C1013">
              <w:t>4.</w:t>
            </w:r>
          </w:p>
        </w:tc>
        <w:tc>
          <w:tcPr>
            <w:tcW w:w="659" w:type="pct"/>
            <w:vAlign w:val="bottom"/>
            <w:hideMark/>
          </w:tcPr>
          <w:p w:rsidR="0025522E" w:rsidRPr="004C1013" w:rsidRDefault="0025522E" w:rsidP="0025522E">
            <w:pPr>
              <w:pStyle w:val="tabbielystyl"/>
            </w:pPr>
            <w:r w:rsidRPr="004C1013">
              <w:t>5 973</w:t>
            </w:r>
          </w:p>
        </w:tc>
        <w:tc>
          <w:tcPr>
            <w:tcW w:w="678" w:type="pct"/>
            <w:vAlign w:val="bottom"/>
          </w:tcPr>
          <w:p w:rsidR="0025522E" w:rsidRPr="004C1013" w:rsidRDefault="0025522E" w:rsidP="0025522E">
            <w:pPr>
              <w:pStyle w:val="tabbielystyl"/>
            </w:pPr>
            <w:r w:rsidRPr="004C1013">
              <w:t>5 976</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27 655</w:t>
            </w:r>
          </w:p>
        </w:tc>
        <w:tc>
          <w:tcPr>
            <w:tcW w:w="678" w:type="pct"/>
            <w:vAlign w:val="bottom"/>
          </w:tcPr>
          <w:p w:rsidR="0025522E" w:rsidRPr="004C1013" w:rsidRDefault="00FC3B8F" w:rsidP="0025522E">
            <w:pPr>
              <w:pStyle w:val="tabbielystyl"/>
            </w:pPr>
            <w:r>
              <w:t>27 600</w:t>
            </w:r>
          </w:p>
        </w:tc>
        <w:tc>
          <w:tcPr>
            <w:tcW w:w="692" w:type="pct"/>
            <w:vAlign w:val="bottom"/>
          </w:tcPr>
          <w:p w:rsidR="0025522E" w:rsidRPr="004C1013" w:rsidRDefault="0025522E" w:rsidP="0025522E">
            <w:pPr>
              <w:pStyle w:val="tabbielystyl"/>
            </w:pPr>
            <w:r w:rsidRPr="004C1013">
              <w:t>27 640</w:t>
            </w:r>
          </w:p>
        </w:tc>
      </w:tr>
      <w:tr w:rsidR="0025522E" w:rsidRPr="004C1013" w:rsidTr="00404B50">
        <w:trPr>
          <w:trHeight w:val="283"/>
        </w:trPr>
        <w:tc>
          <w:tcPr>
            <w:tcW w:w="532" w:type="pct"/>
            <w:hideMark/>
          </w:tcPr>
          <w:p w:rsidR="0025522E" w:rsidRPr="004C1013" w:rsidRDefault="0025522E" w:rsidP="0025522E">
            <w:pPr>
              <w:pStyle w:val="tabbielystyl"/>
            </w:pPr>
            <w:r w:rsidRPr="004C1013">
              <w:t>2009</w:t>
            </w:r>
          </w:p>
        </w:tc>
        <w:tc>
          <w:tcPr>
            <w:tcW w:w="481" w:type="pct"/>
            <w:hideMark/>
          </w:tcPr>
          <w:p w:rsidR="0025522E" w:rsidRPr="004C1013" w:rsidRDefault="0025522E" w:rsidP="0025522E">
            <w:pPr>
              <w:pStyle w:val="tabbielystyl"/>
            </w:pPr>
            <w:r w:rsidRPr="004C1013">
              <w:t>5.</w:t>
            </w:r>
          </w:p>
        </w:tc>
        <w:tc>
          <w:tcPr>
            <w:tcW w:w="659" w:type="pct"/>
            <w:vAlign w:val="bottom"/>
            <w:hideMark/>
          </w:tcPr>
          <w:p w:rsidR="0025522E" w:rsidRPr="004C1013" w:rsidRDefault="0025522E" w:rsidP="0025522E">
            <w:pPr>
              <w:pStyle w:val="tabbielystyl"/>
            </w:pPr>
            <w:r w:rsidRPr="004C1013">
              <w:t>5 225</w:t>
            </w:r>
          </w:p>
        </w:tc>
        <w:tc>
          <w:tcPr>
            <w:tcW w:w="678" w:type="pct"/>
            <w:vAlign w:val="bottom"/>
          </w:tcPr>
          <w:p w:rsidR="0025522E" w:rsidRPr="004C1013" w:rsidRDefault="0025522E" w:rsidP="0025522E">
            <w:pPr>
              <w:pStyle w:val="tabbielystyl"/>
            </w:pPr>
            <w:r w:rsidRPr="004C1013">
              <w:t>5 224</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24 360</w:t>
            </w:r>
          </w:p>
        </w:tc>
        <w:tc>
          <w:tcPr>
            <w:tcW w:w="678" w:type="pct"/>
            <w:vAlign w:val="bottom"/>
          </w:tcPr>
          <w:p w:rsidR="0025522E" w:rsidRPr="004C1013" w:rsidRDefault="00FC3B8F" w:rsidP="0025522E">
            <w:pPr>
              <w:pStyle w:val="tabbielystyl"/>
            </w:pPr>
            <w:r>
              <w:t>24 400</w:t>
            </w:r>
          </w:p>
        </w:tc>
        <w:tc>
          <w:tcPr>
            <w:tcW w:w="692" w:type="pct"/>
            <w:vAlign w:val="bottom"/>
          </w:tcPr>
          <w:p w:rsidR="0025522E" w:rsidRPr="004C1013" w:rsidRDefault="0025522E" w:rsidP="0025522E">
            <w:pPr>
              <w:pStyle w:val="tabbielystyl"/>
            </w:pPr>
            <w:r w:rsidRPr="004C1013">
              <w:t>24 364</w:t>
            </w:r>
          </w:p>
        </w:tc>
      </w:tr>
      <w:tr w:rsidR="0025522E" w:rsidRPr="004C1013" w:rsidTr="00404B50">
        <w:trPr>
          <w:trHeight w:val="283"/>
        </w:trPr>
        <w:tc>
          <w:tcPr>
            <w:tcW w:w="532" w:type="pct"/>
            <w:hideMark/>
          </w:tcPr>
          <w:p w:rsidR="0025522E" w:rsidRPr="004C1013" w:rsidRDefault="0025522E" w:rsidP="0025522E">
            <w:pPr>
              <w:pStyle w:val="tabbielystyl"/>
            </w:pPr>
            <w:r w:rsidRPr="004C1013">
              <w:t>2010</w:t>
            </w:r>
          </w:p>
        </w:tc>
        <w:tc>
          <w:tcPr>
            <w:tcW w:w="481" w:type="pct"/>
            <w:hideMark/>
          </w:tcPr>
          <w:p w:rsidR="0025522E" w:rsidRPr="004C1013" w:rsidRDefault="0025522E" w:rsidP="0025522E">
            <w:pPr>
              <w:pStyle w:val="tabbielystyl"/>
            </w:pPr>
            <w:r w:rsidRPr="004C1013">
              <w:t>6.</w:t>
            </w:r>
          </w:p>
        </w:tc>
        <w:tc>
          <w:tcPr>
            <w:tcW w:w="659" w:type="pct"/>
            <w:vAlign w:val="bottom"/>
            <w:hideMark/>
          </w:tcPr>
          <w:p w:rsidR="0025522E" w:rsidRPr="004C1013" w:rsidRDefault="0025522E" w:rsidP="0025522E">
            <w:pPr>
              <w:pStyle w:val="tabbielystyl"/>
            </w:pPr>
            <w:r w:rsidRPr="004C1013">
              <w:t>5 514</w:t>
            </w:r>
          </w:p>
        </w:tc>
        <w:tc>
          <w:tcPr>
            <w:tcW w:w="678" w:type="pct"/>
            <w:vAlign w:val="bottom"/>
          </w:tcPr>
          <w:p w:rsidR="0025522E" w:rsidRPr="004C1013" w:rsidRDefault="0025522E" w:rsidP="0025522E">
            <w:pPr>
              <w:pStyle w:val="tabbielystyl"/>
            </w:pPr>
            <w:r w:rsidRPr="004C1013">
              <w:t>5 513</w:t>
            </w:r>
          </w:p>
        </w:tc>
        <w:tc>
          <w:tcPr>
            <w:tcW w:w="527" w:type="pct"/>
            <w:vAlign w:val="bottom"/>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25 734</w:t>
            </w:r>
          </w:p>
        </w:tc>
        <w:tc>
          <w:tcPr>
            <w:tcW w:w="678" w:type="pct"/>
            <w:vAlign w:val="bottom"/>
          </w:tcPr>
          <w:p w:rsidR="0025522E" w:rsidRPr="004C1013" w:rsidRDefault="00FC3B8F" w:rsidP="0025522E">
            <w:pPr>
              <w:pStyle w:val="tabbielystyl"/>
            </w:pPr>
            <w:r>
              <w:t>25 700</w:t>
            </w:r>
          </w:p>
        </w:tc>
        <w:tc>
          <w:tcPr>
            <w:tcW w:w="692" w:type="pct"/>
            <w:vAlign w:val="bottom"/>
          </w:tcPr>
          <w:p w:rsidR="0025522E" w:rsidRPr="004C1013" w:rsidRDefault="0025522E" w:rsidP="0025522E">
            <w:pPr>
              <w:pStyle w:val="tabbielystyl"/>
            </w:pPr>
            <w:r w:rsidRPr="004C1013">
              <w:t>25 737</w:t>
            </w:r>
          </w:p>
        </w:tc>
      </w:tr>
      <w:tr w:rsidR="0025522E" w:rsidRPr="004C1013" w:rsidTr="00404B50">
        <w:trPr>
          <w:trHeight w:val="283"/>
        </w:trPr>
        <w:tc>
          <w:tcPr>
            <w:tcW w:w="532" w:type="pct"/>
            <w:hideMark/>
          </w:tcPr>
          <w:p w:rsidR="0025522E" w:rsidRPr="004C1013" w:rsidRDefault="0025522E" w:rsidP="0025522E">
            <w:pPr>
              <w:pStyle w:val="tabbielystyl"/>
            </w:pPr>
            <w:r w:rsidRPr="004C1013">
              <w:t>2011</w:t>
            </w:r>
          </w:p>
        </w:tc>
        <w:tc>
          <w:tcPr>
            <w:tcW w:w="481" w:type="pct"/>
            <w:hideMark/>
          </w:tcPr>
          <w:p w:rsidR="0025522E" w:rsidRPr="004C1013" w:rsidRDefault="0025522E" w:rsidP="0025522E">
            <w:pPr>
              <w:pStyle w:val="tabbielystyl"/>
            </w:pPr>
            <w:r w:rsidRPr="004C1013">
              <w:t>7.</w:t>
            </w:r>
          </w:p>
        </w:tc>
        <w:tc>
          <w:tcPr>
            <w:tcW w:w="659" w:type="pct"/>
            <w:vAlign w:val="bottom"/>
            <w:hideMark/>
          </w:tcPr>
          <w:p w:rsidR="0025522E" w:rsidRPr="004C1013" w:rsidRDefault="0025522E" w:rsidP="0025522E">
            <w:pPr>
              <w:pStyle w:val="tabbielystyl"/>
            </w:pPr>
            <w:r w:rsidRPr="004C1013">
              <w:t>5 706</w:t>
            </w:r>
          </w:p>
        </w:tc>
        <w:tc>
          <w:tcPr>
            <w:tcW w:w="678" w:type="pct"/>
            <w:vAlign w:val="bottom"/>
          </w:tcPr>
          <w:p w:rsidR="0025522E" w:rsidRPr="004C1013" w:rsidRDefault="0025522E" w:rsidP="0025522E">
            <w:pPr>
              <w:pStyle w:val="tabbielystyl"/>
            </w:pPr>
            <w:r w:rsidRPr="004C1013">
              <w:t>5 707</w:t>
            </w:r>
          </w:p>
        </w:tc>
        <w:tc>
          <w:tcPr>
            <w:tcW w:w="527" w:type="pct"/>
            <w:vAlign w:val="bottom"/>
          </w:tcPr>
          <w:p w:rsidR="0025522E" w:rsidRPr="004C1013" w:rsidRDefault="0025522E" w:rsidP="0025522E">
            <w:pPr>
              <w:pStyle w:val="tabbielystyl"/>
            </w:pPr>
            <w:r w:rsidRPr="004C1013">
              <w:t>26 685</w:t>
            </w:r>
          </w:p>
        </w:tc>
        <w:tc>
          <w:tcPr>
            <w:tcW w:w="753" w:type="pct"/>
            <w:vAlign w:val="bottom"/>
          </w:tcPr>
          <w:p w:rsidR="0025522E" w:rsidRPr="004C1013" w:rsidRDefault="0025522E" w:rsidP="0025522E">
            <w:pPr>
              <w:pStyle w:val="tabbielystyl"/>
            </w:pPr>
            <w:r w:rsidRPr="004C1013">
              <w:t>26 686</w:t>
            </w:r>
          </w:p>
        </w:tc>
        <w:tc>
          <w:tcPr>
            <w:tcW w:w="678" w:type="pct"/>
            <w:vAlign w:val="bottom"/>
          </w:tcPr>
          <w:p w:rsidR="0025522E" w:rsidRPr="004C1013" w:rsidRDefault="00FC3B8F" w:rsidP="0025522E">
            <w:pPr>
              <w:pStyle w:val="tabbielystyl"/>
            </w:pPr>
            <w:r>
              <w:t>26 700</w:t>
            </w:r>
          </w:p>
        </w:tc>
        <w:tc>
          <w:tcPr>
            <w:tcW w:w="692" w:type="pct"/>
            <w:vAlign w:val="bottom"/>
          </w:tcPr>
          <w:p w:rsidR="0025522E" w:rsidRPr="004C1013" w:rsidRDefault="0025522E" w:rsidP="0025522E">
            <w:pPr>
              <w:pStyle w:val="tabbielystyl"/>
            </w:pPr>
            <w:r w:rsidRPr="004C1013">
              <w:t>26 683</w:t>
            </w:r>
          </w:p>
        </w:tc>
      </w:tr>
      <w:tr w:rsidR="0025522E" w:rsidRPr="004C1013" w:rsidTr="00404B50">
        <w:trPr>
          <w:trHeight w:val="283"/>
        </w:trPr>
        <w:tc>
          <w:tcPr>
            <w:tcW w:w="532" w:type="pct"/>
            <w:hideMark/>
          </w:tcPr>
          <w:p w:rsidR="0025522E" w:rsidRPr="004C1013" w:rsidRDefault="0025522E" w:rsidP="0025522E">
            <w:pPr>
              <w:pStyle w:val="tabbielystyl"/>
            </w:pPr>
            <w:r w:rsidRPr="004C1013">
              <w:t>2012</w:t>
            </w:r>
          </w:p>
        </w:tc>
        <w:tc>
          <w:tcPr>
            <w:tcW w:w="481" w:type="pct"/>
            <w:hideMark/>
          </w:tcPr>
          <w:p w:rsidR="0025522E" w:rsidRPr="004C1013" w:rsidRDefault="0025522E" w:rsidP="0025522E">
            <w:pPr>
              <w:pStyle w:val="tabbielystyl"/>
            </w:pPr>
            <w:r w:rsidRPr="004C1013">
              <w:t>8.</w:t>
            </w:r>
          </w:p>
        </w:tc>
        <w:tc>
          <w:tcPr>
            <w:tcW w:w="659" w:type="pct"/>
            <w:vAlign w:val="bottom"/>
            <w:hideMark/>
          </w:tcPr>
          <w:p w:rsidR="0025522E" w:rsidRPr="004C1013" w:rsidRDefault="0025522E" w:rsidP="0025522E">
            <w:pPr>
              <w:pStyle w:val="tabbielystyl"/>
            </w:pPr>
            <w:r w:rsidRPr="004C1013">
              <w:t>5 591</w:t>
            </w:r>
          </w:p>
        </w:tc>
        <w:tc>
          <w:tcPr>
            <w:tcW w:w="678" w:type="pct"/>
            <w:vAlign w:val="bottom"/>
          </w:tcPr>
          <w:p w:rsidR="0025522E" w:rsidRPr="004C1013" w:rsidRDefault="0025522E" w:rsidP="0025522E">
            <w:pPr>
              <w:pStyle w:val="tabbielystyl"/>
            </w:pPr>
            <w:r w:rsidRPr="004C1013">
              <w:t>5 204</w:t>
            </w:r>
          </w:p>
        </w:tc>
        <w:tc>
          <w:tcPr>
            <w:tcW w:w="527" w:type="pct"/>
            <w:vAlign w:val="bottom"/>
          </w:tcPr>
          <w:p w:rsidR="0025522E" w:rsidRPr="004C1013" w:rsidRDefault="0025522E" w:rsidP="0025522E">
            <w:pPr>
              <w:pStyle w:val="tabbielystyl"/>
            </w:pPr>
            <w:r w:rsidRPr="004C1013">
              <w:t>26 591</w:t>
            </w:r>
          </w:p>
        </w:tc>
        <w:tc>
          <w:tcPr>
            <w:tcW w:w="753" w:type="pct"/>
            <w:vAlign w:val="bottom"/>
          </w:tcPr>
          <w:p w:rsidR="0025522E" w:rsidRPr="004C1013" w:rsidRDefault="0025522E" w:rsidP="0025522E">
            <w:pPr>
              <w:pStyle w:val="tabbielystyl"/>
            </w:pPr>
            <w:r w:rsidRPr="004C1013">
              <w:t>26 590</w:t>
            </w:r>
          </w:p>
        </w:tc>
        <w:tc>
          <w:tcPr>
            <w:tcW w:w="678" w:type="pct"/>
            <w:vAlign w:val="bottom"/>
          </w:tcPr>
          <w:p w:rsidR="0025522E" w:rsidRPr="004C1013" w:rsidRDefault="00FC3B8F" w:rsidP="0025522E">
            <w:pPr>
              <w:pStyle w:val="tabbielystyl"/>
            </w:pPr>
            <w:r>
              <w:t>26 600</w:t>
            </w:r>
          </w:p>
        </w:tc>
        <w:tc>
          <w:tcPr>
            <w:tcW w:w="692" w:type="pct"/>
            <w:vAlign w:val="bottom"/>
          </w:tcPr>
          <w:p w:rsidR="0025522E" w:rsidRPr="004C1013" w:rsidRDefault="0025522E" w:rsidP="0025522E">
            <w:pPr>
              <w:pStyle w:val="tabbielystyl"/>
            </w:pPr>
            <w:r w:rsidRPr="004C1013">
              <w:t>28 568</w:t>
            </w:r>
          </w:p>
        </w:tc>
      </w:tr>
      <w:tr w:rsidR="0025522E" w:rsidRPr="004C1013" w:rsidTr="00404B50">
        <w:trPr>
          <w:trHeight w:val="283"/>
        </w:trPr>
        <w:tc>
          <w:tcPr>
            <w:tcW w:w="532" w:type="pct"/>
            <w:hideMark/>
          </w:tcPr>
          <w:p w:rsidR="0025522E" w:rsidRPr="004C1013" w:rsidRDefault="0025522E" w:rsidP="0025522E">
            <w:pPr>
              <w:pStyle w:val="tabbielystyl"/>
            </w:pPr>
            <w:r w:rsidRPr="004C1013">
              <w:t>2013</w:t>
            </w:r>
          </w:p>
        </w:tc>
        <w:tc>
          <w:tcPr>
            <w:tcW w:w="481" w:type="pct"/>
            <w:hideMark/>
          </w:tcPr>
          <w:p w:rsidR="0025522E" w:rsidRPr="004C1013" w:rsidRDefault="0025522E" w:rsidP="0025522E">
            <w:pPr>
              <w:pStyle w:val="tabbielystyl"/>
            </w:pPr>
            <w:r w:rsidRPr="004C1013">
              <w:t>9.</w:t>
            </w:r>
          </w:p>
        </w:tc>
        <w:tc>
          <w:tcPr>
            <w:tcW w:w="659" w:type="pct"/>
            <w:vAlign w:val="bottom"/>
            <w:hideMark/>
          </w:tcPr>
          <w:p w:rsidR="0025522E" w:rsidRPr="004C1013" w:rsidRDefault="0025522E" w:rsidP="0025522E">
            <w:pPr>
              <w:pStyle w:val="tabbielystyl"/>
            </w:pPr>
            <w:r w:rsidRPr="004C1013">
              <w:t>5 644</w:t>
            </w:r>
          </w:p>
        </w:tc>
        <w:tc>
          <w:tcPr>
            <w:tcW w:w="678" w:type="pct"/>
            <w:vAlign w:val="bottom"/>
          </w:tcPr>
          <w:p w:rsidR="0025522E" w:rsidRPr="004C1013" w:rsidRDefault="0025522E" w:rsidP="0025522E">
            <w:pPr>
              <w:pStyle w:val="tabbielystyl"/>
            </w:pPr>
            <w:r w:rsidRPr="004C1013">
              <w:t>5 304</w:t>
            </w:r>
          </w:p>
        </w:tc>
        <w:tc>
          <w:tcPr>
            <w:tcW w:w="527" w:type="pct"/>
            <w:vAlign w:val="bottom"/>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27 229</w:t>
            </w:r>
          </w:p>
        </w:tc>
        <w:tc>
          <w:tcPr>
            <w:tcW w:w="678" w:type="pct"/>
            <w:vAlign w:val="bottom"/>
          </w:tcPr>
          <w:p w:rsidR="0025522E" w:rsidRPr="004C1013" w:rsidRDefault="00FC3B8F" w:rsidP="0025522E">
            <w:pPr>
              <w:pStyle w:val="tabbielystyl"/>
            </w:pPr>
            <w:r>
              <w:t>27 200</w:t>
            </w:r>
          </w:p>
        </w:tc>
        <w:tc>
          <w:tcPr>
            <w:tcW w:w="692" w:type="pct"/>
            <w:vAlign w:val="bottom"/>
          </w:tcPr>
          <w:p w:rsidR="0025522E" w:rsidRPr="004C1013" w:rsidRDefault="0025522E" w:rsidP="0025522E">
            <w:pPr>
              <w:pStyle w:val="tabbielystyl"/>
            </w:pPr>
            <w:r w:rsidRPr="004C1013">
              <w:t>28 974</w:t>
            </w:r>
          </w:p>
        </w:tc>
      </w:tr>
      <w:tr w:rsidR="0025522E" w:rsidRPr="004C1013" w:rsidTr="00404B50">
        <w:trPr>
          <w:trHeight w:val="283"/>
        </w:trPr>
        <w:tc>
          <w:tcPr>
            <w:tcW w:w="532" w:type="pct"/>
            <w:hideMark/>
          </w:tcPr>
          <w:p w:rsidR="0025522E" w:rsidRPr="004C1013" w:rsidRDefault="0025522E" w:rsidP="0025522E">
            <w:pPr>
              <w:pStyle w:val="tabbielystyl"/>
            </w:pPr>
            <w:r w:rsidRPr="004C1013">
              <w:t>2014</w:t>
            </w:r>
          </w:p>
        </w:tc>
        <w:tc>
          <w:tcPr>
            <w:tcW w:w="481" w:type="pct"/>
            <w:hideMark/>
          </w:tcPr>
          <w:p w:rsidR="0025522E" w:rsidRPr="004C1013" w:rsidRDefault="0025522E" w:rsidP="0025522E">
            <w:pPr>
              <w:pStyle w:val="tabbielystyl"/>
            </w:pPr>
            <w:r w:rsidRPr="004C1013">
              <w:t>10.</w:t>
            </w:r>
          </w:p>
        </w:tc>
        <w:tc>
          <w:tcPr>
            <w:tcW w:w="659" w:type="pct"/>
            <w:vAlign w:val="bottom"/>
            <w:hideMark/>
          </w:tcPr>
          <w:p w:rsidR="0025522E" w:rsidRPr="004C1013" w:rsidRDefault="0025522E" w:rsidP="0025522E">
            <w:pPr>
              <w:pStyle w:val="tabbielystyl"/>
            </w:pPr>
            <w:r w:rsidRPr="004C1013">
              <w:t>5 806</w:t>
            </w:r>
          </w:p>
        </w:tc>
        <w:tc>
          <w:tcPr>
            <w:tcW w:w="678" w:type="pct"/>
            <w:vAlign w:val="bottom"/>
          </w:tcPr>
          <w:p w:rsidR="0025522E" w:rsidRPr="004C1013" w:rsidRDefault="0025522E" w:rsidP="0025522E">
            <w:pPr>
              <w:pStyle w:val="tabbielystyl"/>
            </w:pPr>
            <w:r w:rsidRPr="004C1013">
              <w:t>5 433</w:t>
            </w:r>
          </w:p>
        </w:tc>
        <w:tc>
          <w:tcPr>
            <w:tcW w:w="527" w:type="pct"/>
            <w:vAlign w:val="bottom"/>
          </w:tcPr>
          <w:p w:rsidR="0025522E" w:rsidRPr="004C1013" w:rsidRDefault="0025522E" w:rsidP="0025522E">
            <w:pPr>
              <w:pStyle w:val="tabbielystyl"/>
            </w:pPr>
            <w:r w:rsidRPr="004C1013">
              <w:t>28 032</w:t>
            </w:r>
          </w:p>
        </w:tc>
        <w:tc>
          <w:tcPr>
            <w:tcW w:w="753" w:type="pct"/>
            <w:vAlign w:val="bottom"/>
          </w:tcPr>
          <w:p w:rsidR="0025522E" w:rsidRPr="004C1013" w:rsidRDefault="0025522E" w:rsidP="0025522E">
            <w:pPr>
              <w:pStyle w:val="tabbielystyl"/>
            </w:pPr>
            <w:r w:rsidRPr="004C1013">
              <w:t>28 032</w:t>
            </w:r>
          </w:p>
        </w:tc>
        <w:tc>
          <w:tcPr>
            <w:tcW w:w="678" w:type="pct"/>
            <w:vAlign w:val="bottom"/>
          </w:tcPr>
          <w:p w:rsidR="0025522E" w:rsidRPr="004C1013" w:rsidRDefault="0025522E" w:rsidP="0025522E">
            <w:pPr>
              <w:pStyle w:val="tabbielystyl"/>
            </w:pPr>
            <w:r w:rsidRPr="004C1013">
              <w:t>28</w:t>
            </w:r>
            <w:r w:rsidR="00FC3B8F">
              <w:t xml:space="preserve"> 000</w:t>
            </w:r>
          </w:p>
        </w:tc>
        <w:tc>
          <w:tcPr>
            <w:tcW w:w="692" w:type="pct"/>
            <w:vAlign w:val="bottom"/>
          </w:tcPr>
          <w:p w:rsidR="0025522E" w:rsidRPr="004C1013" w:rsidRDefault="0025522E" w:rsidP="0025522E">
            <w:pPr>
              <w:pStyle w:val="tabbielystyl"/>
            </w:pPr>
            <w:r w:rsidRPr="004C1013">
              <w:t>29 957</w:t>
            </w:r>
          </w:p>
        </w:tc>
      </w:tr>
      <w:tr w:rsidR="0025522E" w:rsidRPr="004C1013" w:rsidTr="00404B50">
        <w:trPr>
          <w:trHeight w:val="283"/>
        </w:trPr>
        <w:tc>
          <w:tcPr>
            <w:tcW w:w="532" w:type="pct"/>
            <w:hideMark/>
          </w:tcPr>
          <w:p w:rsidR="0025522E" w:rsidRPr="004C1013" w:rsidRDefault="0025522E" w:rsidP="0025522E">
            <w:pPr>
              <w:pStyle w:val="tabbielystyl"/>
            </w:pPr>
            <w:r w:rsidRPr="004C1013">
              <w:t>2015</w:t>
            </w:r>
          </w:p>
        </w:tc>
        <w:tc>
          <w:tcPr>
            <w:tcW w:w="481" w:type="pct"/>
            <w:hideMark/>
          </w:tcPr>
          <w:p w:rsidR="0025522E" w:rsidRPr="004C1013" w:rsidRDefault="0025522E" w:rsidP="0025522E">
            <w:pPr>
              <w:pStyle w:val="tabbielystyl"/>
            </w:pPr>
            <w:r w:rsidRPr="004C1013">
              <w:t>11.</w:t>
            </w:r>
          </w:p>
        </w:tc>
        <w:tc>
          <w:tcPr>
            <w:tcW w:w="659" w:type="pct"/>
            <w:vAlign w:val="bottom"/>
            <w:hideMark/>
          </w:tcPr>
          <w:p w:rsidR="0025522E" w:rsidRPr="004C1013" w:rsidRDefault="0025522E" w:rsidP="0025522E">
            <w:pPr>
              <w:pStyle w:val="tabbielystyl"/>
            </w:pPr>
            <w:r w:rsidRPr="004C1013">
              <w:t>6 065</w:t>
            </w:r>
          </w:p>
        </w:tc>
        <w:tc>
          <w:tcPr>
            <w:tcW w:w="678" w:type="pct"/>
            <w:vAlign w:val="bottom"/>
          </w:tcPr>
          <w:p w:rsidR="0025522E" w:rsidRPr="004C1013" w:rsidRDefault="0025522E" w:rsidP="0025522E">
            <w:pPr>
              <w:pStyle w:val="tabbielystyl"/>
            </w:pPr>
            <w:r w:rsidRPr="004C1013">
              <w:t>5 341</w:t>
            </w:r>
          </w:p>
        </w:tc>
        <w:tc>
          <w:tcPr>
            <w:tcW w:w="527" w:type="pct"/>
            <w:vAlign w:val="bottom"/>
          </w:tcPr>
          <w:p w:rsidR="0025522E" w:rsidRPr="004C1013" w:rsidRDefault="0025522E" w:rsidP="0025522E">
            <w:pPr>
              <w:pStyle w:val="tabbielystyl"/>
            </w:pPr>
            <w:r w:rsidRPr="004C1013">
              <w:t>29 702</w:t>
            </w:r>
          </w:p>
        </w:tc>
        <w:tc>
          <w:tcPr>
            <w:tcW w:w="753" w:type="pct"/>
            <w:vAlign w:val="bottom"/>
          </w:tcPr>
          <w:p w:rsidR="0025522E" w:rsidRPr="004C1013" w:rsidRDefault="0025522E" w:rsidP="0025522E">
            <w:pPr>
              <w:pStyle w:val="tabbielystyl"/>
            </w:pPr>
            <w:r w:rsidRPr="004C1013">
              <w:t>29 735</w:t>
            </w:r>
          </w:p>
        </w:tc>
        <w:tc>
          <w:tcPr>
            <w:tcW w:w="678" w:type="pct"/>
            <w:vAlign w:val="bottom"/>
          </w:tcPr>
          <w:p w:rsidR="0025522E" w:rsidRPr="004C1013" w:rsidRDefault="00FC3B8F" w:rsidP="0025522E">
            <w:pPr>
              <w:pStyle w:val="tabbielystyl"/>
            </w:pPr>
            <w:r>
              <w:t>29 700</w:t>
            </w:r>
          </w:p>
        </w:tc>
        <w:tc>
          <w:tcPr>
            <w:tcW w:w="692" w:type="pct"/>
            <w:vAlign w:val="bottom"/>
          </w:tcPr>
          <w:p w:rsidR="0025522E" w:rsidRPr="004C1013" w:rsidRDefault="0025522E" w:rsidP="0025522E">
            <w:pPr>
              <w:pStyle w:val="tabbielystyl"/>
            </w:pPr>
            <w:r w:rsidRPr="004C1013">
              <w:t>33 764</w:t>
            </w:r>
          </w:p>
        </w:tc>
      </w:tr>
      <w:tr w:rsidR="0025522E" w:rsidRPr="004C1013" w:rsidTr="00404B50">
        <w:trPr>
          <w:trHeight w:val="283"/>
        </w:trPr>
        <w:tc>
          <w:tcPr>
            <w:tcW w:w="532" w:type="pct"/>
            <w:hideMark/>
          </w:tcPr>
          <w:p w:rsidR="0025522E" w:rsidRPr="004C1013" w:rsidRDefault="0025522E" w:rsidP="0025522E">
            <w:pPr>
              <w:pStyle w:val="tabbielystyl"/>
            </w:pPr>
            <w:r w:rsidRPr="004C1013">
              <w:t>2016</w:t>
            </w:r>
          </w:p>
        </w:tc>
        <w:tc>
          <w:tcPr>
            <w:tcW w:w="481" w:type="pct"/>
            <w:hideMark/>
          </w:tcPr>
          <w:p w:rsidR="0025522E" w:rsidRPr="004C1013" w:rsidRDefault="0025522E" w:rsidP="0025522E">
            <w:pPr>
              <w:pStyle w:val="tabbielystyl"/>
            </w:pPr>
            <w:r w:rsidRPr="004C1013">
              <w:t>12.</w:t>
            </w:r>
          </w:p>
        </w:tc>
        <w:tc>
          <w:tcPr>
            <w:tcW w:w="659" w:type="pct"/>
            <w:vAlign w:val="bottom"/>
            <w:hideMark/>
          </w:tcPr>
          <w:p w:rsidR="0025522E" w:rsidRPr="004C1013" w:rsidRDefault="0025522E" w:rsidP="0025522E">
            <w:pPr>
              <w:pStyle w:val="tabbielystyl"/>
            </w:pPr>
            <w:r w:rsidRPr="004C1013">
              <w:t>6 565</w:t>
            </w:r>
          </w:p>
        </w:tc>
        <w:tc>
          <w:tcPr>
            <w:tcW w:w="678" w:type="pct"/>
            <w:vAlign w:val="bottom"/>
          </w:tcPr>
          <w:p w:rsidR="0025522E" w:rsidRPr="004C1013" w:rsidRDefault="0025522E" w:rsidP="0025522E">
            <w:pPr>
              <w:pStyle w:val="tabbielystyl"/>
            </w:pPr>
            <w:r w:rsidRPr="004C1013">
              <w:t>5 825</w:t>
            </w:r>
          </w:p>
        </w:tc>
        <w:tc>
          <w:tcPr>
            <w:tcW w:w="527" w:type="pct"/>
            <w:vAlign w:val="bottom"/>
          </w:tcPr>
          <w:p w:rsidR="0025522E" w:rsidRPr="004C1013" w:rsidRDefault="0025522E" w:rsidP="0025522E">
            <w:pPr>
              <w:pStyle w:val="tabbielystyl"/>
            </w:pPr>
            <w:r w:rsidRPr="004C1013">
              <w:t>32 468</w:t>
            </w:r>
          </w:p>
        </w:tc>
        <w:tc>
          <w:tcPr>
            <w:tcW w:w="753" w:type="pct"/>
            <w:vAlign w:val="bottom"/>
          </w:tcPr>
          <w:p w:rsidR="0025522E" w:rsidRPr="004C1013" w:rsidRDefault="0025522E" w:rsidP="0025522E">
            <w:pPr>
              <w:pStyle w:val="tabbielystyl"/>
            </w:pPr>
            <w:r w:rsidRPr="004C1013">
              <w:t>32 479</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36 605</w:t>
            </w:r>
          </w:p>
        </w:tc>
      </w:tr>
      <w:tr w:rsidR="0025522E" w:rsidRPr="004C1013" w:rsidTr="00404B50">
        <w:trPr>
          <w:trHeight w:val="283"/>
        </w:trPr>
        <w:tc>
          <w:tcPr>
            <w:tcW w:w="532" w:type="pct"/>
            <w:hideMark/>
          </w:tcPr>
          <w:p w:rsidR="0025522E" w:rsidRPr="004C1013" w:rsidRDefault="0025522E" w:rsidP="0025522E">
            <w:pPr>
              <w:pStyle w:val="tabbielystyl"/>
            </w:pPr>
            <w:r w:rsidRPr="004C1013">
              <w:t>2017</w:t>
            </w:r>
          </w:p>
        </w:tc>
        <w:tc>
          <w:tcPr>
            <w:tcW w:w="481" w:type="pct"/>
            <w:hideMark/>
          </w:tcPr>
          <w:p w:rsidR="0025522E" w:rsidRPr="004C1013" w:rsidRDefault="0025522E" w:rsidP="0025522E">
            <w:pPr>
              <w:pStyle w:val="tabbielystyl"/>
            </w:pPr>
            <w:r w:rsidRPr="004C1013">
              <w:t>13.</w:t>
            </w:r>
          </w:p>
        </w:tc>
        <w:tc>
          <w:tcPr>
            <w:tcW w:w="659" w:type="pct"/>
            <w:vAlign w:val="bottom"/>
            <w:hideMark/>
          </w:tcPr>
          <w:p w:rsidR="0025522E" w:rsidRPr="004C1013" w:rsidRDefault="0025522E" w:rsidP="0025522E">
            <w:pPr>
              <w:pStyle w:val="tabbielystyl"/>
            </w:pPr>
            <w:r w:rsidRPr="004C1013">
              <w:t>6 772</w:t>
            </w:r>
          </w:p>
        </w:tc>
        <w:tc>
          <w:tcPr>
            <w:tcW w:w="678" w:type="pct"/>
            <w:vAlign w:val="bottom"/>
          </w:tcPr>
          <w:p w:rsidR="0025522E" w:rsidRPr="004C1013" w:rsidRDefault="0025522E" w:rsidP="0025522E">
            <w:pPr>
              <w:pStyle w:val="tabbielystyl"/>
            </w:pPr>
            <w:r w:rsidRPr="004C1013">
              <w:t>6 007</w:t>
            </w:r>
          </w:p>
        </w:tc>
        <w:tc>
          <w:tcPr>
            <w:tcW w:w="527" w:type="pct"/>
            <w:vAlign w:val="bottom"/>
          </w:tcPr>
          <w:p w:rsidR="0025522E" w:rsidRPr="004C1013" w:rsidRDefault="0025522E" w:rsidP="0025522E">
            <w:pPr>
              <w:pStyle w:val="tabbielystyl"/>
            </w:pPr>
            <w:r w:rsidRPr="004C1013">
              <w:t>33 552</w:t>
            </w:r>
          </w:p>
        </w:tc>
        <w:tc>
          <w:tcPr>
            <w:tcW w:w="753" w:type="pct"/>
            <w:vAlign w:val="bottom"/>
          </w:tcPr>
          <w:p w:rsidR="0025522E" w:rsidRPr="004C1013" w:rsidRDefault="0025522E" w:rsidP="0025522E">
            <w:pPr>
              <w:pStyle w:val="tabbielystyl"/>
            </w:pPr>
            <w:r w:rsidRPr="004C1013">
              <w:t>33 557</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37 833</w:t>
            </w:r>
          </w:p>
        </w:tc>
      </w:tr>
      <w:tr w:rsidR="0025522E" w:rsidRPr="004C1013" w:rsidTr="00404B50">
        <w:trPr>
          <w:trHeight w:val="283"/>
        </w:trPr>
        <w:tc>
          <w:tcPr>
            <w:tcW w:w="532" w:type="pct"/>
            <w:hideMark/>
          </w:tcPr>
          <w:p w:rsidR="0025522E" w:rsidRPr="004C1013" w:rsidRDefault="0025522E" w:rsidP="0025522E">
            <w:pPr>
              <w:pStyle w:val="tabbielystyl"/>
            </w:pPr>
            <w:r w:rsidRPr="004C1013">
              <w:t>2018</w:t>
            </w:r>
          </w:p>
        </w:tc>
        <w:tc>
          <w:tcPr>
            <w:tcW w:w="481" w:type="pct"/>
            <w:hideMark/>
          </w:tcPr>
          <w:p w:rsidR="0025522E" w:rsidRPr="004C1013" w:rsidRDefault="0025522E" w:rsidP="0025522E">
            <w:pPr>
              <w:pStyle w:val="tabbielystyl"/>
            </w:pPr>
            <w:r w:rsidRPr="004C1013">
              <w:t>14.</w:t>
            </w:r>
          </w:p>
        </w:tc>
        <w:tc>
          <w:tcPr>
            <w:tcW w:w="659" w:type="pct"/>
            <w:hideMark/>
          </w:tcPr>
          <w:p w:rsidR="0025522E" w:rsidRPr="004C1013" w:rsidRDefault="0025522E" w:rsidP="0025522E">
            <w:pPr>
              <w:pStyle w:val="tabbielystyl"/>
            </w:pPr>
            <w:r w:rsidRPr="004C1013">
              <w:t>6 932</w:t>
            </w:r>
          </w:p>
        </w:tc>
        <w:tc>
          <w:tcPr>
            <w:tcW w:w="678" w:type="pct"/>
          </w:tcPr>
          <w:p w:rsidR="0025522E" w:rsidRPr="004C1013" w:rsidRDefault="0025522E" w:rsidP="0025522E">
            <w:pPr>
              <w:pStyle w:val="tabbielystyl"/>
            </w:pPr>
            <w:r w:rsidRPr="004C1013">
              <w:t>2 033</w:t>
            </w:r>
          </w:p>
        </w:tc>
        <w:tc>
          <w:tcPr>
            <w:tcW w:w="527" w:type="pct"/>
          </w:tcPr>
          <w:p w:rsidR="0025522E" w:rsidRPr="004C1013" w:rsidRDefault="0025522E" w:rsidP="0025522E">
            <w:pPr>
              <w:pStyle w:val="tabbielystyl"/>
            </w:pPr>
            <w:r w:rsidRPr="004C1013">
              <w:t>N/A</w:t>
            </w:r>
          </w:p>
        </w:tc>
        <w:tc>
          <w:tcPr>
            <w:tcW w:w="753" w:type="pct"/>
          </w:tcPr>
          <w:p w:rsidR="0025522E" w:rsidRPr="004C1013" w:rsidRDefault="0025522E" w:rsidP="0025522E">
            <w:pPr>
              <w:pStyle w:val="tabbielystyl"/>
            </w:pPr>
            <w:r w:rsidRPr="004C1013">
              <w:t>37 724</w:t>
            </w:r>
          </w:p>
        </w:tc>
        <w:tc>
          <w:tcPr>
            <w:tcW w:w="678" w:type="pct"/>
          </w:tcPr>
          <w:p w:rsidR="0025522E" w:rsidRPr="004C1013" w:rsidRDefault="0025522E" w:rsidP="0025522E">
            <w:pPr>
              <w:pStyle w:val="tabbielystyl"/>
            </w:pPr>
            <w:r w:rsidRPr="004C1013">
              <w:t>27,4</w:t>
            </w:r>
          </w:p>
        </w:tc>
        <w:tc>
          <w:tcPr>
            <w:tcW w:w="692" w:type="pct"/>
            <w:vAlign w:val="bottom"/>
          </w:tcPr>
          <w:p w:rsidR="0025522E" w:rsidRPr="004C1013" w:rsidRDefault="0025522E" w:rsidP="0025522E">
            <w:pPr>
              <w:pStyle w:val="tabbielystyl"/>
            </w:pPr>
            <w:r w:rsidRPr="004C1013">
              <w:t>128 639</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Podľa štatistík Federálneho úradu pre nákladnú dopravu [18] sú v udávaných počtoch najazdených kilometrov na úsekoch podliehajúcich mýtu zahrnuté všetky zmeny dĺžky spoplatnených úsekov platné od 1.8.2012, 1.7.2015 a 1.7.2018 ako aj rozšírenie kategórií povinných vozidiel od 1.10.2015. Tieto hodnoty kumulovaných ročných priemerných výkonov vozidiel preto zvolil riešiteľský kolektív ako referenčné vo vzťahu k základnej údajovej báze komparatívnej analýzy systémov ETC. Výkony v prvom roku prevádzky boli prevzaté zo zdroja [17]. Reprezentatívne denné intenzity na priemernom kilometri siete potom vychádzajú z prepočtov týchto kumulovaných ročných intenzít (</w:t>
      </w:r>
      <w:r w:rsidR="00C40D3F">
        <w:fldChar w:fldCharType="begin"/>
      </w:r>
      <w:r w:rsidR="00C40D3F">
        <w:instrText xml:space="preserve"> REF _Ref19738</w:instrText>
      </w:r>
      <w:r w:rsidR="00C40D3F">
        <w:instrText xml:space="preserve">688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12</w:t>
      </w:r>
      <w:r w:rsidR="00C40D3F">
        <w:fldChar w:fldCharType="end"/>
      </w:r>
      <w:r w:rsidRPr="004C1013">
        <w:rPr>
          <w:rFonts w:asciiTheme="minorHAnsi" w:hAnsiTheme="minorHAnsi" w:cstheme="minorHAnsi"/>
        </w:rPr>
        <w:t>).</w:t>
      </w:r>
    </w:p>
    <w:p w:rsidR="0025522E" w:rsidRPr="004C1013" w:rsidRDefault="0025522E" w:rsidP="006B1C25">
      <w:pPr>
        <w:pStyle w:val="tabstyl"/>
      </w:pPr>
      <w:bookmarkStart w:id="67" w:name="_Ref19738688"/>
      <w:bookmarkStart w:id="68" w:name="_Toc36664454"/>
      <w:r w:rsidRPr="004C1013">
        <w:lastRenderedPageBreak/>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12</w:t>
      </w:r>
      <w:r w:rsidR="00C40D3F">
        <w:rPr>
          <w:noProof/>
        </w:rPr>
        <w:fldChar w:fldCharType="end"/>
      </w:r>
      <w:bookmarkEnd w:id="67"/>
      <w:r w:rsidRPr="004C1013">
        <w:t xml:space="preserve"> </w:t>
      </w:r>
      <w:r w:rsidRPr="004C1013">
        <w:tab/>
        <w:t>Nemecko: ETC indikátor 2. Dopravné výkony na sieti</w:t>
      </w:r>
      <w:bookmarkEnd w:id="68"/>
      <w:r w:rsidRPr="004C1013">
        <w:t xml:space="preserve">  </w:t>
      </w:r>
    </w:p>
    <w:tbl>
      <w:tblPr>
        <w:tblStyle w:val="tabulkaVUD"/>
        <w:tblW w:w="5000" w:type="pct"/>
        <w:tblLook w:val="04A0" w:firstRow="1" w:lastRow="0" w:firstColumn="1" w:lastColumn="0" w:noHBand="0" w:noVBand="1"/>
      </w:tblPr>
      <w:tblGrid>
        <w:gridCol w:w="1589"/>
        <w:gridCol w:w="1558"/>
        <w:gridCol w:w="3119"/>
        <w:gridCol w:w="3145"/>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882"/>
          <w:tblHeader/>
        </w:trPr>
        <w:tc>
          <w:tcPr>
            <w:tcW w:w="844" w:type="pct"/>
            <w:shd w:val="clear" w:color="auto" w:fill="7F7F7F" w:themeFill="text1" w:themeFillTint="80"/>
            <w:hideMark/>
          </w:tcPr>
          <w:p w:rsidR="0025522E" w:rsidRPr="004C1013" w:rsidRDefault="0025522E" w:rsidP="009D58D5">
            <w:pPr>
              <w:pStyle w:val="zahltab"/>
            </w:pPr>
            <w:r w:rsidRPr="004C1013">
              <w:t>Kalendárny rok</w:t>
            </w:r>
          </w:p>
        </w:tc>
        <w:tc>
          <w:tcPr>
            <w:tcW w:w="828" w:type="pct"/>
            <w:hideMark/>
          </w:tcPr>
          <w:p w:rsidR="0025522E" w:rsidRPr="004C1013" w:rsidRDefault="0025522E" w:rsidP="009D58D5">
            <w:pPr>
              <w:pStyle w:val="zahltab"/>
            </w:pPr>
            <w:r w:rsidRPr="004C1013">
              <w:t>Rok prevádzky</w:t>
            </w:r>
          </w:p>
        </w:tc>
        <w:tc>
          <w:tcPr>
            <w:tcW w:w="1657" w:type="pct"/>
            <w:hideMark/>
          </w:tcPr>
          <w:p w:rsidR="0025522E" w:rsidRPr="004C1013" w:rsidRDefault="0025522E" w:rsidP="009D58D5">
            <w:pPr>
              <w:pStyle w:val="zahltab"/>
            </w:pPr>
            <w:r w:rsidRPr="004C1013">
              <w:t>Dopravná intenzita na priemernom 1km siete  (voz/deň)</w:t>
            </w:r>
          </w:p>
        </w:tc>
        <w:tc>
          <w:tcPr>
            <w:tcW w:w="1671" w:type="pct"/>
          </w:tcPr>
          <w:p w:rsidR="00FC3B8F" w:rsidRDefault="0025522E" w:rsidP="009D58D5">
            <w:pPr>
              <w:pStyle w:val="zahltab"/>
            </w:pPr>
            <w:r w:rsidRPr="004C1013">
              <w:t>Kumulovaný dopravný výkon</w:t>
            </w:r>
          </w:p>
          <w:p w:rsidR="0025522E" w:rsidRPr="004C1013" w:rsidRDefault="0025522E" w:rsidP="009D58D5">
            <w:pPr>
              <w:pStyle w:val="zahltab"/>
            </w:pPr>
            <w:r w:rsidRPr="004C1013">
              <w:t xml:space="preserve"> (</w:t>
            </w:r>
            <w:r w:rsidR="00FC3B8F">
              <w:t xml:space="preserve">mil. </w:t>
            </w:r>
            <w:r w:rsidRPr="004C1013">
              <w:t>vkm/rok)</w:t>
            </w:r>
          </w:p>
        </w:tc>
      </w:tr>
      <w:tr w:rsidR="0025522E" w:rsidRPr="004C1013" w:rsidTr="00404B50">
        <w:trPr>
          <w:trHeight w:val="300"/>
        </w:trPr>
        <w:tc>
          <w:tcPr>
            <w:tcW w:w="844" w:type="pct"/>
            <w:hideMark/>
          </w:tcPr>
          <w:p w:rsidR="0025522E" w:rsidRPr="004C1013" w:rsidRDefault="0025522E" w:rsidP="0025522E">
            <w:pPr>
              <w:pStyle w:val="tabbielystyl"/>
            </w:pPr>
            <w:r w:rsidRPr="004C1013">
              <w:t>2005</w:t>
            </w:r>
          </w:p>
        </w:tc>
        <w:tc>
          <w:tcPr>
            <w:tcW w:w="828" w:type="pct"/>
            <w:hideMark/>
          </w:tcPr>
          <w:p w:rsidR="0025522E" w:rsidRPr="004C1013" w:rsidRDefault="0025522E" w:rsidP="0025522E">
            <w:pPr>
              <w:pStyle w:val="tabbielystyl"/>
            </w:pPr>
            <w:r w:rsidRPr="004C1013">
              <w:t>1.</w:t>
            </w:r>
          </w:p>
        </w:tc>
        <w:tc>
          <w:tcPr>
            <w:tcW w:w="1657" w:type="pct"/>
            <w:vAlign w:val="bottom"/>
            <w:hideMark/>
          </w:tcPr>
          <w:p w:rsidR="0025522E" w:rsidRPr="004C1013" w:rsidRDefault="0025522E" w:rsidP="0025522E">
            <w:pPr>
              <w:pStyle w:val="tabbielystyl"/>
            </w:pPr>
            <w:r w:rsidRPr="004C1013">
              <w:t>5 385</w:t>
            </w:r>
          </w:p>
        </w:tc>
        <w:tc>
          <w:tcPr>
            <w:tcW w:w="1671" w:type="pct"/>
            <w:vAlign w:val="bottom"/>
          </w:tcPr>
          <w:p w:rsidR="0025522E" w:rsidRPr="004C1013" w:rsidRDefault="0025522E" w:rsidP="0025522E">
            <w:pPr>
              <w:pStyle w:val="tabbielystyl"/>
            </w:pPr>
            <w:r w:rsidRPr="004C1013">
              <w:t>24 000</w:t>
            </w:r>
          </w:p>
        </w:tc>
      </w:tr>
      <w:tr w:rsidR="0025522E" w:rsidRPr="004C1013" w:rsidTr="00404B50">
        <w:trPr>
          <w:trHeight w:val="300"/>
        </w:trPr>
        <w:tc>
          <w:tcPr>
            <w:tcW w:w="844" w:type="pct"/>
            <w:hideMark/>
          </w:tcPr>
          <w:p w:rsidR="0025522E" w:rsidRPr="004C1013" w:rsidRDefault="0025522E" w:rsidP="0025522E">
            <w:pPr>
              <w:pStyle w:val="tabbielystyl"/>
            </w:pPr>
            <w:r w:rsidRPr="004C1013">
              <w:t>2006</w:t>
            </w:r>
          </w:p>
        </w:tc>
        <w:tc>
          <w:tcPr>
            <w:tcW w:w="828" w:type="pct"/>
            <w:hideMark/>
          </w:tcPr>
          <w:p w:rsidR="0025522E" w:rsidRPr="004C1013" w:rsidRDefault="0025522E" w:rsidP="0025522E">
            <w:pPr>
              <w:pStyle w:val="tabbielystyl"/>
            </w:pPr>
            <w:r w:rsidRPr="004C1013">
              <w:t>2.</w:t>
            </w:r>
          </w:p>
        </w:tc>
        <w:tc>
          <w:tcPr>
            <w:tcW w:w="1657" w:type="pct"/>
            <w:vAlign w:val="bottom"/>
            <w:hideMark/>
          </w:tcPr>
          <w:p w:rsidR="0025522E" w:rsidRPr="004C1013" w:rsidRDefault="0025522E" w:rsidP="0025522E">
            <w:pPr>
              <w:pStyle w:val="tabbielystyl"/>
            </w:pPr>
            <w:r w:rsidRPr="004C1013">
              <w:t>5 739</w:t>
            </w:r>
          </w:p>
        </w:tc>
        <w:tc>
          <w:tcPr>
            <w:tcW w:w="1671" w:type="pct"/>
            <w:vAlign w:val="bottom"/>
          </w:tcPr>
          <w:p w:rsidR="0025522E" w:rsidRPr="004C1013" w:rsidRDefault="0025522E" w:rsidP="0025522E">
            <w:pPr>
              <w:pStyle w:val="tabbielystyl"/>
            </w:pPr>
            <w:r w:rsidRPr="004C1013">
              <w:t>25 897</w:t>
            </w:r>
          </w:p>
        </w:tc>
      </w:tr>
      <w:tr w:rsidR="0025522E" w:rsidRPr="004C1013" w:rsidTr="00404B50">
        <w:trPr>
          <w:trHeight w:val="300"/>
        </w:trPr>
        <w:tc>
          <w:tcPr>
            <w:tcW w:w="844" w:type="pct"/>
            <w:hideMark/>
          </w:tcPr>
          <w:p w:rsidR="0025522E" w:rsidRPr="004C1013" w:rsidRDefault="0025522E" w:rsidP="0025522E">
            <w:pPr>
              <w:pStyle w:val="tabbielystyl"/>
            </w:pPr>
            <w:r w:rsidRPr="004C1013">
              <w:t>2007</w:t>
            </w:r>
          </w:p>
        </w:tc>
        <w:tc>
          <w:tcPr>
            <w:tcW w:w="828" w:type="pct"/>
            <w:hideMark/>
          </w:tcPr>
          <w:p w:rsidR="0025522E" w:rsidRPr="004C1013" w:rsidRDefault="0025522E" w:rsidP="0025522E">
            <w:pPr>
              <w:pStyle w:val="tabbielystyl"/>
            </w:pPr>
            <w:r w:rsidRPr="004C1013">
              <w:t>3.</w:t>
            </w:r>
          </w:p>
        </w:tc>
        <w:tc>
          <w:tcPr>
            <w:tcW w:w="1657" w:type="pct"/>
            <w:vAlign w:val="bottom"/>
            <w:hideMark/>
          </w:tcPr>
          <w:p w:rsidR="0025522E" w:rsidRPr="004C1013" w:rsidRDefault="0025522E" w:rsidP="0025522E">
            <w:pPr>
              <w:pStyle w:val="tabbielystyl"/>
            </w:pPr>
            <w:r w:rsidRPr="004C1013">
              <w:t>5 996</w:t>
            </w:r>
          </w:p>
        </w:tc>
        <w:tc>
          <w:tcPr>
            <w:tcW w:w="1671" w:type="pct"/>
            <w:vAlign w:val="bottom"/>
          </w:tcPr>
          <w:p w:rsidR="0025522E" w:rsidRPr="004C1013" w:rsidRDefault="0025522E" w:rsidP="0025522E">
            <w:pPr>
              <w:pStyle w:val="tabbielystyl"/>
            </w:pPr>
            <w:r w:rsidRPr="004C1013">
              <w:t>27 424</w:t>
            </w:r>
          </w:p>
        </w:tc>
      </w:tr>
      <w:tr w:rsidR="0025522E" w:rsidRPr="004C1013" w:rsidTr="00404B50">
        <w:trPr>
          <w:trHeight w:val="300"/>
        </w:trPr>
        <w:tc>
          <w:tcPr>
            <w:tcW w:w="844" w:type="pct"/>
            <w:hideMark/>
          </w:tcPr>
          <w:p w:rsidR="0025522E" w:rsidRPr="004C1013" w:rsidRDefault="0025522E" w:rsidP="0025522E">
            <w:pPr>
              <w:pStyle w:val="tabbielystyl"/>
            </w:pPr>
            <w:r w:rsidRPr="004C1013">
              <w:t>2008</w:t>
            </w:r>
          </w:p>
        </w:tc>
        <w:tc>
          <w:tcPr>
            <w:tcW w:w="828" w:type="pct"/>
            <w:hideMark/>
          </w:tcPr>
          <w:p w:rsidR="0025522E" w:rsidRPr="004C1013" w:rsidRDefault="0025522E" w:rsidP="0025522E">
            <w:pPr>
              <w:pStyle w:val="tabbielystyl"/>
            </w:pPr>
            <w:r w:rsidRPr="004C1013">
              <w:t>4.</w:t>
            </w:r>
          </w:p>
        </w:tc>
        <w:tc>
          <w:tcPr>
            <w:tcW w:w="1657" w:type="pct"/>
            <w:vAlign w:val="bottom"/>
            <w:hideMark/>
          </w:tcPr>
          <w:p w:rsidR="0025522E" w:rsidRPr="004C1013" w:rsidRDefault="0025522E" w:rsidP="0025522E">
            <w:pPr>
              <w:pStyle w:val="tabbielystyl"/>
            </w:pPr>
            <w:r w:rsidRPr="004C1013">
              <w:t>5 976</w:t>
            </w:r>
          </w:p>
        </w:tc>
        <w:tc>
          <w:tcPr>
            <w:tcW w:w="1671" w:type="pct"/>
            <w:vAlign w:val="bottom"/>
          </w:tcPr>
          <w:p w:rsidR="0025522E" w:rsidRPr="004C1013" w:rsidRDefault="0025522E" w:rsidP="0025522E">
            <w:pPr>
              <w:pStyle w:val="tabbielystyl"/>
            </w:pPr>
            <w:r w:rsidRPr="004C1013">
              <w:t>27 655</w:t>
            </w:r>
          </w:p>
        </w:tc>
      </w:tr>
      <w:tr w:rsidR="0025522E" w:rsidRPr="004C1013" w:rsidTr="00404B50">
        <w:trPr>
          <w:trHeight w:val="300"/>
        </w:trPr>
        <w:tc>
          <w:tcPr>
            <w:tcW w:w="844" w:type="pct"/>
            <w:hideMark/>
          </w:tcPr>
          <w:p w:rsidR="0025522E" w:rsidRPr="004C1013" w:rsidRDefault="0025522E" w:rsidP="0025522E">
            <w:pPr>
              <w:pStyle w:val="tabbielystyl"/>
            </w:pPr>
            <w:r w:rsidRPr="004C1013">
              <w:t>2009</w:t>
            </w:r>
          </w:p>
        </w:tc>
        <w:tc>
          <w:tcPr>
            <w:tcW w:w="828" w:type="pct"/>
            <w:hideMark/>
          </w:tcPr>
          <w:p w:rsidR="0025522E" w:rsidRPr="004C1013" w:rsidRDefault="0025522E" w:rsidP="0025522E">
            <w:pPr>
              <w:pStyle w:val="tabbielystyl"/>
            </w:pPr>
            <w:r w:rsidRPr="004C1013">
              <w:t>5.</w:t>
            </w:r>
          </w:p>
        </w:tc>
        <w:tc>
          <w:tcPr>
            <w:tcW w:w="1657" w:type="pct"/>
            <w:vAlign w:val="bottom"/>
            <w:hideMark/>
          </w:tcPr>
          <w:p w:rsidR="0025522E" w:rsidRPr="004C1013" w:rsidRDefault="0025522E" w:rsidP="0025522E">
            <w:pPr>
              <w:pStyle w:val="tabbielystyl"/>
            </w:pPr>
            <w:r w:rsidRPr="004C1013">
              <w:t>5 224</w:t>
            </w:r>
          </w:p>
        </w:tc>
        <w:tc>
          <w:tcPr>
            <w:tcW w:w="1671" w:type="pct"/>
            <w:vAlign w:val="bottom"/>
          </w:tcPr>
          <w:p w:rsidR="0025522E" w:rsidRPr="004C1013" w:rsidRDefault="0025522E" w:rsidP="0025522E">
            <w:pPr>
              <w:pStyle w:val="tabbielystyl"/>
            </w:pPr>
            <w:r w:rsidRPr="004C1013">
              <w:t>24 360</w:t>
            </w:r>
          </w:p>
        </w:tc>
      </w:tr>
      <w:tr w:rsidR="0025522E" w:rsidRPr="004C1013" w:rsidTr="00404B50">
        <w:trPr>
          <w:trHeight w:val="300"/>
        </w:trPr>
        <w:tc>
          <w:tcPr>
            <w:tcW w:w="844" w:type="pct"/>
            <w:hideMark/>
          </w:tcPr>
          <w:p w:rsidR="0025522E" w:rsidRPr="004C1013" w:rsidRDefault="0025522E" w:rsidP="0025522E">
            <w:pPr>
              <w:pStyle w:val="tabbielystyl"/>
            </w:pPr>
            <w:r w:rsidRPr="004C1013">
              <w:t>2010</w:t>
            </w:r>
          </w:p>
        </w:tc>
        <w:tc>
          <w:tcPr>
            <w:tcW w:w="828" w:type="pct"/>
            <w:hideMark/>
          </w:tcPr>
          <w:p w:rsidR="0025522E" w:rsidRPr="004C1013" w:rsidRDefault="0025522E" w:rsidP="0025522E">
            <w:pPr>
              <w:pStyle w:val="tabbielystyl"/>
            </w:pPr>
            <w:r w:rsidRPr="004C1013">
              <w:t>6.</w:t>
            </w:r>
          </w:p>
        </w:tc>
        <w:tc>
          <w:tcPr>
            <w:tcW w:w="1657" w:type="pct"/>
            <w:vAlign w:val="bottom"/>
            <w:hideMark/>
          </w:tcPr>
          <w:p w:rsidR="0025522E" w:rsidRPr="004C1013" w:rsidRDefault="0025522E" w:rsidP="0025522E">
            <w:pPr>
              <w:pStyle w:val="tabbielystyl"/>
            </w:pPr>
            <w:r w:rsidRPr="004C1013">
              <w:t>5 513</w:t>
            </w:r>
          </w:p>
        </w:tc>
        <w:tc>
          <w:tcPr>
            <w:tcW w:w="1671" w:type="pct"/>
            <w:vAlign w:val="bottom"/>
          </w:tcPr>
          <w:p w:rsidR="0025522E" w:rsidRPr="004C1013" w:rsidRDefault="0025522E" w:rsidP="0025522E">
            <w:pPr>
              <w:pStyle w:val="tabbielystyl"/>
            </w:pPr>
            <w:r w:rsidRPr="004C1013">
              <w:t>25 734</w:t>
            </w:r>
          </w:p>
        </w:tc>
      </w:tr>
      <w:tr w:rsidR="0025522E" w:rsidRPr="004C1013" w:rsidTr="00404B50">
        <w:trPr>
          <w:trHeight w:val="300"/>
        </w:trPr>
        <w:tc>
          <w:tcPr>
            <w:tcW w:w="844" w:type="pct"/>
            <w:hideMark/>
          </w:tcPr>
          <w:p w:rsidR="0025522E" w:rsidRPr="004C1013" w:rsidRDefault="0025522E" w:rsidP="0025522E">
            <w:pPr>
              <w:pStyle w:val="tabbielystyl"/>
            </w:pPr>
            <w:r w:rsidRPr="004C1013">
              <w:t>2011</w:t>
            </w:r>
          </w:p>
        </w:tc>
        <w:tc>
          <w:tcPr>
            <w:tcW w:w="828" w:type="pct"/>
            <w:hideMark/>
          </w:tcPr>
          <w:p w:rsidR="0025522E" w:rsidRPr="004C1013" w:rsidRDefault="0025522E" w:rsidP="0025522E">
            <w:pPr>
              <w:pStyle w:val="tabbielystyl"/>
            </w:pPr>
            <w:r w:rsidRPr="004C1013">
              <w:t>7.</w:t>
            </w:r>
          </w:p>
        </w:tc>
        <w:tc>
          <w:tcPr>
            <w:tcW w:w="1657" w:type="pct"/>
            <w:vAlign w:val="bottom"/>
            <w:hideMark/>
          </w:tcPr>
          <w:p w:rsidR="0025522E" w:rsidRPr="004C1013" w:rsidRDefault="0025522E" w:rsidP="0025522E">
            <w:pPr>
              <w:pStyle w:val="tabbielystyl"/>
            </w:pPr>
            <w:r w:rsidRPr="004C1013">
              <w:t>5 707</w:t>
            </w:r>
          </w:p>
        </w:tc>
        <w:tc>
          <w:tcPr>
            <w:tcW w:w="1671" w:type="pct"/>
            <w:vAlign w:val="bottom"/>
          </w:tcPr>
          <w:p w:rsidR="0025522E" w:rsidRPr="004C1013" w:rsidRDefault="0025522E" w:rsidP="0025522E">
            <w:pPr>
              <w:pStyle w:val="tabbielystyl"/>
            </w:pPr>
            <w:r w:rsidRPr="004C1013">
              <w:t>26 686</w:t>
            </w:r>
          </w:p>
        </w:tc>
      </w:tr>
      <w:tr w:rsidR="0025522E" w:rsidRPr="004C1013" w:rsidTr="00404B50">
        <w:trPr>
          <w:trHeight w:val="300"/>
        </w:trPr>
        <w:tc>
          <w:tcPr>
            <w:tcW w:w="844" w:type="pct"/>
            <w:hideMark/>
          </w:tcPr>
          <w:p w:rsidR="0025522E" w:rsidRPr="004C1013" w:rsidRDefault="0025522E" w:rsidP="0025522E">
            <w:pPr>
              <w:pStyle w:val="tabbielystyl"/>
            </w:pPr>
            <w:r w:rsidRPr="004C1013">
              <w:t>2012</w:t>
            </w:r>
          </w:p>
        </w:tc>
        <w:tc>
          <w:tcPr>
            <w:tcW w:w="828" w:type="pct"/>
            <w:hideMark/>
          </w:tcPr>
          <w:p w:rsidR="0025522E" w:rsidRPr="004C1013" w:rsidRDefault="0025522E" w:rsidP="0025522E">
            <w:pPr>
              <w:pStyle w:val="tabbielystyl"/>
            </w:pPr>
            <w:r w:rsidRPr="004C1013">
              <w:t>8.</w:t>
            </w:r>
          </w:p>
        </w:tc>
        <w:tc>
          <w:tcPr>
            <w:tcW w:w="1657" w:type="pct"/>
            <w:vAlign w:val="bottom"/>
            <w:hideMark/>
          </w:tcPr>
          <w:p w:rsidR="0025522E" w:rsidRPr="004C1013" w:rsidRDefault="0025522E" w:rsidP="0025522E">
            <w:pPr>
              <w:pStyle w:val="tabbielystyl"/>
            </w:pPr>
            <w:r w:rsidRPr="004C1013">
              <w:t>5 204</w:t>
            </w:r>
          </w:p>
        </w:tc>
        <w:tc>
          <w:tcPr>
            <w:tcW w:w="1671" w:type="pct"/>
            <w:vAlign w:val="bottom"/>
          </w:tcPr>
          <w:p w:rsidR="0025522E" w:rsidRPr="004C1013" w:rsidRDefault="0025522E" w:rsidP="0025522E">
            <w:pPr>
              <w:pStyle w:val="tabbielystyl"/>
            </w:pPr>
            <w:r w:rsidRPr="004C1013">
              <w:t>26 590</w:t>
            </w:r>
          </w:p>
        </w:tc>
      </w:tr>
      <w:tr w:rsidR="0025522E" w:rsidRPr="004C1013" w:rsidTr="00404B50">
        <w:trPr>
          <w:trHeight w:val="300"/>
        </w:trPr>
        <w:tc>
          <w:tcPr>
            <w:tcW w:w="844" w:type="pct"/>
            <w:hideMark/>
          </w:tcPr>
          <w:p w:rsidR="0025522E" w:rsidRPr="004C1013" w:rsidRDefault="0025522E" w:rsidP="0025522E">
            <w:pPr>
              <w:pStyle w:val="tabbielystyl"/>
            </w:pPr>
            <w:r w:rsidRPr="004C1013">
              <w:t>2013</w:t>
            </w:r>
          </w:p>
        </w:tc>
        <w:tc>
          <w:tcPr>
            <w:tcW w:w="828" w:type="pct"/>
            <w:hideMark/>
          </w:tcPr>
          <w:p w:rsidR="0025522E" w:rsidRPr="004C1013" w:rsidRDefault="0025522E" w:rsidP="0025522E">
            <w:pPr>
              <w:pStyle w:val="tabbielystyl"/>
            </w:pPr>
            <w:r w:rsidRPr="004C1013">
              <w:t>9.</w:t>
            </w:r>
          </w:p>
        </w:tc>
        <w:tc>
          <w:tcPr>
            <w:tcW w:w="1657" w:type="pct"/>
            <w:vAlign w:val="bottom"/>
            <w:hideMark/>
          </w:tcPr>
          <w:p w:rsidR="0025522E" w:rsidRPr="004C1013" w:rsidRDefault="0025522E" w:rsidP="0025522E">
            <w:pPr>
              <w:pStyle w:val="tabbielystyl"/>
            </w:pPr>
            <w:r w:rsidRPr="004C1013">
              <w:t>5 304</w:t>
            </w:r>
          </w:p>
        </w:tc>
        <w:tc>
          <w:tcPr>
            <w:tcW w:w="1671" w:type="pct"/>
            <w:vAlign w:val="bottom"/>
          </w:tcPr>
          <w:p w:rsidR="0025522E" w:rsidRPr="004C1013" w:rsidRDefault="0025522E" w:rsidP="0025522E">
            <w:pPr>
              <w:pStyle w:val="tabbielystyl"/>
            </w:pPr>
            <w:r w:rsidRPr="004C1013">
              <w:t>27 229</w:t>
            </w:r>
          </w:p>
        </w:tc>
      </w:tr>
      <w:tr w:rsidR="0025522E" w:rsidRPr="004C1013" w:rsidTr="00404B50">
        <w:trPr>
          <w:trHeight w:val="300"/>
        </w:trPr>
        <w:tc>
          <w:tcPr>
            <w:tcW w:w="844" w:type="pct"/>
            <w:hideMark/>
          </w:tcPr>
          <w:p w:rsidR="0025522E" w:rsidRPr="004C1013" w:rsidRDefault="0025522E" w:rsidP="0025522E">
            <w:pPr>
              <w:pStyle w:val="tabbielystyl"/>
            </w:pPr>
            <w:r w:rsidRPr="004C1013">
              <w:t>2014</w:t>
            </w:r>
          </w:p>
        </w:tc>
        <w:tc>
          <w:tcPr>
            <w:tcW w:w="828" w:type="pct"/>
            <w:hideMark/>
          </w:tcPr>
          <w:p w:rsidR="0025522E" w:rsidRPr="004C1013" w:rsidRDefault="0025522E" w:rsidP="0025522E">
            <w:pPr>
              <w:pStyle w:val="tabbielystyl"/>
            </w:pPr>
            <w:r w:rsidRPr="004C1013">
              <w:t>10.</w:t>
            </w:r>
          </w:p>
        </w:tc>
        <w:tc>
          <w:tcPr>
            <w:tcW w:w="1657" w:type="pct"/>
            <w:vAlign w:val="bottom"/>
            <w:hideMark/>
          </w:tcPr>
          <w:p w:rsidR="0025522E" w:rsidRPr="004C1013" w:rsidRDefault="0025522E" w:rsidP="0025522E">
            <w:pPr>
              <w:pStyle w:val="tabbielystyl"/>
            </w:pPr>
            <w:r w:rsidRPr="004C1013">
              <w:t>5 433</w:t>
            </w:r>
          </w:p>
        </w:tc>
        <w:tc>
          <w:tcPr>
            <w:tcW w:w="1671" w:type="pct"/>
            <w:vAlign w:val="bottom"/>
          </w:tcPr>
          <w:p w:rsidR="0025522E" w:rsidRPr="004C1013" w:rsidRDefault="0025522E" w:rsidP="0025522E">
            <w:pPr>
              <w:pStyle w:val="tabbielystyl"/>
            </w:pPr>
            <w:r w:rsidRPr="004C1013">
              <w:t>28 032</w:t>
            </w:r>
          </w:p>
        </w:tc>
      </w:tr>
      <w:tr w:rsidR="0025522E" w:rsidRPr="004C1013" w:rsidTr="00404B50">
        <w:trPr>
          <w:trHeight w:val="300"/>
        </w:trPr>
        <w:tc>
          <w:tcPr>
            <w:tcW w:w="844" w:type="pct"/>
            <w:hideMark/>
          </w:tcPr>
          <w:p w:rsidR="0025522E" w:rsidRPr="004C1013" w:rsidRDefault="0025522E" w:rsidP="0025522E">
            <w:pPr>
              <w:pStyle w:val="tabbielystyl"/>
            </w:pPr>
            <w:r w:rsidRPr="004C1013">
              <w:t>2015</w:t>
            </w:r>
          </w:p>
        </w:tc>
        <w:tc>
          <w:tcPr>
            <w:tcW w:w="828" w:type="pct"/>
            <w:hideMark/>
          </w:tcPr>
          <w:p w:rsidR="0025522E" w:rsidRPr="004C1013" w:rsidRDefault="0025522E" w:rsidP="0025522E">
            <w:pPr>
              <w:pStyle w:val="tabbielystyl"/>
            </w:pPr>
            <w:r w:rsidRPr="004C1013">
              <w:t>11.</w:t>
            </w:r>
          </w:p>
        </w:tc>
        <w:tc>
          <w:tcPr>
            <w:tcW w:w="1657" w:type="pct"/>
            <w:vAlign w:val="bottom"/>
            <w:hideMark/>
          </w:tcPr>
          <w:p w:rsidR="0025522E" w:rsidRPr="004C1013" w:rsidRDefault="0025522E" w:rsidP="0025522E">
            <w:pPr>
              <w:pStyle w:val="tabbielystyl"/>
            </w:pPr>
            <w:r w:rsidRPr="004C1013">
              <w:t>5 341</w:t>
            </w:r>
          </w:p>
        </w:tc>
        <w:tc>
          <w:tcPr>
            <w:tcW w:w="1671" w:type="pct"/>
            <w:vAlign w:val="bottom"/>
          </w:tcPr>
          <w:p w:rsidR="0025522E" w:rsidRPr="004C1013" w:rsidRDefault="0025522E" w:rsidP="0025522E">
            <w:pPr>
              <w:pStyle w:val="tabbielystyl"/>
            </w:pPr>
            <w:r w:rsidRPr="004C1013">
              <w:t>29 735</w:t>
            </w:r>
          </w:p>
        </w:tc>
      </w:tr>
      <w:tr w:rsidR="0025522E" w:rsidRPr="004C1013" w:rsidTr="00404B50">
        <w:trPr>
          <w:trHeight w:val="300"/>
        </w:trPr>
        <w:tc>
          <w:tcPr>
            <w:tcW w:w="844" w:type="pct"/>
            <w:hideMark/>
          </w:tcPr>
          <w:p w:rsidR="0025522E" w:rsidRPr="004C1013" w:rsidRDefault="0025522E" w:rsidP="0025522E">
            <w:pPr>
              <w:pStyle w:val="tabbielystyl"/>
            </w:pPr>
            <w:r w:rsidRPr="004C1013">
              <w:t>2016</w:t>
            </w:r>
          </w:p>
        </w:tc>
        <w:tc>
          <w:tcPr>
            <w:tcW w:w="828" w:type="pct"/>
            <w:hideMark/>
          </w:tcPr>
          <w:p w:rsidR="0025522E" w:rsidRPr="004C1013" w:rsidRDefault="0025522E" w:rsidP="0025522E">
            <w:pPr>
              <w:pStyle w:val="tabbielystyl"/>
            </w:pPr>
            <w:r w:rsidRPr="004C1013">
              <w:t>12.</w:t>
            </w:r>
          </w:p>
        </w:tc>
        <w:tc>
          <w:tcPr>
            <w:tcW w:w="1657" w:type="pct"/>
            <w:vAlign w:val="bottom"/>
            <w:hideMark/>
          </w:tcPr>
          <w:p w:rsidR="0025522E" w:rsidRPr="004C1013" w:rsidRDefault="0025522E" w:rsidP="0025522E">
            <w:pPr>
              <w:pStyle w:val="tabbielystyl"/>
            </w:pPr>
            <w:r w:rsidRPr="004C1013">
              <w:t>5 825</w:t>
            </w:r>
          </w:p>
        </w:tc>
        <w:tc>
          <w:tcPr>
            <w:tcW w:w="1671" w:type="pct"/>
            <w:vAlign w:val="bottom"/>
          </w:tcPr>
          <w:p w:rsidR="0025522E" w:rsidRPr="004C1013" w:rsidRDefault="0025522E" w:rsidP="0025522E">
            <w:pPr>
              <w:pStyle w:val="tabbielystyl"/>
            </w:pPr>
            <w:r w:rsidRPr="004C1013">
              <w:t>32 479</w:t>
            </w:r>
          </w:p>
        </w:tc>
      </w:tr>
      <w:tr w:rsidR="0025522E" w:rsidRPr="004C1013" w:rsidTr="00404B50">
        <w:trPr>
          <w:trHeight w:val="300"/>
        </w:trPr>
        <w:tc>
          <w:tcPr>
            <w:tcW w:w="844" w:type="pct"/>
            <w:hideMark/>
          </w:tcPr>
          <w:p w:rsidR="0025522E" w:rsidRPr="004C1013" w:rsidRDefault="0025522E" w:rsidP="0025522E">
            <w:pPr>
              <w:pStyle w:val="tabbielystyl"/>
            </w:pPr>
            <w:r w:rsidRPr="004C1013">
              <w:t>2017</w:t>
            </w:r>
          </w:p>
        </w:tc>
        <w:tc>
          <w:tcPr>
            <w:tcW w:w="828" w:type="pct"/>
            <w:hideMark/>
          </w:tcPr>
          <w:p w:rsidR="0025522E" w:rsidRPr="004C1013" w:rsidRDefault="0025522E" w:rsidP="0025522E">
            <w:pPr>
              <w:pStyle w:val="tabbielystyl"/>
            </w:pPr>
            <w:r w:rsidRPr="004C1013">
              <w:t>13.</w:t>
            </w:r>
          </w:p>
        </w:tc>
        <w:tc>
          <w:tcPr>
            <w:tcW w:w="1657" w:type="pct"/>
            <w:vAlign w:val="bottom"/>
            <w:hideMark/>
          </w:tcPr>
          <w:p w:rsidR="0025522E" w:rsidRPr="004C1013" w:rsidRDefault="0025522E" w:rsidP="0025522E">
            <w:pPr>
              <w:pStyle w:val="tabbielystyl"/>
            </w:pPr>
            <w:r w:rsidRPr="004C1013">
              <w:t>6 007</w:t>
            </w:r>
          </w:p>
        </w:tc>
        <w:tc>
          <w:tcPr>
            <w:tcW w:w="1671" w:type="pct"/>
            <w:vAlign w:val="bottom"/>
          </w:tcPr>
          <w:p w:rsidR="0025522E" w:rsidRPr="004C1013" w:rsidRDefault="0025522E" w:rsidP="0025522E">
            <w:pPr>
              <w:pStyle w:val="tabbielystyl"/>
            </w:pPr>
            <w:r w:rsidRPr="004C1013">
              <w:t>33 557</w:t>
            </w:r>
          </w:p>
        </w:tc>
      </w:tr>
      <w:tr w:rsidR="0025522E" w:rsidRPr="004C1013" w:rsidTr="00404B50">
        <w:trPr>
          <w:trHeight w:val="300"/>
        </w:trPr>
        <w:tc>
          <w:tcPr>
            <w:tcW w:w="844" w:type="pct"/>
            <w:hideMark/>
          </w:tcPr>
          <w:p w:rsidR="0025522E" w:rsidRPr="004C1013" w:rsidRDefault="0025522E" w:rsidP="0025522E">
            <w:pPr>
              <w:pStyle w:val="tabbielystyl"/>
            </w:pPr>
            <w:r w:rsidRPr="004C1013">
              <w:t>2018</w:t>
            </w:r>
          </w:p>
        </w:tc>
        <w:tc>
          <w:tcPr>
            <w:tcW w:w="828" w:type="pct"/>
            <w:hideMark/>
          </w:tcPr>
          <w:p w:rsidR="0025522E" w:rsidRPr="004C1013" w:rsidRDefault="0025522E" w:rsidP="0025522E">
            <w:pPr>
              <w:pStyle w:val="tabbielystyl"/>
            </w:pPr>
            <w:r w:rsidRPr="004C1013">
              <w:t>14.</w:t>
            </w:r>
          </w:p>
        </w:tc>
        <w:tc>
          <w:tcPr>
            <w:tcW w:w="1657" w:type="pct"/>
            <w:hideMark/>
          </w:tcPr>
          <w:p w:rsidR="0025522E" w:rsidRPr="004C1013" w:rsidRDefault="0025522E" w:rsidP="0025522E">
            <w:pPr>
              <w:pStyle w:val="tabbielystyl"/>
            </w:pPr>
            <w:r w:rsidRPr="004C1013">
              <w:t>2 033</w:t>
            </w:r>
          </w:p>
        </w:tc>
        <w:tc>
          <w:tcPr>
            <w:tcW w:w="1671" w:type="pct"/>
          </w:tcPr>
          <w:p w:rsidR="0025522E" w:rsidRPr="004C1013" w:rsidRDefault="0025522E" w:rsidP="0025522E">
            <w:pPr>
              <w:pStyle w:val="tabbielystyl"/>
            </w:pPr>
            <w:r w:rsidRPr="004C1013">
              <w:t>37 724</w:t>
            </w:r>
          </w:p>
        </w:tc>
      </w:tr>
    </w:tbl>
    <w:p w:rsidR="0025522E" w:rsidRPr="004C1013" w:rsidRDefault="007F28B3" w:rsidP="0025522E">
      <w:pPr>
        <w:pStyle w:val="Nadpis3"/>
        <w:rPr>
          <w:rFonts w:asciiTheme="minorHAnsi" w:hAnsiTheme="minorHAnsi" w:cstheme="minorHAnsi"/>
        </w:rPr>
      </w:pPr>
      <w:bookmarkStart w:id="69" w:name="_Toc20687927"/>
      <w:bookmarkStart w:id="70" w:name="_Toc36664370"/>
      <w:r>
        <w:rPr>
          <w:rFonts w:asciiTheme="minorHAnsi" w:hAnsiTheme="minorHAnsi" w:cstheme="minorHAnsi"/>
        </w:rPr>
        <w:t xml:space="preserve">Výnosy </w:t>
      </w:r>
      <w:r w:rsidR="0025522E" w:rsidRPr="004C1013">
        <w:rPr>
          <w:rFonts w:asciiTheme="minorHAnsi" w:hAnsiTheme="minorHAnsi" w:cstheme="minorHAnsi"/>
        </w:rPr>
        <w:t>a náklady systému ETC</w:t>
      </w:r>
      <w:bookmarkEnd w:id="69"/>
      <w:bookmarkEnd w:id="70"/>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Údaje o výnosoch mýtneho systému v Nemecku boli získané z publikovaných dokumentov ASECAP [15], [16] a porovnané boli s údajmi odbornej štúdie [17] ako aj údajmi zverejnenými na oficiálnych stránkach prevádzkovateľa systému, ktoré sa prevažne zhodovali. Údaje dokumentov ASECAP uvádzali väčšie príjmy elektronického výberu mýta ako zdroj [17], tieto rozdiely sú však nízke (max. 49 mil. € v roku 2007</w:t>
      </w:r>
      <w:r w:rsidR="00E254B9">
        <w:rPr>
          <w:rFonts w:asciiTheme="minorHAnsi" w:hAnsiTheme="minorHAnsi" w:cstheme="minorHAnsi"/>
        </w:rPr>
        <w:t>, čo predstavuje 1,45% z príjmov podľa ASECAP</w:t>
      </w:r>
      <w:r w:rsidRPr="004C1013">
        <w:rPr>
          <w:rFonts w:asciiTheme="minorHAnsi" w:hAnsiTheme="minorHAnsi" w:cstheme="minorHAnsi"/>
        </w:rPr>
        <w:t xml:space="preserve">).   </w:t>
      </w:r>
    </w:p>
    <w:p w:rsidR="00430A8B" w:rsidRDefault="0025522E" w:rsidP="00430A8B">
      <w:pPr>
        <w:pStyle w:val="Normaltext"/>
        <w:spacing w:line="276" w:lineRule="auto"/>
        <w:rPr>
          <w:rFonts w:asciiTheme="minorHAnsi" w:hAnsiTheme="minorHAnsi" w:cstheme="minorHAnsi"/>
        </w:rPr>
      </w:pPr>
      <w:r w:rsidRPr="004C1013">
        <w:rPr>
          <w:rFonts w:asciiTheme="minorHAnsi" w:hAnsiTheme="minorHAnsi" w:cstheme="minorHAnsi"/>
        </w:rPr>
        <w:t>Informácie o</w:t>
      </w:r>
      <w:r w:rsidR="00366E58">
        <w:rPr>
          <w:rFonts w:asciiTheme="minorHAnsi" w:hAnsiTheme="minorHAnsi" w:cstheme="minorHAnsi"/>
        </w:rPr>
        <w:t xml:space="preserve"> celkových </w:t>
      </w:r>
      <w:r w:rsidRPr="004C1013">
        <w:rPr>
          <w:rFonts w:asciiTheme="minorHAnsi" w:hAnsiTheme="minorHAnsi" w:cstheme="minorHAnsi"/>
        </w:rPr>
        <w:t>nákladoch systému ETC v Nemecku boli získané zo štúdie [17] za roky 2005 – 2017</w:t>
      </w:r>
      <w:r w:rsidR="00F22603">
        <w:rPr>
          <w:rFonts w:asciiTheme="minorHAnsi" w:hAnsiTheme="minorHAnsi" w:cstheme="minorHAnsi"/>
        </w:rPr>
        <w:t xml:space="preserve"> odkazujúcej sa na oficiálne štatistiky </w:t>
      </w:r>
      <w:r w:rsidR="00F22603" w:rsidRPr="001434A7">
        <w:t>Federáln</w:t>
      </w:r>
      <w:r w:rsidR="00F22603">
        <w:t>ého</w:t>
      </w:r>
      <w:r w:rsidR="00F22603" w:rsidRPr="001434A7">
        <w:t xml:space="preserve"> úrad</w:t>
      </w:r>
      <w:r w:rsidR="00F22603">
        <w:t>u</w:t>
      </w:r>
      <w:r w:rsidR="00F22603" w:rsidRPr="001434A7">
        <w:t xml:space="preserve"> pre nákladnú dopravu</w:t>
      </w:r>
      <w:r w:rsidR="00F22603">
        <w:t xml:space="preserve"> (BAG).</w:t>
      </w:r>
      <w:r w:rsidR="00F22603">
        <w:rPr>
          <w:rFonts w:asciiTheme="minorHAnsi" w:hAnsiTheme="minorHAnsi" w:cstheme="minorHAnsi"/>
        </w:rPr>
        <w:t xml:space="preserve"> </w:t>
      </w:r>
      <w:r w:rsidR="00366E58">
        <w:rPr>
          <w:rFonts w:asciiTheme="minorHAnsi" w:hAnsiTheme="minorHAnsi" w:cstheme="minorHAnsi"/>
        </w:rPr>
        <w:t xml:space="preserve">V iných dostupných zdrojoch boli uvádzané len čiastkové informácie na úrovni jedného alebo dvoch sledovaných rokov prevádzky systému, ktoré sa prevažne zhodovali s údajmi zdroja </w:t>
      </w:r>
      <w:r w:rsidR="00366E58" w:rsidRPr="004C1013">
        <w:rPr>
          <w:rFonts w:asciiTheme="minorHAnsi" w:hAnsiTheme="minorHAnsi" w:cstheme="minorHAnsi"/>
        </w:rPr>
        <w:t>[17]</w:t>
      </w:r>
      <w:r w:rsidR="00366E58">
        <w:rPr>
          <w:rFonts w:asciiTheme="minorHAnsi" w:hAnsiTheme="minorHAnsi" w:cstheme="minorHAnsi"/>
        </w:rPr>
        <w:t xml:space="preserve">. </w:t>
      </w:r>
      <w:r w:rsidR="00430A8B" w:rsidRPr="004C1013">
        <w:rPr>
          <w:rFonts w:asciiTheme="minorHAnsi" w:hAnsiTheme="minorHAnsi" w:cstheme="minorHAnsi"/>
        </w:rPr>
        <w:t>Zdroj [2</w:t>
      </w:r>
      <w:r w:rsidR="00430A8B">
        <w:rPr>
          <w:rFonts w:asciiTheme="minorHAnsi" w:hAnsiTheme="minorHAnsi" w:cstheme="minorHAnsi"/>
        </w:rPr>
        <w:t>2</w:t>
      </w:r>
      <w:r w:rsidR="00430A8B" w:rsidRPr="004C1013">
        <w:rPr>
          <w:rFonts w:asciiTheme="minorHAnsi" w:hAnsiTheme="minorHAnsi" w:cstheme="minorHAnsi"/>
        </w:rPr>
        <w:t xml:space="preserve">] uvádza </w:t>
      </w:r>
      <w:r w:rsidR="00430A8B">
        <w:rPr>
          <w:rFonts w:asciiTheme="minorHAnsi" w:hAnsiTheme="minorHAnsi" w:cstheme="minorHAnsi"/>
        </w:rPr>
        <w:t xml:space="preserve">prvotné investičné náklady na vybudovanie systému na úrovni 1,1 miliardy eur a prevádzkové náklady v roku 2011 vo výške 448,6 milióna eur, v rámci ktorých sú započítané náklady </w:t>
      </w:r>
      <w:r w:rsidR="00DD4254">
        <w:rPr>
          <w:rFonts w:asciiTheme="minorHAnsi" w:hAnsiTheme="minorHAnsi" w:cstheme="minorHAnsi"/>
        </w:rPr>
        <w:t xml:space="preserve">na </w:t>
      </w:r>
      <w:r w:rsidR="00430A8B">
        <w:rPr>
          <w:rFonts w:asciiTheme="minorHAnsi" w:hAnsiTheme="minorHAnsi" w:cstheme="minorHAnsi"/>
        </w:rPr>
        <w:t xml:space="preserve">servis systému, komunikáciu, platobné transakcie, dátové centrum a iné </w:t>
      </w:r>
      <w:r w:rsidR="00DD4254">
        <w:rPr>
          <w:rFonts w:asciiTheme="minorHAnsi" w:hAnsiTheme="minorHAnsi" w:cstheme="minorHAnsi"/>
        </w:rPr>
        <w:t xml:space="preserve">položky ako spotreba materiálu, energie, nájom, marketing a poradenstvo. Do týchto prevádzkových nákladov sú tiež započítané </w:t>
      </w:r>
      <w:r w:rsidR="00430A8B">
        <w:rPr>
          <w:rFonts w:asciiTheme="minorHAnsi" w:hAnsiTheme="minorHAnsi" w:cstheme="minorHAnsi"/>
        </w:rPr>
        <w:t>odpis</w:t>
      </w:r>
      <w:r w:rsidR="00DD4254">
        <w:rPr>
          <w:rFonts w:asciiTheme="minorHAnsi" w:hAnsiTheme="minorHAnsi" w:cstheme="minorHAnsi"/>
        </w:rPr>
        <w:t>y</w:t>
      </w:r>
      <w:r w:rsidR="00430A8B">
        <w:rPr>
          <w:rFonts w:asciiTheme="minorHAnsi" w:hAnsiTheme="minorHAnsi" w:cstheme="minorHAnsi"/>
        </w:rPr>
        <w:t xml:space="preserve"> za palubné jednotky, terminály a centrálny systém. </w:t>
      </w:r>
      <w:r w:rsidR="00DD4254">
        <w:rPr>
          <w:rFonts w:asciiTheme="minorHAnsi" w:hAnsiTheme="minorHAnsi" w:cstheme="minorHAnsi"/>
        </w:rPr>
        <w:t xml:space="preserve">Zdroj </w:t>
      </w:r>
      <w:r w:rsidR="00DD4254" w:rsidRPr="004C1013">
        <w:rPr>
          <w:rFonts w:asciiTheme="minorHAnsi" w:hAnsiTheme="minorHAnsi" w:cstheme="minorHAnsi"/>
        </w:rPr>
        <w:t>[</w:t>
      </w:r>
      <w:r w:rsidR="00DD4254">
        <w:rPr>
          <w:rFonts w:asciiTheme="minorHAnsi" w:hAnsiTheme="minorHAnsi" w:cstheme="minorHAnsi"/>
        </w:rPr>
        <w:t>58</w:t>
      </w:r>
      <w:r w:rsidR="00DD4254" w:rsidRPr="004C1013">
        <w:rPr>
          <w:rFonts w:asciiTheme="minorHAnsi" w:hAnsiTheme="minorHAnsi" w:cstheme="minorHAnsi"/>
        </w:rPr>
        <w:t>]</w:t>
      </w:r>
      <w:r w:rsidR="00DD4254">
        <w:rPr>
          <w:rFonts w:asciiTheme="minorHAnsi" w:hAnsiTheme="minorHAnsi" w:cstheme="minorHAnsi"/>
        </w:rPr>
        <w:t xml:space="preserve"> uvádza počas prvých rokov prevádzky systému 18% podiel </w:t>
      </w:r>
      <w:r w:rsidR="006628A8">
        <w:rPr>
          <w:rFonts w:asciiTheme="minorHAnsi" w:hAnsiTheme="minorHAnsi" w:cstheme="minorHAnsi"/>
        </w:rPr>
        <w:t xml:space="preserve">ročných </w:t>
      </w:r>
      <w:r w:rsidR="00DD4254">
        <w:rPr>
          <w:rFonts w:asciiTheme="minorHAnsi" w:hAnsiTheme="minorHAnsi" w:cstheme="minorHAnsi"/>
        </w:rPr>
        <w:t>prevádzkových nákladov k</w:t>
      </w:r>
      <w:r w:rsidR="006628A8">
        <w:rPr>
          <w:rFonts w:asciiTheme="minorHAnsi" w:hAnsiTheme="minorHAnsi" w:cstheme="minorHAnsi"/>
        </w:rPr>
        <w:t xml:space="preserve"> celkovým ročným </w:t>
      </w:r>
      <w:r w:rsidR="00DD4254">
        <w:rPr>
          <w:rFonts w:asciiTheme="minorHAnsi" w:hAnsiTheme="minorHAnsi" w:cstheme="minorHAnsi"/>
        </w:rPr>
        <w:t>výnosom</w:t>
      </w:r>
      <w:r w:rsidR="003B73B2">
        <w:rPr>
          <w:rFonts w:asciiTheme="minorHAnsi" w:hAnsiTheme="minorHAnsi" w:cstheme="minorHAnsi"/>
        </w:rPr>
        <w:t xml:space="preserve">, podľa zdroja </w:t>
      </w:r>
      <w:r w:rsidR="003B73B2" w:rsidRPr="00B87BD8">
        <w:rPr>
          <w:rFonts w:asciiTheme="minorHAnsi" w:hAnsiTheme="minorHAnsi" w:cstheme="minorHAnsi"/>
        </w:rPr>
        <w:t>[22]</w:t>
      </w:r>
      <w:r w:rsidR="003B73B2">
        <w:rPr>
          <w:rFonts w:asciiTheme="minorHAnsi" w:hAnsiTheme="minorHAnsi" w:cstheme="minorHAnsi"/>
        </w:rPr>
        <w:t xml:space="preserve"> môžu byť celkové náklady systému na úrovni 15-20%</w:t>
      </w:r>
      <w:r w:rsidR="00C85924">
        <w:rPr>
          <w:rFonts w:asciiTheme="minorHAnsi" w:hAnsiTheme="minorHAnsi" w:cstheme="minorHAnsi"/>
        </w:rPr>
        <w:t xml:space="preserve"> z ročných výnosov</w:t>
      </w:r>
      <w:r w:rsidR="00074ED7">
        <w:rPr>
          <w:rFonts w:asciiTheme="minorHAnsi" w:hAnsiTheme="minorHAnsi" w:cstheme="minorHAnsi"/>
        </w:rPr>
        <w:t>. V nasledujúcej tabuľke sú uvedené prepočítané náklady na úrovni uvádzaného percentuálneho podielu ročných výnosov vo výške podľa [17],</w:t>
      </w:r>
      <w:r w:rsidR="006628A8">
        <w:rPr>
          <w:rFonts w:asciiTheme="minorHAnsi" w:hAnsiTheme="minorHAnsi" w:cstheme="minorHAnsi"/>
        </w:rPr>
        <w:t xml:space="preserve"> (</w:t>
      </w:r>
      <w:r w:rsidR="006628A8">
        <w:rPr>
          <w:rFonts w:asciiTheme="minorHAnsi" w:hAnsiTheme="minorHAnsi" w:cstheme="minorHAnsi"/>
        </w:rPr>
        <w:fldChar w:fldCharType="begin"/>
      </w:r>
      <w:r w:rsidR="006628A8">
        <w:rPr>
          <w:rFonts w:asciiTheme="minorHAnsi" w:hAnsiTheme="minorHAnsi" w:cstheme="minorHAnsi"/>
        </w:rPr>
        <w:instrText xml:space="preserve"> REF _Ref19741123 \h </w:instrText>
      </w:r>
      <w:r w:rsidR="006628A8">
        <w:rPr>
          <w:rFonts w:asciiTheme="minorHAnsi" w:hAnsiTheme="minorHAnsi" w:cstheme="minorHAnsi"/>
        </w:rPr>
      </w:r>
      <w:r w:rsidR="006628A8">
        <w:rPr>
          <w:rFonts w:asciiTheme="minorHAnsi" w:hAnsiTheme="minorHAnsi" w:cstheme="minorHAnsi"/>
        </w:rPr>
        <w:fldChar w:fldCharType="separate"/>
      </w:r>
      <w:r w:rsidR="006628A8" w:rsidRPr="004C1013">
        <w:t xml:space="preserve">Tab.  </w:t>
      </w:r>
      <w:r w:rsidR="006628A8">
        <w:rPr>
          <w:noProof/>
        </w:rPr>
        <w:t>1</w:t>
      </w:r>
      <w:r w:rsidR="006628A8">
        <w:noBreakHyphen/>
      </w:r>
      <w:r w:rsidR="006628A8">
        <w:rPr>
          <w:noProof/>
        </w:rPr>
        <w:t>13</w:t>
      </w:r>
      <w:r w:rsidR="006628A8">
        <w:rPr>
          <w:rFonts w:asciiTheme="minorHAnsi" w:hAnsiTheme="minorHAnsi" w:cstheme="minorHAnsi"/>
        </w:rPr>
        <w:fldChar w:fldCharType="end"/>
      </w:r>
      <w:r w:rsidR="006628A8">
        <w:rPr>
          <w:rFonts w:asciiTheme="minorHAnsi" w:hAnsiTheme="minorHAnsi" w:cstheme="minorHAnsi"/>
        </w:rPr>
        <w:t>)</w:t>
      </w:r>
      <w:r w:rsidR="00C85924">
        <w:rPr>
          <w:rFonts w:asciiTheme="minorHAnsi" w:hAnsiTheme="minorHAnsi" w:cstheme="minorHAnsi"/>
        </w:rPr>
        <w:t>.</w:t>
      </w:r>
      <w:r w:rsidR="003B73B2">
        <w:rPr>
          <w:rFonts w:asciiTheme="minorHAnsi" w:hAnsiTheme="minorHAnsi" w:cstheme="minorHAnsi"/>
        </w:rPr>
        <w:t xml:space="preserve">  </w:t>
      </w:r>
    </w:p>
    <w:p w:rsidR="006628A8" w:rsidRDefault="006628A8" w:rsidP="00430A8B">
      <w:pPr>
        <w:pStyle w:val="Normaltext"/>
        <w:spacing w:line="276" w:lineRule="auto"/>
        <w:rPr>
          <w:rFonts w:asciiTheme="minorHAnsi" w:hAnsiTheme="minorHAnsi" w:cstheme="minorHAnsi"/>
        </w:rPr>
      </w:pPr>
      <w:r>
        <w:rPr>
          <w:rFonts w:asciiTheme="minorHAnsi" w:hAnsiTheme="minorHAnsi" w:cstheme="minorHAnsi"/>
        </w:rPr>
        <w:t xml:space="preserve">Rozdiel v údajoch o nákladoch systému podľa zdroja  </w:t>
      </w:r>
      <w:r w:rsidRPr="004C1013">
        <w:rPr>
          <w:rFonts w:asciiTheme="minorHAnsi" w:hAnsiTheme="minorHAnsi" w:cstheme="minorHAnsi"/>
        </w:rPr>
        <w:t>[17]</w:t>
      </w:r>
      <w:r>
        <w:rPr>
          <w:rFonts w:asciiTheme="minorHAnsi" w:hAnsiTheme="minorHAnsi" w:cstheme="minorHAnsi"/>
        </w:rPr>
        <w:t xml:space="preserve"> a zdroja </w:t>
      </w:r>
      <w:r w:rsidRPr="00B87BD8">
        <w:rPr>
          <w:rFonts w:asciiTheme="minorHAnsi" w:hAnsiTheme="minorHAnsi" w:cstheme="minorHAnsi"/>
        </w:rPr>
        <w:t>[22]</w:t>
      </w:r>
      <w:r>
        <w:rPr>
          <w:rFonts w:asciiTheme="minorHAnsi" w:hAnsiTheme="minorHAnsi" w:cstheme="minorHAnsi"/>
        </w:rPr>
        <w:t xml:space="preserve"> na úrovni 21 mil. € (r. 2011) môže predstavovať </w:t>
      </w:r>
      <w:r w:rsidRPr="006E31E6">
        <w:rPr>
          <w:rFonts w:asciiTheme="minorHAnsi" w:hAnsiTheme="minorHAnsi" w:cstheme="minorHAnsi"/>
        </w:rPr>
        <w:t xml:space="preserve">nezapočítanie splátky </w:t>
      </w:r>
      <w:r w:rsidR="006E31E6">
        <w:rPr>
          <w:rFonts w:asciiTheme="minorHAnsi" w:hAnsiTheme="minorHAnsi" w:cstheme="minorHAnsi"/>
        </w:rPr>
        <w:t xml:space="preserve">za vybudovanie </w:t>
      </w:r>
      <w:r w:rsidRPr="006E31E6">
        <w:rPr>
          <w:rFonts w:asciiTheme="minorHAnsi" w:hAnsiTheme="minorHAnsi" w:cstheme="minorHAnsi"/>
        </w:rPr>
        <w:t>systému</w:t>
      </w:r>
      <w:r w:rsidR="006E31E6">
        <w:rPr>
          <w:rFonts w:asciiTheme="minorHAnsi" w:hAnsiTheme="minorHAnsi" w:cstheme="minorHAnsi"/>
        </w:rPr>
        <w:t xml:space="preserve"> (% podiel z investičných nákladov 1,1 mld. </w:t>
      </w:r>
      <w:r w:rsidR="006E31E6">
        <w:rPr>
          <w:rFonts w:asciiTheme="minorHAnsi" w:hAnsiTheme="minorHAnsi" w:cstheme="minorHAnsi"/>
        </w:rPr>
        <w:lastRenderedPageBreak/>
        <w:t>eur)</w:t>
      </w:r>
      <w:r w:rsidRPr="006E31E6">
        <w:rPr>
          <w:rFonts w:asciiTheme="minorHAnsi" w:hAnsiTheme="minorHAnsi" w:cstheme="minorHAnsi"/>
        </w:rPr>
        <w:t>,</w:t>
      </w:r>
      <w:r w:rsidR="00A14DB0">
        <w:rPr>
          <w:rFonts w:asciiTheme="minorHAnsi" w:hAnsiTheme="minorHAnsi" w:cstheme="minorHAnsi"/>
        </w:rPr>
        <w:t xml:space="preserve"> nákladov na enfor</w:t>
      </w:r>
      <w:r>
        <w:rPr>
          <w:rFonts w:asciiTheme="minorHAnsi" w:hAnsiTheme="minorHAnsi" w:cstheme="minorHAnsi"/>
        </w:rPr>
        <w:t>cement, nezávislého znalca alebo palivové karty</w:t>
      </w:r>
      <w:r w:rsidR="006E31E6">
        <w:rPr>
          <w:rFonts w:asciiTheme="minorHAnsi" w:hAnsiTheme="minorHAnsi" w:cstheme="minorHAnsi"/>
        </w:rPr>
        <w:t xml:space="preserve">. Tieto informácie zdroje neuvádzajú, avšak vzhľadom na nákladovosť týchto položiek je zrejmé, že väčšina z nich nie je započítavaná do celkových nákladov systému ETC v Nemecku. </w:t>
      </w:r>
      <w:r>
        <w:rPr>
          <w:rFonts w:asciiTheme="minorHAnsi" w:hAnsiTheme="minorHAnsi" w:cstheme="minorHAnsi"/>
        </w:rPr>
        <w:t xml:space="preserve">   </w:t>
      </w:r>
    </w:p>
    <w:p w:rsidR="0025522E" w:rsidRPr="004C1013" w:rsidRDefault="0025522E" w:rsidP="006B1C25">
      <w:pPr>
        <w:pStyle w:val="tabstyl"/>
      </w:pPr>
      <w:bookmarkStart w:id="71" w:name="_Ref19741123"/>
      <w:bookmarkStart w:id="72" w:name="_Toc36664455"/>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13</w:t>
      </w:r>
      <w:r w:rsidR="00C40D3F">
        <w:rPr>
          <w:noProof/>
        </w:rPr>
        <w:fldChar w:fldCharType="end"/>
      </w:r>
      <w:bookmarkEnd w:id="71"/>
      <w:r w:rsidRPr="004C1013">
        <w:t xml:space="preserve"> </w:t>
      </w:r>
      <w:r w:rsidRPr="004C1013">
        <w:tab/>
        <w:t>Rešerš dostupnej literatúry – výnosy a náklady systému ETC v Nemecku</w:t>
      </w:r>
      <w:bookmarkEnd w:id="72"/>
      <w:r w:rsidRPr="004C1013">
        <w:t xml:space="preserve"> </w:t>
      </w:r>
    </w:p>
    <w:tbl>
      <w:tblPr>
        <w:tblStyle w:val="tabulkaVUD"/>
        <w:tblW w:w="5000" w:type="pct"/>
        <w:tblLook w:val="04A0" w:firstRow="1" w:lastRow="0" w:firstColumn="1" w:lastColumn="0" w:noHBand="0" w:noVBand="1"/>
      </w:tblPr>
      <w:tblGrid>
        <w:gridCol w:w="1002"/>
        <w:gridCol w:w="915"/>
        <w:gridCol w:w="1238"/>
        <w:gridCol w:w="1127"/>
        <w:gridCol w:w="1276"/>
        <w:gridCol w:w="1278"/>
        <w:gridCol w:w="1274"/>
        <w:gridCol w:w="1301"/>
      </w:tblGrid>
      <w:tr w:rsidR="006E31E6" w:rsidRPr="004C1013" w:rsidTr="00074ED7">
        <w:trPr>
          <w:cnfStyle w:val="100000000000" w:firstRow="1" w:lastRow="0" w:firstColumn="0" w:lastColumn="0" w:oddVBand="0" w:evenVBand="0" w:oddHBand="0" w:evenHBand="0" w:firstRowFirstColumn="0" w:firstRowLastColumn="0" w:lastRowFirstColumn="0" w:lastRowLastColumn="0"/>
          <w:trHeight w:val="283"/>
          <w:tblHeader/>
        </w:trPr>
        <w:tc>
          <w:tcPr>
            <w:tcW w:w="532" w:type="pct"/>
            <w:vMerge w:val="restart"/>
            <w:shd w:val="clear" w:color="auto" w:fill="7F7F7F" w:themeFill="text1" w:themeFillTint="80"/>
            <w:hideMark/>
          </w:tcPr>
          <w:p w:rsidR="006E31E6" w:rsidRPr="004C1013" w:rsidRDefault="006E31E6" w:rsidP="009D58D5">
            <w:pPr>
              <w:pStyle w:val="zahltab"/>
            </w:pPr>
            <w:r w:rsidRPr="004C1013">
              <w:t>Kalendárny rok</w:t>
            </w:r>
          </w:p>
        </w:tc>
        <w:tc>
          <w:tcPr>
            <w:tcW w:w="486" w:type="pct"/>
            <w:vMerge w:val="restart"/>
            <w:hideMark/>
          </w:tcPr>
          <w:p w:rsidR="006E31E6" w:rsidRPr="004C1013" w:rsidRDefault="006E31E6" w:rsidP="009D58D5">
            <w:pPr>
              <w:pStyle w:val="zahltab"/>
            </w:pPr>
            <w:r w:rsidRPr="004C1013">
              <w:t>Rok prevádzky</w:t>
            </w:r>
          </w:p>
        </w:tc>
        <w:tc>
          <w:tcPr>
            <w:tcW w:w="1257" w:type="pct"/>
            <w:gridSpan w:val="2"/>
          </w:tcPr>
          <w:p w:rsidR="006E31E6" w:rsidRPr="004C1013" w:rsidRDefault="006E31E6" w:rsidP="009D58D5">
            <w:pPr>
              <w:pStyle w:val="zahltab"/>
            </w:pPr>
            <w:r w:rsidRPr="004C1013">
              <w:t>Výnosy (mil. €)</w:t>
            </w:r>
          </w:p>
        </w:tc>
        <w:tc>
          <w:tcPr>
            <w:tcW w:w="2725" w:type="pct"/>
            <w:gridSpan w:val="4"/>
          </w:tcPr>
          <w:p w:rsidR="006E31E6" w:rsidRPr="004C1013" w:rsidRDefault="006E31E6" w:rsidP="009D58D5">
            <w:pPr>
              <w:pStyle w:val="zahltab"/>
            </w:pPr>
            <w:r w:rsidRPr="004C1013">
              <w:t>Náklady (mil. €)</w:t>
            </w:r>
          </w:p>
        </w:tc>
      </w:tr>
      <w:tr w:rsidR="006E31E6" w:rsidRPr="004C1013" w:rsidTr="00074ED7">
        <w:trPr>
          <w:cnfStyle w:val="100000000000" w:firstRow="1" w:lastRow="0" w:firstColumn="0" w:lastColumn="0" w:oddVBand="0" w:evenVBand="0" w:oddHBand="0" w:evenHBand="0" w:firstRowFirstColumn="0" w:firstRowLastColumn="0" w:lastRowFirstColumn="0" w:lastRowLastColumn="0"/>
          <w:trHeight w:val="20"/>
          <w:tblHeader/>
        </w:trPr>
        <w:tc>
          <w:tcPr>
            <w:tcW w:w="532" w:type="pct"/>
            <w:vMerge/>
            <w:shd w:val="clear" w:color="auto" w:fill="7F7F7F" w:themeFill="text1" w:themeFillTint="80"/>
            <w:hideMark/>
          </w:tcPr>
          <w:p w:rsidR="006628A8" w:rsidRPr="004C1013" w:rsidRDefault="006628A8" w:rsidP="009D58D5">
            <w:pPr>
              <w:pStyle w:val="zahltab"/>
            </w:pPr>
          </w:p>
        </w:tc>
        <w:tc>
          <w:tcPr>
            <w:tcW w:w="486" w:type="pct"/>
            <w:vMerge/>
            <w:hideMark/>
          </w:tcPr>
          <w:p w:rsidR="006628A8" w:rsidRPr="004C1013" w:rsidRDefault="006628A8" w:rsidP="009D58D5">
            <w:pPr>
              <w:pStyle w:val="zahltab"/>
            </w:pPr>
          </w:p>
        </w:tc>
        <w:tc>
          <w:tcPr>
            <w:tcW w:w="658" w:type="pct"/>
            <w:hideMark/>
          </w:tcPr>
          <w:p w:rsidR="006628A8" w:rsidRPr="004C1013" w:rsidRDefault="006628A8" w:rsidP="009D58D5">
            <w:pPr>
              <w:pStyle w:val="zahltab"/>
            </w:pPr>
            <w:r w:rsidRPr="004C1013">
              <w:t>ASECAP-B [15], [16]</w:t>
            </w:r>
          </w:p>
        </w:tc>
        <w:tc>
          <w:tcPr>
            <w:tcW w:w="599" w:type="pct"/>
          </w:tcPr>
          <w:p w:rsidR="006628A8" w:rsidRPr="004C1013" w:rsidRDefault="006628A8" w:rsidP="009D58D5">
            <w:pPr>
              <w:pStyle w:val="zahltab"/>
              <w:rPr>
                <w:bCs/>
              </w:rPr>
            </w:pPr>
            <w:r w:rsidRPr="004C1013">
              <w:t>Odborná lit. [17]</w:t>
            </w:r>
          </w:p>
        </w:tc>
        <w:tc>
          <w:tcPr>
            <w:tcW w:w="678" w:type="pct"/>
          </w:tcPr>
          <w:p w:rsidR="006628A8" w:rsidRPr="004C1013" w:rsidRDefault="006628A8" w:rsidP="009D58D5">
            <w:pPr>
              <w:pStyle w:val="zahltab"/>
              <w:rPr>
                <w:bCs/>
              </w:rPr>
            </w:pPr>
            <w:r w:rsidRPr="004C1013">
              <w:t>Odborná lit. [17]</w:t>
            </w:r>
          </w:p>
        </w:tc>
        <w:tc>
          <w:tcPr>
            <w:tcW w:w="679" w:type="pct"/>
          </w:tcPr>
          <w:p w:rsidR="006628A8" w:rsidRPr="004C1013" w:rsidRDefault="006628A8" w:rsidP="00074ED7">
            <w:pPr>
              <w:pStyle w:val="zahltab"/>
            </w:pPr>
            <w:r>
              <w:t>15% z</w:t>
            </w:r>
            <w:r w:rsidR="00074ED7">
              <w:t> </w:t>
            </w:r>
            <w:r>
              <w:t>príjmov</w:t>
            </w:r>
            <w:r w:rsidR="00074ED7">
              <w:t xml:space="preserve"> </w:t>
            </w:r>
            <w:r>
              <w:t>[</w:t>
            </w:r>
            <w:r w:rsidR="006E31E6">
              <w:t>22</w:t>
            </w:r>
            <w:r w:rsidRPr="004C1013">
              <w:t>]</w:t>
            </w:r>
          </w:p>
        </w:tc>
        <w:tc>
          <w:tcPr>
            <w:tcW w:w="677" w:type="pct"/>
          </w:tcPr>
          <w:p w:rsidR="006628A8" w:rsidRDefault="006628A8" w:rsidP="006E31E6">
            <w:pPr>
              <w:pStyle w:val="zahltab"/>
              <w:contextualSpacing/>
            </w:pPr>
            <w:r>
              <w:t>18% z</w:t>
            </w:r>
            <w:r w:rsidR="006E31E6">
              <w:t> </w:t>
            </w:r>
            <w:r>
              <w:t>príjmov</w:t>
            </w:r>
          </w:p>
          <w:p w:rsidR="006E31E6" w:rsidRDefault="006E31E6" w:rsidP="006E31E6">
            <w:pPr>
              <w:pStyle w:val="zahltab"/>
              <w:contextualSpacing/>
            </w:pPr>
            <w:r>
              <w:t>[58</w:t>
            </w:r>
            <w:r w:rsidRPr="004C1013">
              <w:t>]</w:t>
            </w:r>
          </w:p>
        </w:tc>
        <w:tc>
          <w:tcPr>
            <w:tcW w:w="691" w:type="pct"/>
          </w:tcPr>
          <w:p w:rsidR="006E31E6" w:rsidRDefault="006628A8" w:rsidP="006E31E6">
            <w:pPr>
              <w:pStyle w:val="zahltab"/>
              <w:spacing w:after="0"/>
            </w:pPr>
            <w:r>
              <w:t>20% z</w:t>
            </w:r>
            <w:r w:rsidR="006E31E6">
              <w:t> </w:t>
            </w:r>
            <w:r>
              <w:t>príjmov</w:t>
            </w:r>
          </w:p>
          <w:p w:rsidR="006628A8" w:rsidRDefault="006E31E6" w:rsidP="006E31E6">
            <w:pPr>
              <w:pStyle w:val="zahltab"/>
              <w:contextualSpacing/>
            </w:pPr>
            <w:r>
              <w:t>[22</w:t>
            </w:r>
            <w:r w:rsidRPr="004C1013">
              <w:t>]</w:t>
            </w:r>
          </w:p>
        </w:tc>
      </w:tr>
      <w:tr w:rsidR="00074ED7" w:rsidRPr="004C1013" w:rsidTr="002B6317">
        <w:trPr>
          <w:trHeight w:val="227"/>
        </w:trPr>
        <w:tc>
          <w:tcPr>
            <w:tcW w:w="532" w:type="pct"/>
            <w:hideMark/>
          </w:tcPr>
          <w:p w:rsidR="00074ED7" w:rsidRPr="004C1013" w:rsidRDefault="00074ED7" w:rsidP="00074ED7">
            <w:pPr>
              <w:pStyle w:val="tabbielystyl"/>
            </w:pPr>
            <w:r w:rsidRPr="004C1013">
              <w:t>2005</w:t>
            </w:r>
          </w:p>
        </w:tc>
        <w:tc>
          <w:tcPr>
            <w:tcW w:w="486" w:type="pct"/>
            <w:hideMark/>
          </w:tcPr>
          <w:p w:rsidR="00074ED7" w:rsidRPr="004C1013" w:rsidRDefault="00074ED7" w:rsidP="00074ED7">
            <w:pPr>
              <w:pStyle w:val="tabbielystyl"/>
            </w:pPr>
            <w:r w:rsidRPr="004C1013">
              <w:t>1.</w:t>
            </w:r>
          </w:p>
        </w:tc>
        <w:tc>
          <w:tcPr>
            <w:tcW w:w="658" w:type="pct"/>
            <w:vAlign w:val="bottom"/>
            <w:hideMark/>
          </w:tcPr>
          <w:p w:rsidR="00074ED7" w:rsidRPr="004C1013" w:rsidRDefault="00074ED7" w:rsidP="00074ED7">
            <w:pPr>
              <w:pStyle w:val="tabbielystyl"/>
            </w:pPr>
            <w:r w:rsidRPr="004C1013">
              <w:t>N/A</w:t>
            </w:r>
          </w:p>
        </w:tc>
        <w:tc>
          <w:tcPr>
            <w:tcW w:w="599" w:type="pct"/>
            <w:vAlign w:val="bottom"/>
          </w:tcPr>
          <w:p w:rsidR="00074ED7" w:rsidRPr="004C1013" w:rsidRDefault="00074ED7" w:rsidP="00074ED7">
            <w:pPr>
              <w:pStyle w:val="tabbielystyl"/>
            </w:pPr>
            <w:r w:rsidRPr="004C1013">
              <w:t>2590</w:t>
            </w:r>
          </w:p>
        </w:tc>
        <w:tc>
          <w:tcPr>
            <w:tcW w:w="678" w:type="pct"/>
            <w:vAlign w:val="bottom"/>
          </w:tcPr>
          <w:p w:rsidR="00074ED7" w:rsidRPr="004C1013" w:rsidRDefault="00074ED7" w:rsidP="00074ED7">
            <w:pPr>
              <w:pStyle w:val="tabbielystyl"/>
            </w:pPr>
            <w:r w:rsidRPr="004C1013">
              <w:t>550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389</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466</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518</w:t>
            </w:r>
          </w:p>
        </w:tc>
      </w:tr>
      <w:tr w:rsidR="00074ED7" w:rsidRPr="004C1013" w:rsidTr="002B6317">
        <w:trPr>
          <w:trHeight w:val="227"/>
        </w:trPr>
        <w:tc>
          <w:tcPr>
            <w:tcW w:w="532" w:type="pct"/>
            <w:hideMark/>
          </w:tcPr>
          <w:p w:rsidR="00074ED7" w:rsidRPr="004C1013" w:rsidRDefault="00074ED7" w:rsidP="00074ED7">
            <w:pPr>
              <w:pStyle w:val="tabbielystyl"/>
            </w:pPr>
            <w:r w:rsidRPr="004C1013">
              <w:t>2006</w:t>
            </w:r>
          </w:p>
        </w:tc>
        <w:tc>
          <w:tcPr>
            <w:tcW w:w="486" w:type="pct"/>
            <w:hideMark/>
          </w:tcPr>
          <w:p w:rsidR="00074ED7" w:rsidRPr="004C1013" w:rsidRDefault="00074ED7" w:rsidP="00074ED7">
            <w:pPr>
              <w:pStyle w:val="tabbielystyl"/>
            </w:pPr>
            <w:r w:rsidRPr="004C1013">
              <w:t>2.</w:t>
            </w:r>
          </w:p>
        </w:tc>
        <w:tc>
          <w:tcPr>
            <w:tcW w:w="658" w:type="pct"/>
            <w:vAlign w:val="bottom"/>
            <w:hideMark/>
          </w:tcPr>
          <w:p w:rsidR="00074ED7" w:rsidRPr="004C1013" w:rsidRDefault="00074ED7" w:rsidP="00074ED7">
            <w:pPr>
              <w:pStyle w:val="tabbielystyl"/>
            </w:pPr>
            <w:r w:rsidRPr="004C1013">
              <w:t>3 078</w:t>
            </w:r>
          </w:p>
        </w:tc>
        <w:tc>
          <w:tcPr>
            <w:tcW w:w="599" w:type="pct"/>
            <w:vAlign w:val="bottom"/>
          </w:tcPr>
          <w:p w:rsidR="00074ED7" w:rsidRPr="004C1013" w:rsidRDefault="00074ED7" w:rsidP="00074ED7">
            <w:pPr>
              <w:pStyle w:val="tabbielystyl"/>
            </w:pPr>
            <w:r w:rsidRPr="004C1013">
              <w:t>3050</w:t>
            </w:r>
          </w:p>
        </w:tc>
        <w:tc>
          <w:tcPr>
            <w:tcW w:w="678" w:type="pct"/>
            <w:vAlign w:val="bottom"/>
          </w:tcPr>
          <w:p w:rsidR="00074ED7" w:rsidRPr="004C1013" w:rsidRDefault="00074ED7" w:rsidP="00074ED7">
            <w:pPr>
              <w:pStyle w:val="tabbielystyl"/>
            </w:pPr>
            <w:r w:rsidRPr="004C1013">
              <w:t>560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458</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549</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610</w:t>
            </w:r>
          </w:p>
        </w:tc>
      </w:tr>
      <w:tr w:rsidR="00074ED7" w:rsidRPr="004C1013" w:rsidTr="002B6317">
        <w:trPr>
          <w:trHeight w:val="227"/>
        </w:trPr>
        <w:tc>
          <w:tcPr>
            <w:tcW w:w="532" w:type="pct"/>
            <w:hideMark/>
          </w:tcPr>
          <w:p w:rsidR="00074ED7" w:rsidRPr="004C1013" w:rsidRDefault="00074ED7" w:rsidP="00074ED7">
            <w:pPr>
              <w:pStyle w:val="tabbielystyl"/>
            </w:pPr>
            <w:r w:rsidRPr="004C1013">
              <w:t>2007</w:t>
            </w:r>
          </w:p>
        </w:tc>
        <w:tc>
          <w:tcPr>
            <w:tcW w:w="486" w:type="pct"/>
            <w:hideMark/>
          </w:tcPr>
          <w:p w:rsidR="00074ED7" w:rsidRPr="004C1013" w:rsidRDefault="00074ED7" w:rsidP="00074ED7">
            <w:pPr>
              <w:pStyle w:val="tabbielystyl"/>
            </w:pPr>
            <w:r w:rsidRPr="004C1013">
              <w:t>3.</w:t>
            </w:r>
          </w:p>
        </w:tc>
        <w:tc>
          <w:tcPr>
            <w:tcW w:w="658" w:type="pct"/>
            <w:vAlign w:val="bottom"/>
            <w:hideMark/>
          </w:tcPr>
          <w:p w:rsidR="00074ED7" w:rsidRPr="004C1013" w:rsidRDefault="00074ED7" w:rsidP="00074ED7">
            <w:pPr>
              <w:pStyle w:val="tabbielystyl"/>
            </w:pPr>
            <w:r w:rsidRPr="004C1013">
              <w:t>3 359</w:t>
            </w:r>
          </w:p>
        </w:tc>
        <w:tc>
          <w:tcPr>
            <w:tcW w:w="599" w:type="pct"/>
            <w:vAlign w:val="bottom"/>
          </w:tcPr>
          <w:p w:rsidR="00074ED7" w:rsidRPr="004C1013" w:rsidRDefault="00074ED7" w:rsidP="00074ED7">
            <w:pPr>
              <w:pStyle w:val="tabbielystyl"/>
            </w:pPr>
            <w:r w:rsidRPr="004C1013">
              <w:t>3310</w:t>
            </w:r>
          </w:p>
        </w:tc>
        <w:tc>
          <w:tcPr>
            <w:tcW w:w="678" w:type="pct"/>
            <w:vAlign w:val="bottom"/>
          </w:tcPr>
          <w:p w:rsidR="00074ED7" w:rsidRPr="004C1013" w:rsidRDefault="00074ED7" w:rsidP="00074ED7">
            <w:pPr>
              <w:pStyle w:val="tabbielystyl"/>
            </w:pPr>
            <w:r w:rsidRPr="004C1013">
              <w:t>630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497</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596</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662</w:t>
            </w:r>
          </w:p>
        </w:tc>
      </w:tr>
      <w:tr w:rsidR="00074ED7" w:rsidRPr="004C1013" w:rsidTr="002B6317">
        <w:trPr>
          <w:trHeight w:val="227"/>
        </w:trPr>
        <w:tc>
          <w:tcPr>
            <w:tcW w:w="532" w:type="pct"/>
            <w:hideMark/>
          </w:tcPr>
          <w:p w:rsidR="00074ED7" w:rsidRPr="004C1013" w:rsidRDefault="00074ED7" w:rsidP="00074ED7">
            <w:pPr>
              <w:pStyle w:val="tabbielystyl"/>
            </w:pPr>
            <w:r w:rsidRPr="004C1013">
              <w:t>2008</w:t>
            </w:r>
          </w:p>
        </w:tc>
        <w:tc>
          <w:tcPr>
            <w:tcW w:w="486" w:type="pct"/>
            <w:hideMark/>
          </w:tcPr>
          <w:p w:rsidR="00074ED7" w:rsidRPr="004C1013" w:rsidRDefault="00074ED7" w:rsidP="00074ED7">
            <w:pPr>
              <w:pStyle w:val="tabbielystyl"/>
            </w:pPr>
            <w:r w:rsidRPr="004C1013">
              <w:t>4.</w:t>
            </w:r>
          </w:p>
        </w:tc>
        <w:tc>
          <w:tcPr>
            <w:tcW w:w="658" w:type="pct"/>
            <w:vAlign w:val="bottom"/>
            <w:hideMark/>
          </w:tcPr>
          <w:p w:rsidR="00074ED7" w:rsidRPr="004C1013" w:rsidRDefault="00074ED7" w:rsidP="00074ED7">
            <w:pPr>
              <w:pStyle w:val="tabbielystyl"/>
            </w:pPr>
            <w:r w:rsidRPr="004C1013">
              <w:t>3 466</w:t>
            </w:r>
          </w:p>
        </w:tc>
        <w:tc>
          <w:tcPr>
            <w:tcW w:w="599" w:type="pct"/>
            <w:vAlign w:val="bottom"/>
          </w:tcPr>
          <w:p w:rsidR="00074ED7" w:rsidRPr="004C1013" w:rsidRDefault="00074ED7" w:rsidP="00074ED7">
            <w:pPr>
              <w:pStyle w:val="tabbielystyl"/>
            </w:pPr>
            <w:r w:rsidRPr="004C1013">
              <w:t>3490</w:t>
            </w:r>
          </w:p>
        </w:tc>
        <w:tc>
          <w:tcPr>
            <w:tcW w:w="678" w:type="pct"/>
            <w:vAlign w:val="bottom"/>
          </w:tcPr>
          <w:p w:rsidR="00074ED7" w:rsidRPr="004C1013" w:rsidRDefault="00074ED7" w:rsidP="00074ED7">
            <w:pPr>
              <w:pStyle w:val="tabbielystyl"/>
            </w:pPr>
            <w:r w:rsidRPr="004C1013">
              <w:t>560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524</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628</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698</w:t>
            </w:r>
          </w:p>
        </w:tc>
      </w:tr>
      <w:tr w:rsidR="00074ED7" w:rsidRPr="004C1013" w:rsidTr="002B6317">
        <w:trPr>
          <w:trHeight w:val="227"/>
        </w:trPr>
        <w:tc>
          <w:tcPr>
            <w:tcW w:w="532" w:type="pct"/>
            <w:hideMark/>
          </w:tcPr>
          <w:p w:rsidR="00074ED7" w:rsidRPr="004C1013" w:rsidRDefault="00074ED7" w:rsidP="00074ED7">
            <w:pPr>
              <w:pStyle w:val="tabbielystyl"/>
            </w:pPr>
            <w:r w:rsidRPr="004C1013">
              <w:t>2009</w:t>
            </w:r>
          </w:p>
        </w:tc>
        <w:tc>
          <w:tcPr>
            <w:tcW w:w="486" w:type="pct"/>
            <w:hideMark/>
          </w:tcPr>
          <w:p w:rsidR="00074ED7" w:rsidRPr="004C1013" w:rsidRDefault="00074ED7" w:rsidP="00074ED7">
            <w:pPr>
              <w:pStyle w:val="tabbielystyl"/>
            </w:pPr>
            <w:r w:rsidRPr="004C1013">
              <w:t>5.</w:t>
            </w:r>
          </w:p>
        </w:tc>
        <w:tc>
          <w:tcPr>
            <w:tcW w:w="658" w:type="pct"/>
            <w:vAlign w:val="bottom"/>
            <w:hideMark/>
          </w:tcPr>
          <w:p w:rsidR="00074ED7" w:rsidRPr="004C1013" w:rsidRDefault="00074ED7" w:rsidP="00074ED7">
            <w:pPr>
              <w:pStyle w:val="tabbielystyl"/>
            </w:pPr>
            <w:r w:rsidRPr="004C1013">
              <w:t>4 409</w:t>
            </w:r>
          </w:p>
        </w:tc>
        <w:tc>
          <w:tcPr>
            <w:tcW w:w="599" w:type="pct"/>
            <w:vAlign w:val="bottom"/>
          </w:tcPr>
          <w:p w:rsidR="00074ED7" w:rsidRPr="004C1013" w:rsidRDefault="00074ED7" w:rsidP="00074ED7">
            <w:pPr>
              <w:pStyle w:val="tabbielystyl"/>
            </w:pPr>
            <w:r w:rsidRPr="004C1013">
              <w:t>4330</w:t>
            </w:r>
          </w:p>
        </w:tc>
        <w:tc>
          <w:tcPr>
            <w:tcW w:w="678" w:type="pct"/>
            <w:vAlign w:val="bottom"/>
          </w:tcPr>
          <w:p w:rsidR="00074ED7" w:rsidRPr="004C1013" w:rsidRDefault="00074ED7" w:rsidP="00074ED7">
            <w:pPr>
              <w:pStyle w:val="tabbielystyl"/>
            </w:pPr>
            <w:r w:rsidRPr="004C1013">
              <w:t>540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650</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779</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866</w:t>
            </w:r>
          </w:p>
        </w:tc>
      </w:tr>
      <w:tr w:rsidR="00074ED7" w:rsidRPr="004C1013" w:rsidTr="002B6317">
        <w:trPr>
          <w:trHeight w:val="227"/>
        </w:trPr>
        <w:tc>
          <w:tcPr>
            <w:tcW w:w="532" w:type="pct"/>
            <w:hideMark/>
          </w:tcPr>
          <w:p w:rsidR="00074ED7" w:rsidRPr="004C1013" w:rsidRDefault="00074ED7" w:rsidP="00074ED7">
            <w:pPr>
              <w:pStyle w:val="tabbielystyl"/>
            </w:pPr>
            <w:r w:rsidRPr="004C1013">
              <w:t>2010</w:t>
            </w:r>
          </w:p>
        </w:tc>
        <w:tc>
          <w:tcPr>
            <w:tcW w:w="486" w:type="pct"/>
            <w:hideMark/>
          </w:tcPr>
          <w:p w:rsidR="00074ED7" w:rsidRPr="004C1013" w:rsidRDefault="00074ED7" w:rsidP="00074ED7">
            <w:pPr>
              <w:pStyle w:val="tabbielystyl"/>
            </w:pPr>
            <w:r w:rsidRPr="004C1013">
              <w:t>6.</w:t>
            </w:r>
          </w:p>
        </w:tc>
        <w:tc>
          <w:tcPr>
            <w:tcW w:w="658" w:type="pct"/>
            <w:vAlign w:val="bottom"/>
            <w:hideMark/>
          </w:tcPr>
          <w:p w:rsidR="00074ED7" w:rsidRPr="004C1013" w:rsidRDefault="00074ED7" w:rsidP="00074ED7">
            <w:pPr>
              <w:pStyle w:val="tabbielystyl"/>
            </w:pPr>
            <w:r w:rsidRPr="004C1013">
              <w:t>4 484</w:t>
            </w:r>
          </w:p>
        </w:tc>
        <w:tc>
          <w:tcPr>
            <w:tcW w:w="599" w:type="pct"/>
            <w:vAlign w:val="bottom"/>
          </w:tcPr>
          <w:p w:rsidR="00074ED7" w:rsidRPr="004C1013" w:rsidRDefault="00074ED7" w:rsidP="00074ED7">
            <w:pPr>
              <w:pStyle w:val="tabbielystyl"/>
            </w:pPr>
            <w:r w:rsidRPr="004C1013">
              <w:t>4510</w:t>
            </w:r>
          </w:p>
        </w:tc>
        <w:tc>
          <w:tcPr>
            <w:tcW w:w="678" w:type="pct"/>
            <w:vAlign w:val="bottom"/>
          </w:tcPr>
          <w:p w:rsidR="00074ED7" w:rsidRPr="004C1013" w:rsidRDefault="00074ED7" w:rsidP="00074ED7">
            <w:pPr>
              <w:pStyle w:val="tabbielystyl"/>
            </w:pPr>
            <w:r w:rsidRPr="004C1013">
              <w:t>490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677</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812</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902</w:t>
            </w:r>
          </w:p>
        </w:tc>
      </w:tr>
      <w:tr w:rsidR="00074ED7" w:rsidRPr="004C1013" w:rsidTr="002B6317">
        <w:trPr>
          <w:trHeight w:val="227"/>
        </w:trPr>
        <w:tc>
          <w:tcPr>
            <w:tcW w:w="532" w:type="pct"/>
            <w:hideMark/>
          </w:tcPr>
          <w:p w:rsidR="00074ED7" w:rsidRPr="004C1013" w:rsidRDefault="00074ED7" w:rsidP="00074ED7">
            <w:pPr>
              <w:pStyle w:val="tabbielystyl"/>
            </w:pPr>
            <w:r w:rsidRPr="004C1013">
              <w:t>2011</w:t>
            </w:r>
          </w:p>
        </w:tc>
        <w:tc>
          <w:tcPr>
            <w:tcW w:w="486" w:type="pct"/>
            <w:hideMark/>
          </w:tcPr>
          <w:p w:rsidR="00074ED7" w:rsidRPr="004C1013" w:rsidRDefault="00074ED7" w:rsidP="00074ED7">
            <w:pPr>
              <w:pStyle w:val="tabbielystyl"/>
            </w:pPr>
            <w:r w:rsidRPr="004C1013">
              <w:t>7.</w:t>
            </w:r>
          </w:p>
        </w:tc>
        <w:tc>
          <w:tcPr>
            <w:tcW w:w="658" w:type="pct"/>
            <w:vAlign w:val="bottom"/>
            <w:hideMark/>
          </w:tcPr>
          <w:p w:rsidR="00074ED7" w:rsidRPr="004C1013" w:rsidRDefault="00074ED7" w:rsidP="00074ED7">
            <w:pPr>
              <w:pStyle w:val="tabbielystyl"/>
            </w:pPr>
            <w:r w:rsidRPr="004C1013">
              <w:t>4 498</w:t>
            </w:r>
          </w:p>
        </w:tc>
        <w:tc>
          <w:tcPr>
            <w:tcW w:w="599" w:type="pct"/>
            <w:vAlign w:val="bottom"/>
          </w:tcPr>
          <w:p w:rsidR="00074ED7" w:rsidRPr="004C1013" w:rsidRDefault="00074ED7" w:rsidP="00074ED7">
            <w:pPr>
              <w:pStyle w:val="tabbielystyl"/>
            </w:pPr>
            <w:r w:rsidRPr="004C1013">
              <w:t>4480</w:t>
            </w:r>
          </w:p>
        </w:tc>
        <w:tc>
          <w:tcPr>
            <w:tcW w:w="678" w:type="pct"/>
            <w:vAlign w:val="bottom"/>
          </w:tcPr>
          <w:p w:rsidR="00074ED7" w:rsidRPr="004C1013" w:rsidRDefault="00074ED7" w:rsidP="00074ED7">
            <w:pPr>
              <w:pStyle w:val="tabbielystyl"/>
            </w:pPr>
            <w:r w:rsidRPr="004C1013">
              <w:t>470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672</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806</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896</w:t>
            </w:r>
          </w:p>
        </w:tc>
      </w:tr>
      <w:tr w:rsidR="00074ED7" w:rsidRPr="004C1013" w:rsidTr="002B6317">
        <w:trPr>
          <w:trHeight w:val="227"/>
        </w:trPr>
        <w:tc>
          <w:tcPr>
            <w:tcW w:w="532" w:type="pct"/>
            <w:hideMark/>
          </w:tcPr>
          <w:p w:rsidR="00074ED7" w:rsidRPr="004C1013" w:rsidRDefault="00074ED7" w:rsidP="00074ED7">
            <w:pPr>
              <w:pStyle w:val="tabbielystyl"/>
            </w:pPr>
            <w:r w:rsidRPr="004C1013">
              <w:t>2012</w:t>
            </w:r>
          </w:p>
        </w:tc>
        <w:tc>
          <w:tcPr>
            <w:tcW w:w="486" w:type="pct"/>
            <w:hideMark/>
          </w:tcPr>
          <w:p w:rsidR="00074ED7" w:rsidRPr="004C1013" w:rsidRDefault="00074ED7" w:rsidP="00074ED7">
            <w:pPr>
              <w:pStyle w:val="tabbielystyl"/>
            </w:pPr>
            <w:r w:rsidRPr="004C1013">
              <w:t>8.</w:t>
            </w:r>
          </w:p>
        </w:tc>
        <w:tc>
          <w:tcPr>
            <w:tcW w:w="658" w:type="pct"/>
            <w:vAlign w:val="bottom"/>
            <w:hideMark/>
          </w:tcPr>
          <w:p w:rsidR="00074ED7" w:rsidRPr="004C1013" w:rsidRDefault="00074ED7" w:rsidP="00074ED7">
            <w:pPr>
              <w:pStyle w:val="tabbielystyl"/>
            </w:pPr>
            <w:r w:rsidRPr="004C1013">
              <w:t>4 364</w:t>
            </w:r>
          </w:p>
        </w:tc>
        <w:tc>
          <w:tcPr>
            <w:tcW w:w="599" w:type="pct"/>
            <w:vAlign w:val="bottom"/>
          </w:tcPr>
          <w:p w:rsidR="00074ED7" w:rsidRPr="004C1013" w:rsidRDefault="00074ED7" w:rsidP="00074ED7">
            <w:pPr>
              <w:pStyle w:val="tabbielystyl"/>
            </w:pPr>
            <w:r w:rsidRPr="004C1013">
              <w:t>4360</w:t>
            </w:r>
          </w:p>
        </w:tc>
        <w:tc>
          <w:tcPr>
            <w:tcW w:w="678" w:type="pct"/>
            <w:vAlign w:val="bottom"/>
          </w:tcPr>
          <w:p w:rsidR="00074ED7" w:rsidRPr="004C1013" w:rsidRDefault="00074ED7" w:rsidP="00074ED7">
            <w:pPr>
              <w:pStyle w:val="tabbielystyl"/>
            </w:pPr>
            <w:r w:rsidRPr="004C1013">
              <w:t>570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654</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785</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872</w:t>
            </w:r>
          </w:p>
        </w:tc>
      </w:tr>
      <w:tr w:rsidR="00074ED7" w:rsidRPr="004C1013" w:rsidTr="002B6317">
        <w:trPr>
          <w:trHeight w:val="227"/>
        </w:trPr>
        <w:tc>
          <w:tcPr>
            <w:tcW w:w="532" w:type="pct"/>
            <w:hideMark/>
          </w:tcPr>
          <w:p w:rsidR="00074ED7" w:rsidRPr="004C1013" w:rsidRDefault="00074ED7" w:rsidP="00074ED7">
            <w:pPr>
              <w:pStyle w:val="tabbielystyl"/>
            </w:pPr>
            <w:r>
              <w:t>.</w:t>
            </w:r>
            <w:r w:rsidRPr="004C1013">
              <w:t>2013</w:t>
            </w:r>
          </w:p>
        </w:tc>
        <w:tc>
          <w:tcPr>
            <w:tcW w:w="486" w:type="pct"/>
            <w:hideMark/>
          </w:tcPr>
          <w:p w:rsidR="00074ED7" w:rsidRPr="004C1013" w:rsidRDefault="00074ED7" w:rsidP="00074ED7">
            <w:pPr>
              <w:pStyle w:val="tabbielystyl"/>
            </w:pPr>
            <w:r w:rsidRPr="004C1013">
              <w:t>9.</w:t>
            </w:r>
          </w:p>
        </w:tc>
        <w:tc>
          <w:tcPr>
            <w:tcW w:w="658" w:type="pct"/>
            <w:vAlign w:val="bottom"/>
            <w:hideMark/>
          </w:tcPr>
          <w:p w:rsidR="00074ED7" w:rsidRPr="004C1013" w:rsidRDefault="00074ED7" w:rsidP="00074ED7">
            <w:pPr>
              <w:pStyle w:val="tabbielystyl"/>
            </w:pPr>
            <w:r w:rsidRPr="004C1013">
              <w:t>4 400</w:t>
            </w:r>
          </w:p>
        </w:tc>
        <w:tc>
          <w:tcPr>
            <w:tcW w:w="599" w:type="pct"/>
            <w:vAlign w:val="bottom"/>
          </w:tcPr>
          <w:p w:rsidR="00074ED7" w:rsidRPr="004C1013" w:rsidRDefault="00074ED7" w:rsidP="00074ED7">
            <w:pPr>
              <w:pStyle w:val="tabbielystyl"/>
            </w:pPr>
            <w:r w:rsidRPr="004C1013">
              <w:t>4390</w:t>
            </w:r>
          </w:p>
        </w:tc>
        <w:tc>
          <w:tcPr>
            <w:tcW w:w="678" w:type="pct"/>
            <w:vAlign w:val="bottom"/>
          </w:tcPr>
          <w:p w:rsidR="00074ED7" w:rsidRPr="004C1013" w:rsidRDefault="00074ED7" w:rsidP="00074ED7">
            <w:pPr>
              <w:pStyle w:val="tabbielystyl"/>
            </w:pPr>
            <w:r w:rsidRPr="004C1013">
              <w:t>610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659</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790</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878</w:t>
            </w:r>
          </w:p>
        </w:tc>
      </w:tr>
      <w:tr w:rsidR="00074ED7" w:rsidRPr="004C1013" w:rsidTr="002B6317">
        <w:trPr>
          <w:trHeight w:val="227"/>
        </w:trPr>
        <w:tc>
          <w:tcPr>
            <w:tcW w:w="532" w:type="pct"/>
            <w:hideMark/>
          </w:tcPr>
          <w:p w:rsidR="00074ED7" w:rsidRPr="004C1013" w:rsidRDefault="00074ED7" w:rsidP="00074ED7">
            <w:pPr>
              <w:pStyle w:val="tabbielystyl"/>
            </w:pPr>
            <w:r w:rsidRPr="004C1013">
              <w:t>2014</w:t>
            </w:r>
          </w:p>
        </w:tc>
        <w:tc>
          <w:tcPr>
            <w:tcW w:w="486" w:type="pct"/>
            <w:hideMark/>
          </w:tcPr>
          <w:p w:rsidR="00074ED7" w:rsidRPr="004C1013" w:rsidRDefault="00074ED7" w:rsidP="00074ED7">
            <w:pPr>
              <w:pStyle w:val="tabbielystyl"/>
            </w:pPr>
            <w:r w:rsidRPr="004C1013">
              <w:t>10.</w:t>
            </w:r>
          </w:p>
        </w:tc>
        <w:tc>
          <w:tcPr>
            <w:tcW w:w="658" w:type="pct"/>
            <w:vAlign w:val="bottom"/>
            <w:hideMark/>
          </w:tcPr>
          <w:p w:rsidR="00074ED7" w:rsidRPr="004C1013" w:rsidRDefault="00074ED7" w:rsidP="00074ED7">
            <w:pPr>
              <w:pStyle w:val="tabbielystyl"/>
            </w:pPr>
            <w:r w:rsidRPr="004C1013">
              <w:t>4 460</w:t>
            </w:r>
          </w:p>
        </w:tc>
        <w:tc>
          <w:tcPr>
            <w:tcW w:w="599" w:type="pct"/>
            <w:vAlign w:val="bottom"/>
          </w:tcPr>
          <w:p w:rsidR="00074ED7" w:rsidRPr="004C1013" w:rsidRDefault="00074ED7" w:rsidP="00074ED7">
            <w:pPr>
              <w:pStyle w:val="tabbielystyl"/>
            </w:pPr>
            <w:r w:rsidRPr="004C1013">
              <w:t>4460</w:t>
            </w:r>
          </w:p>
        </w:tc>
        <w:tc>
          <w:tcPr>
            <w:tcW w:w="678" w:type="pct"/>
            <w:vAlign w:val="bottom"/>
          </w:tcPr>
          <w:p w:rsidR="00074ED7" w:rsidRPr="004C1013" w:rsidRDefault="00074ED7" w:rsidP="00074ED7">
            <w:pPr>
              <w:pStyle w:val="tabbielystyl"/>
            </w:pPr>
            <w:r w:rsidRPr="004C1013">
              <w:t>610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669</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803</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892</w:t>
            </w:r>
          </w:p>
        </w:tc>
      </w:tr>
      <w:tr w:rsidR="00074ED7" w:rsidRPr="004C1013" w:rsidTr="002B6317">
        <w:trPr>
          <w:trHeight w:val="227"/>
        </w:trPr>
        <w:tc>
          <w:tcPr>
            <w:tcW w:w="532" w:type="pct"/>
            <w:hideMark/>
          </w:tcPr>
          <w:p w:rsidR="00074ED7" w:rsidRPr="004C1013" w:rsidRDefault="00074ED7" w:rsidP="00074ED7">
            <w:pPr>
              <w:pStyle w:val="tabbielystyl"/>
            </w:pPr>
            <w:r w:rsidRPr="004C1013">
              <w:t>2015</w:t>
            </w:r>
          </w:p>
        </w:tc>
        <w:tc>
          <w:tcPr>
            <w:tcW w:w="486" w:type="pct"/>
            <w:hideMark/>
          </w:tcPr>
          <w:p w:rsidR="00074ED7" w:rsidRPr="004C1013" w:rsidRDefault="00074ED7" w:rsidP="00074ED7">
            <w:pPr>
              <w:pStyle w:val="tabbielystyl"/>
            </w:pPr>
            <w:r w:rsidRPr="004C1013">
              <w:t>11.</w:t>
            </w:r>
          </w:p>
        </w:tc>
        <w:tc>
          <w:tcPr>
            <w:tcW w:w="658" w:type="pct"/>
            <w:vAlign w:val="bottom"/>
            <w:hideMark/>
          </w:tcPr>
          <w:p w:rsidR="00074ED7" w:rsidRPr="004C1013" w:rsidRDefault="00074ED7" w:rsidP="00074ED7">
            <w:pPr>
              <w:pStyle w:val="tabbielystyl"/>
            </w:pPr>
            <w:r w:rsidRPr="004C1013">
              <w:t>4 370</w:t>
            </w:r>
          </w:p>
        </w:tc>
        <w:tc>
          <w:tcPr>
            <w:tcW w:w="599" w:type="pct"/>
            <w:vAlign w:val="bottom"/>
          </w:tcPr>
          <w:p w:rsidR="00074ED7" w:rsidRPr="004C1013" w:rsidRDefault="00074ED7" w:rsidP="00074ED7">
            <w:pPr>
              <w:pStyle w:val="tabbielystyl"/>
            </w:pPr>
            <w:r w:rsidRPr="004C1013">
              <w:t>4340</w:t>
            </w:r>
          </w:p>
        </w:tc>
        <w:tc>
          <w:tcPr>
            <w:tcW w:w="678" w:type="pct"/>
            <w:vAlign w:val="bottom"/>
          </w:tcPr>
          <w:p w:rsidR="00074ED7" w:rsidRPr="004C1013" w:rsidRDefault="00074ED7" w:rsidP="00074ED7">
            <w:pPr>
              <w:pStyle w:val="tabbielystyl"/>
            </w:pPr>
            <w:r w:rsidRPr="004C1013">
              <w:t>540</w:t>
            </w:r>
          </w:p>
        </w:tc>
        <w:tc>
          <w:tcPr>
            <w:tcW w:w="679"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651</w:t>
            </w:r>
          </w:p>
        </w:tc>
        <w:tc>
          <w:tcPr>
            <w:tcW w:w="677"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781</w:t>
            </w:r>
          </w:p>
        </w:tc>
        <w:tc>
          <w:tcPr>
            <w:tcW w:w="691" w:type="pct"/>
            <w:vAlign w:val="bottom"/>
          </w:tcPr>
          <w:p w:rsidR="00074ED7" w:rsidRDefault="00074ED7" w:rsidP="00074ED7">
            <w:pPr>
              <w:pStyle w:val="tabbielystyl"/>
              <w:rPr>
                <w:rFonts w:ascii="Calibri" w:hAnsi="Calibri" w:cs="Calibri"/>
                <w:color w:val="000000"/>
                <w:sz w:val="22"/>
              </w:rPr>
            </w:pPr>
            <w:r>
              <w:rPr>
                <w:rFonts w:ascii="Calibri" w:hAnsi="Calibri" w:cs="Calibri"/>
                <w:color w:val="000000"/>
                <w:sz w:val="22"/>
              </w:rPr>
              <w:t>868</w:t>
            </w:r>
          </w:p>
        </w:tc>
      </w:tr>
      <w:tr w:rsidR="00074ED7" w:rsidRPr="004C1013" w:rsidTr="002B6317">
        <w:trPr>
          <w:trHeight w:val="227"/>
        </w:trPr>
        <w:tc>
          <w:tcPr>
            <w:tcW w:w="532" w:type="pct"/>
            <w:hideMark/>
          </w:tcPr>
          <w:p w:rsidR="00074ED7" w:rsidRPr="004C1013" w:rsidRDefault="00074ED7" w:rsidP="00074ED7">
            <w:pPr>
              <w:pStyle w:val="tabbielystyl"/>
            </w:pPr>
            <w:r w:rsidRPr="004C1013">
              <w:t>2016</w:t>
            </w:r>
          </w:p>
        </w:tc>
        <w:tc>
          <w:tcPr>
            <w:tcW w:w="486" w:type="pct"/>
            <w:hideMark/>
          </w:tcPr>
          <w:p w:rsidR="00074ED7" w:rsidRPr="004C1013" w:rsidRDefault="00074ED7" w:rsidP="00074ED7">
            <w:pPr>
              <w:pStyle w:val="tabbielystyl"/>
            </w:pPr>
            <w:r w:rsidRPr="004C1013">
              <w:t>12.</w:t>
            </w:r>
          </w:p>
        </w:tc>
        <w:tc>
          <w:tcPr>
            <w:tcW w:w="658" w:type="pct"/>
            <w:vAlign w:val="bottom"/>
            <w:hideMark/>
          </w:tcPr>
          <w:p w:rsidR="00074ED7" w:rsidRPr="004C1013" w:rsidRDefault="00074ED7" w:rsidP="00074ED7">
            <w:pPr>
              <w:pStyle w:val="tabbielystyl"/>
            </w:pPr>
            <w:r w:rsidRPr="004C1013">
              <w:t>4 634</w:t>
            </w:r>
          </w:p>
        </w:tc>
        <w:tc>
          <w:tcPr>
            <w:tcW w:w="599" w:type="pct"/>
            <w:vAlign w:val="bottom"/>
          </w:tcPr>
          <w:p w:rsidR="00074ED7" w:rsidRPr="004C1013" w:rsidRDefault="00074ED7" w:rsidP="00074ED7">
            <w:pPr>
              <w:pStyle w:val="tabbielystyl"/>
            </w:pPr>
            <w:r w:rsidRPr="004C1013">
              <w:t>N/A</w:t>
            </w:r>
          </w:p>
        </w:tc>
        <w:tc>
          <w:tcPr>
            <w:tcW w:w="678" w:type="pct"/>
            <w:vAlign w:val="bottom"/>
          </w:tcPr>
          <w:p w:rsidR="00074ED7" w:rsidRPr="004C1013" w:rsidRDefault="00074ED7" w:rsidP="00074ED7">
            <w:pPr>
              <w:pStyle w:val="tabbielystyl"/>
            </w:pPr>
            <w:r w:rsidRPr="004C1013">
              <w:t>N/A</w:t>
            </w:r>
          </w:p>
        </w:tc>
        <w:tc>
          <w:tcPr>
            <w:tcW w:w="679" w:type="pct"/>
            <w:vAlign w:val="bottom"/>
          </w:tcPr>
          <w:p w:rsidR="00074ED7" w:rsidRPr="004C1013" w:rsidRDefault="00074ED7" w:rsidP="00074ED7">
            <w:pPr>
              <w:pStyle w:val="tabbielystyl"/>
            </w:pPr>
            <w:r w:rsidRPr="004C1013">
              <w:t>N/A</w:t>
            </w:r>
          </w:p>
        </w:tc>
        <w:tc>
          <w:tcPr>
            <w:tcW w:w="677" w:type="pct"/>
            <w:vAlign w:val="bottom"/>
          </w:tcPr>
          <w:p w:rsidR="00074ED7" w:rsidRPr="004C1013" w:rsidRDefault="00074ED7" w:rsidP="00074ED7">
            <w:pPr>
              <w:pStyle w:val="tabbielystyl"/>
            </w:pPr>
            <w:r w:rsidRPr="004C1013">
              <w:t>N/A</w:t>
            </w:r>
          </w:p>
        </w:tc>
        <w:tc>
          <w:tcPr>
            <w:tcW w:w="691" w:type="pct"/>
            <w:vAlign w:val="bottom"/>
          </w:tcPr>
          <w:p w:rsidR="00074ED7" w:rsidRPr="004C1013" w:rsidRDefault="00074ED7" w:rsidP="00074ED7">
            <w:pPr>
              <w:pStyle w:val="tabbielystyl"/>
            </w:pPr>
            <w:r w:rsidRPr="004C1013">
              <w:t>N/A</w:t>
            </w:r>
          </w:p>
        </w:tc>
      </w:tr>
      <w:tr w:rsidR="00074ED7" w:rsidRPr="004C1013" w:rsidTr="002B6317">
        <w:trPr>
          <w:trHeight w:val="227"/>
        </w:trPr>
        <w:tc>
          <w:tcPr>
            <w:tcW w:w="532" w:type="pct"/>
            <w:hideMark/>
          </w:tcPr>
          <w:p w:rsidR="00074ED7" w:rsidRPr="004C1013" w:rsidRDefault="00074ED7" w:rsidP="00074ED7">
            <w:pPr>
              <w:pStyle w:val="tabbielystyl"/>
            </w:pPr>
            <w:r w:rsidRPr="004C1013">
              <w:t>2017</w:t>
            </w:r>
          </w:p>
        </w:tc>
        <w:tc>
          <w:tcPr>
            <w:tcW w:w="486" w:type="pct"/>
            <w:hideMark/>
          </w:tcPr>
          <w:p w:rsidR="00074ED7" w:rsidRPr="004C1013" w:rsidRDefault="00074ED7" w:rsidP="00074ED7">
            <w:pPr>
              <w:pStyle w:val="tabbielystyl"/>
            </w:pPr>
            <w:r w:rsidRPr="004C1013">
              <w:t>13.</w:t>
            </w:r>
          </w:p>
        </w:tc>
        <w:tc>
          <w:tcPr>
            <w:tcW w:w="658" w:type="pct"/>
            <w:vAlign w:val="bottom"/>
            <w:hideMark/>
          </w:tcPr>
          <w:p w:rsidR="00074ED7" w:rsidRPr="004C1013" w:rsidRDefault="00074ED7" w:rsidP="00074ED7">
            <w:pPr>
              <w:pStyle w:val="tabbielystyl"/>
            </w:pPr>
            <w:r w:rsidRPr="004C1013">
              <w:t>4 684</w:t>
            </w:r>
          </w:p>
        </w:tc>
        <w:tc>
          <w:tcPr>
            <w:tcW w:w="599" w:type="pct"/>
            <w:vAlign w:val="bottom"/>
          </w:tcPr>
          <w:p w:rsidR="00074ED7" w:rsidRPr="004C1013" w:rsidRDefault="00074ED7" w:rsidP="00074ED7">
            <w:pPr>
              <w:pStyle w:val="tabbielystyl"/>
            </w:pPr>
            <w:r w:rsidRPr="004C1013">
              <w:t>N/A</w:t>
            </w:r>
          </w:p>
        </w:tc>
        <w:tc>
          <w:tcPr>
            <w:tcW w:w="678" w:type="pct"/>
            <w:vAlign w:val="bottom"/>
          </w:tcPr>
          <w:p w:rsidR="00074ED7" w:rsidRPr="004C1013" w:rsidRDefault="00074ED7" w:rsidP="00074ED7">
            <w:pPr>
              <w:pStyle w:val="tabbielystyl"/>
            </w:pPr>
            <w:r w:rsidRPr="004C1013">
              <w:t>N/A</w:t>
            </w:r>
          </w:p>
        </w:tc>
        <w:tc>
          <w:tcPr>
            <w:tcW w:w="679" w:type="pct"/>
            <w:vAlign w:val="bottom"/>
          </w:tcPr>
          <w:p w:rsidR="00074ED7" w:rsidRPr="004C1013" w:rsidRDefault="00074ED7" w:rsidP="00074ED7">
            <w:pPr>
              <w:pStyle w:val="tabbielystyl"/>
            </w:pPr>
            <w:r w:rsidRPr="004C1013">
              <w:t>N/A</w:t>
            </w:r>
          </w:p>
        </w:tc>
        <w:tc>
          <w:tcPr>
            <w:tcW w:w="677" w:type="pct"/>
            <w:vAlign w:val="bottom"/>
          </w:tcPr>
          <w:p w:rsidR="00074ED7" w:rsidRPr="004C1013" w:rsidRDefault="00074ED7" w:rsidP="00074ED7">
            <w:pPr>
              <w:pStyle w:val="tabbielystyl"/>
            </w:pPr>
            <w:r w:rsidRPr="004C1013">
              <w:t>N/A</w:t>
            </w:r>
          </w:p>
        </w:tc>
        <w:tc>
          <w:tcPr>
            <w:tcW w:w="691" w:type="pct"/>
            <w:vAlign w:val="bottom"/>
          </w:tcPr>
          <w:p w:rsidR="00074ED7" w:rsidRPr="004C1013" w:rsidRDefault="00074ED7" w:rsidP="00074ED7">
            <w:pPr>
              <w:pStyle w:val="tabbielystyl"/>
            </w:pPr>
            <w:r w:rsidRPr="004C1013">
              <w:t>N/A</w:t>
            </w:r>
          </w:p>
        </w:tc>
      </w:tr>
      <w:tr w:rsidR="00074ED7" w:rsidRPr="004C1013" w:rsidTr="00074ED7">
        <w:trPr>
          <w:trHeight w:val="227"/>
        </w:trPr>
        <w:tc>
          <w:tcPr>
            <w:tcW w:w="532" w:type="pct"/>
            <w:hideMark/>
          </w:tcPr>
          <w:p w:rsidR="00074ED7" w:rsidRPr="004C1013" w:rsidRDefault="00074ED7" w:rsidP="00074ED7">
            <w:pPr>
              <w:pStyle w:val="tabbielystyl"/>
            </w:pPr>
            <w:r w:rsidRPr="004C1013">
              <w:t>2018</w:t>
            </w:r>
          </w:p>
        </w:tc>
        <w:tc>
          <w:tcPr>
            <w:tcW w:w="486" w:type="pct"/>
            <w:hideMark/>
          </w:tcPr>
          <w:p w:rsidR="00074ED7" w:rsidRPr="004C1013" w:rsidRDefault="00074ED7" w:rsidP="00074ED7">
            <w:pPr>
              <w:pStyle w:val="tabbielystyl"/>
            </w:pPr>
            <w:r w:rsidRPr="004C1013">
              <w:t>14.</w:t>
            </w:r>
          </w:p>
        </w:tc>
        <w:tc>
          <w:tcPr>
            <w:tcW w:w="658" w:type="pct"/>
            <w:vAlign w:val="bottom"/>
            <w:hideMark/>
          </w:tcPr>
          <w:p w:rsidR="00074ED7" w:rsidRPr="004C1013" w:rsidRDefault="00074ED7" w:rsidP="00074ED7">
            <w:pPr>
              <w:pStyle w:val="tabbielystyl"/>
            </w:pPr>
            <w:r w:rsidRPr="004C1013">
              <w:t>5 166</w:t>
            </w:r>
          </w:p>
        </w:tc>
        <w:tc>
          <w:tcPr>
            <w:tcW w:w="599" w:type="pct"/>
          </w:tcPr>
          <w:p w:rsidR="00074ED7" w:rsidRPr="004C1013" w:rsidRDefault="00074ED7" w:rsidP="00074ED7">
            <w:pPr>
              <w:pStyle w:val="tabbielystyl"/>
            </w:pPr>
            <w:r w:rsidRPr="004C1013">
              <w:t>N/A</w:t>
            </w:r>
          </w:p>
        </w:tc>
        <w:tc>
          <w:tcPr>
            <w:tcW w:w="678" w:type="pct"/>
          </w:tcPr>
          <w:p w:rsidR="00074ED7" w:rsidRPr="004C1013" w:rsidRDefault="00074ED7" w:rsidP="00074ED7">
            <w:pPr>
              <w:pStyle w:val="tabbielystyl"/>
            </w:pPr>
            <w:r w:rsidRPr="004C1013">
              <w:t>N/A</w:t>
            </w:r>
          </w:p>
        </w:tc>
        <w:tc>
          <w:tcPr>
            <w:tcW w:w="679" w:type="pct"/>
          </w:tcPr>
          <w:p w:rsidR="00074ED7" w:rsidRPr="004C1013" w:rsidRDefault="00074ED7" w:rsidP="00074ED7">
            <w:pPr>
              <w:pStyle w:val="tabbielystyl"/>
            </w:pPr>
            <w:r w:rsidRPr="004C1013">
              <w:t>N/A</w:t>
            </w:r>
          </w:p>
        </w:tc>
        <w:tc>
          <w:tcPr>
            <w:tcW w:w="677" w:type="pct"/>
          </w:tcPr>
          <w:p w:rsidR="00074ED7" w:rsidRPr="004C1013" w:rsidRDefault="00074ED7" w:rsidP="00074ED7">
            <w:pPr>
              <w:pStyle w:val="tabbielystyl"/>
            </w:pPr>
            <w:r w:rsidRPr="004C1013">
              <w:t>N/A</w:t>
            </w:r>
          </w:p>
        </w:tc>
        <w:tc>
          <w:tcPr>
            <w:tcW w:w="691" w:type="pct"/>
          </w:tcPr>
          <w:p w:rsidR="00074ED7" w:rsidRPr="004C1013" w:rsidRDefault="00074ED7" w:rsidP="00074ED7">
            <w:pPr>
              <w:pStyle w:val="tabbielystyl"/>
            </w:pPr>
            <w:r w:rsidRPr="004C1013">
              <w:t>N/A</w:t>
            </w:r>
          </w:p>
        </w:tc>
      </w:tr>
      <w:tr w:rsidR="00074ED7" w:rsidRPr="004C1013" w:rsidTr="00074ED7">
        <w:trPr>
          <w:trHeight w:val="227"/>
        </w:trPr>
        <w:tc>
          <w:tcPr>
            <w:tcW w:w="1018" w:type="pct"/>
            <w:gridSpan w:val="2"/>
            <w:shd w:val="clear" w:color="auto" w:fill="7F7F7F" w:themeFill="text1" w:themeFillTint="80"/>
            <w:hideMark/>
          </w:tcPr>
          <w:p w:rsidR="00074ED7" w:rsidRPr="004C1013" w:rsidRDefault="00074ED7" w:rsidP="0025522E">
            <w:pPr>
              <w:pStyle w:val="tabukasivystyl"/>
            </w:pPr>
            <w:r w:rsidRPr="004C1013">
              <w:t>Priemer</w:t>
            </w:r>
          </w:p>
        </w:tc>
        <w:tc>
          <w:tcPr>
            <w:tcW w:w="658" w:type="pct"/>
            <w:shd w:val="clear" w:color="auto" w:fill="7F7F7F" w:themeFill="text1" w:themeFillTint="80"/>
            <w:vAlign w:val="bottom"/>
            <w:hideMark/>
          </w:tcPr>
          <w:p w:rsidR="00074ED7" w:rsidRPr="004C1013" w:rsidRDefault="00074ED7" w:rsidP="0025522E">
            <w:pPr>
              <w:pStyle w:val="tabukasivystyl"/>
            </w:pPr>
            <w:r w:rsidRPr="004C1013">
              <w:t>4 562,21</w:t>
            </w:r>
          </w:p>
        </w:tc>
        <w:tc>
          <w:tcPr>
            <w:tcW w:w="599" w:type="pct"/>
            <w:shd w:val="clear" w:color="auto" w:fill="7F7F7F" w:themeFill="text1" w:themeFillTint="80"/>
          </w:tcPr>
          <w:p w:rsidR="00074ED7" w:rsidRPr="004C1013" w:rsidRDefault="00074ED7" w:rsidP="0025522E">
            <w:pPr>
              <w:pStyle w:val="tabukasivystyl"/>
            </w:pPr>
            <w:r w:rsidRPr="004C1013">
              <w:t>3 937,27</w:t>
            </w:r>
          </w:p>
        </w:tc>
        <w:tc>
          <w:tcPr>
            <w:tcW w:w="678" w:type="pct"/>
            <w:shd w:val="clear" w:color="auto" w:fill="7F7F7F" w:themeFill="text1" w:themeFillTint="80"/>
          </w:tcPr>
          <w:p w:rsidR="00074ED7" w:rsidRPr="004C1013" w:rsidRDefault="00074ED7" w:rsidP="0025522E">
            <w:pPr>
              <w:pStyle w:val="tabukasivystyl"/>
            </w:pPr>
            <w:r w:rsidRPr="004C1013">
              <w:t>557,27</w:t>
            </w:r>
          </w:p>
        </w:tc>
        <w:tc>
          <w:tcPr>
            <w:tcW w:w="679" w:type="pct"/>
            <w:shd w:val="clear" w:color="auto" w:fill="7F7F7F" w:themeFill="text1" w:themeFillTint="80"/>
          </w:tcPr>
          <w:p w:rsidR="00074ED7" w:rsidRPr="004C1013" w:rsidRDefault="00074ED7" w:rsidP="0025522E">
            <w:pPr>
              <w:pStyle w:val="tabukasivystyl"/>
            </w:pPr>
            <w:r w:rsidRPr="00074ED7">
              <w:t>590,59</w:t>
            </w:r>
          </w:p>
        </w:tc>
        <w:tc>
          <w:tcPr>
            <w:tcW w:w="677" w:type="pct"/>
            <w:shd w:val="clear" w:color="auto" w:fill="7F7F7F" w:themeFill="text1" w:themeFillTint="80"/>
          </w:tcPr>
          <w:p w:rsidR="00074ED7" w:rsidRPr="004C1013" w:rsidRDefault="00074ED7" w:rsidP="0025522E">
            <w:pPr>
              <w:pStyle w:val="tabukasivystyl"/>
            </w:pPr>
            <w:r w:rsidRPr="00074ED7">
              <w:t>708,71</w:t>
            </w:r>
          </w:p>
        </w:tc>
        <w:tc>
          <w:tcPr>
            <w:tcW w:w="691" w:type="pct"/>
            <w:shd w:val="clear" w:color="auto" w:fill="7F7F7F" w:themeFill="text1" w:themeFillTint="80"/>
          </w:tcPr>
          <w:p w:rsidR="00074ED7" w:rsidRPr="004C1013" w:rsidRDefault="00074ED7" w:rsidP="0025522E">
            <w:pPr>
              <w:pStyle w:val="tabukasivystyl"/>
            </w:pPr>
            <w:r w:rsidRPr="00074ED7">
              <w:t>787,45</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Vzhľadom na nesúrodosť dostupných údajov o príjmoch a nákladoch systému ETC v Nemecku  v rokoch 2005-2015 a chýbajúce údaje prevažne za roky 2016 – 2018 ako aj v záujme zachovania jednotného zdroja pre oba ukazovatele sa riešiteľský kolektív rozhodol použiť údaje zo zdroja [17] ako referenčné hodnoty Nemecka vstupujúce do komparatívnej analýzy. </w:t>
      </w:r>
      <w:r w:rsidR="008B29B3">
        <w:rPr>
          <w:rFonts w:asciiTheme="minorHAnsi" w:hAnsiTheme="minorHAnsi" w:cstheme="minorHAnsi"/>
        </w:rPr>
        <w:t xml:space="preserve"> </w:t>
      </w:r>
      <w:r w:rsidRPr="004C1013">
        <w:rPr>
          <w:rFonts w:asciiTheme="minorHAnsi" w:hAnsiTheme="minorHAnsi" w:cstheme="minorHAnsi"/>
        </w:rPr>
        <w:t xml:space="preserve">Chýbajúce výnosy za roky 2016 – 2018 boli prevzaté z údajov zdrojov [15], [16]. </w:t>
      </w:r>
      <w:r w:rsidRPr="00F22603">
        <w:rPr>
          <w:rFonts w:asciiTheme="minorHAnsi" w:hAnsiTheme="minorHAnsi" w:cstheme="minorHAnsi"/>
        </w:rPr>
        <w:t>Chýbajúce náklady za roky 2016 – 2017 boli vypočítané extrapoláciou (</w:t>
      </w:r>
      <w:r w:rsidR="00C40D3F">
        <w:fldChar w:fldCharType="begin"/>
      </w:r>
      <w:r w:rsidR="00C40D3F">
        <w:instrText xml:space="preserve"> REF _Ref1974</w:instrText>
      </w:r>
      <w:r w:rsidR="00C40D3F">
        <w:instrText xml:space="preserve">4453 \h  \* MERGEFORMAT </w:instrText>
      </w:r>
      <w:r w:rsidR="00C40D3F">
        <w:fldChar w:fldCharType="separate"/>
      </w:r>
      <w:r w:rsidR="00D263B1">
        <w:rPr>
          <w:rFonts w:asciiTheme="minorHAnsi" w:hAnsiTheme="minorHAnsi" w:cstheme="minorHAnsi"/>
        </w:rPr>
        <w:t>Tab.  </w:t>
      </w:r>
      <w:r w:rsidR="001E4C1C" w:rsidRPr="00F22603">
        <w:rPr>
          <w:rFonts w:asciiTheme="minorHAnsi" w:hAnsiTheme="minorHAnsi" w:cstheme="minorHAnsi"/>
          <w:noProof/>
        </w:rPr>
        <w:t>1</w:t>
      </w:r>
      <w:r w:rsidR="001E4C1C" w:rsidRPr="00F22603">
        <w:rPr>
          <w:rFonts w:asciiTheme="minorHAnsi" w:hAnsiTheme="minorHAnsi" w:cstheme="minorHAnsi"/>
          <w:noProof/>
        </w:rPr>
        <w:noBreakHyphen/>
        <w:t>14</w:t>
      </w:r>
      <w:r w:rsidR="00C40D3F">
        <w:fldChar w:fldCharType="end"/>
      </w:r>
      <w:r w:rsidRPr="00F22603">
        <w:rPr>
          <w:rFonts w:asciiTheme="minorHAnsi" w:hAnsiTheme="minorHAnsi" w:cstheme="minorHAnsi"/>
        </w:rPr>
        <w:t>).</w:t>
      </w:r>
      <w:r w:rsidRPr="004C1013">
        <w:rPr>
          <w:rFonts w:asciiTheme="minorHAnsi" w:hAnsiTheme="minorHAnsi" w:cstheme="minorHAnsi"/>
        </w:rPr>
        <w:t xml:space="preserve"> </w:t>
      </w:r>
      <w:r w:rsidR="00074ED7">
        <w:rPr>
          <w:rFonts w:asciiTheme="minorHAnsi" w:hAnsiTheme="minorHAnsi" w:cstheme="minorHAnsi"/>
        </w:rPr>
        <w:t xml:space="preserve">V prípade vyčíslených nákladov je potrebné zdôrazniť nezapočítanie vybraných nákladových položiek systému a teda celkové zvýhodnenie Nemecka oproti SR v rámci komparatívnej analýzy efektívnosti systémov ETC. </w:t>
      </w:r>
    </w:p>
    <w:p w:rsidR="0025522E" w:rsidRPr="004C1013" w:rsidRDefault="0025522E" w:rsidP="006B1C25">
      <w:pPr>
        <w:pStyle w:val="tabstyl"/>
      </w:pPr>
      <w:bookmarkStart w:id="73" w:name="_Ref19744453"/>
      <w:bookmarkStart w:id="74" w:name="_Toc36664456"/>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14</w:t>
      </w:r>
      <w:r w:rsidR="00C40D3F">
        <w:rPr>
          <w:noProof/>
        </w:rPr>
        <w:fldChar w:fldCharType="end"/>
      </w:r>
      <w:bookmarkEnd w:id="73"/>
      <w:r w:rsidRPr="004C1013">
        <w:t xml:space="preserve"> </w:t>
      </w:r>
      <w:r w:rsidRPr="004C1013">
        <w:tab/>
        <w:t>Nemecko: ETC indikátor 3. Výnosy</w:t>
      </w:r>
      <w:bookmarkEnd w:id="74"/>
      <w:r w:rsidRPr="004C1013">
        <w:t xml:space="preserve"> </w:t>
      </w:r>
    </w:p>
    <w:tbl>
      <w:tblPr>
        <w:tblStyle w:val="tabulkaVUD"/>
        <w:tblW w:w="5000" w:type="pct"/>
        <w:tblLook w:val="04A0" w:firstRow="1" w:lastRow="0" w:firstColumn="1" w:lastColumn="0" w:noHBand="0" w:noVBand="1"/>
      </w:tblPr>
      <w:tblGrid>
        <w:gridCol w:w="3112"/>
        <w:gridCol w:w="2808"/>
        <w:gridCol w:w="3491"/>
      </w:tblGrid>
      <w:tr w:rsidR="0025522E" w:rsidRPr="004C1013" w:rsidTr="008B29B3">
        <w:trPr>
          <w:cnfStyle w:val="100000000000" w:firstRow="1" w:lastRow="0" w:firstColumn="0" w:lastColumn="0" w:oddVBand="0" w:evenVBand="0" w:oddHBand="0" w:evenHBand="0" w:firstRowFirstColumn="0" w:firstRowLastColumn="0" w:lastRowFirstColumn="0" w:lastRowLastColumn="0"/>
          <w:trHeight w:val="371"/>
          <w:tblHeader/>
        </w:trPr>
        <w:tc>
          <w:tcPr>
            <w:tcW w:w="1653" w:type="pct"/>
            <w:shd w:val="clear" w:color="auto" w:fill="7F7F7F" w:themeFill="text1" w:themeFillTint="80"/>
            <w:hideMark/>
          </w:tcPr>
          <w:p w:rsidR="0025522E" w:rsidRPr="004C1013" w:rsidRDefault="0025522E" w:rsidP="009D58D5">
            <w:pPr>
              <w:pStyle w:val="zahltab"/>
            </w:pPr>
            <w:r w:rsidRPr="004C1013">
              <w:t>Kalendárny rok</w:t>
            </w:r>
          </w:p>
        </w:tc>
        <w:tc>
          <w:tcPr>
            <w:tcW w:w="1492" w:type="pct"/>
            <w:hideMark/>
          </w:tcPr>
          <w:p w:rsidR="0025522E" w:rsidRPr="004C1013" w:rsidRDefault="0025522E" w:rsidP="009D58D5">
            <w:pPr>
              <w:pStyle w:val="zahltab"/>
            </w:pPr>
            <w:r w:rsidRPr="004C1013">
              <w:t>Rok prevádzky</w:t>
            </w:r>
          </w:p>
        </w:tc>
        <w:tc>
          <w:tcPr>
            <w:tcW w:w="1855" w:type="pct"/>
          </w:tcPr>
          <w:p w:rsidR="0025522E" w:rsidRPr="004C1013" w:rsidRDefault="0025522E" w:rsidP="009D58D5">
            <w:pPr>
              <w:pStyle w:val="zahltab"/>
            </w:pPr>
            <w:r w:rsidRPr="004C1013">
              <w:t>Výnosy (mil. €)</w:t>
            </w:r>
          </w:p>
        </w:tc>
      </w:tr>
      <w:tr w:rsidR="0025522E" w:rsidRPr="004C1013" w:rsidTr="008B29B3">
        <w:trPr>
          <w:trHeight w:val="227"/>
        </w:trPr>
        <w:tc>
          <w:tcPr>
            <w:tcW w:w="1653" w:type="pct"/>
            <w:hideMark/>
          </w:tcPr>
          <w:p w:rsidR="0025522E" w:rsidRPr="004C1013" w:rsidRDefault="0025522E" w:rsidP="0025522E">
            <w:pPr>
              <w:pStyle w:val="tabbielystyl"/>
            </w:pPr>
            <w:r w:rsidRPr="004C1013">
              <w:t>2005</w:t>
            </w:r>
          </w:p>
        </w:tc>
        <w:tc>
          <w:tcPr>
            <w:tcW w:w="1492" w:type="pct"/>
            <w:hideMark/>
          </w:tcPr>
          <w:p w:rsidR="0025522E" w:rsidRPr="004C1013" w:rsidRDefault="0025522E" w:rsidP="0025522E">
            <w:pPr>
              <w:pStyle w:val="tabbielystyl"/>
            </w:pPr>
            <w:r w:rsidRPr="004C1013">
              <w:t>1.</w:t>
            </w:r>
          </w:p>
        </w:tc>
        <w:tc>
          <w:tcPr>
            <w:tcW w:w="1855" w:type="pct"/>
            <w:vAlign w:val="bottom"/>
          </w:tcPr>
          <w:p w:rsidR="0025522E" w:rsidRPr="004C1013" w:rsidRDefault="0025522E" w:rsidP="0025522E">
            <w:pPr>
              <w:pStyle w:val="tabbielystyl"/>
            </w:pPr>
            <w:r w:rsidRPr="004C1013">
              <w:t>2 590</w:t>
            </w:r>
          </w:p>
        </w:tc>
      </w:tr>
      <w:tr w:rsidR="0025522E" w:rsidRPr="004C1013" w:rsidTr="008B29B3">
        <w:trPr>
          <w:trHeight w:val="227"/>
        </w:trPr>
        <w:tc>
          <w:tcPr>
            <w:tcW w:w="1653" w:type="pct"/>
            <w:hideMark/>
          </w:tcPr>
          <w:p w:rsidR="0025522E" w:rsidRPr="004C1013" w:rsidRDefault="0025522E" w:rsidP="0025522E">
            <w:pPr>
              <w:pStyle w:val="tabbielystyl"/>
            </w:pPr>
            <w:r w:rsidRPr="004C1013">
              <w:t>2006</w:t>
            </w:r>
          </w:p>
        </w:tc>
        <w:tc>
          <w:tcPr>
            <w:tcW w:w="1492" w:type="pct"/>
            <w:hideMark/>
          </w:tcPr>
          <w:p w:rsidR="0025522E" w:rsidRPr="004C1013" w:rsidRDefault="0025522E" w:rsidP="0025522E">
            <w:pPr>
              <w:pStyle w:val="tabbielystyl"/>
            </w:pPr>
            <w:r w:rsidRPr="004C1013">
              <w:t>2.</w:t>
            </w:r>
          </w:p>
        </w:tc>
        <w:tc>
          <w:tcPr>
            <w:tcW w:w="1855" w:type="pct"/>
            <w:vAlign w:val="bottom"/>
          </w:tcPr>
          <w:p w:rsidR="0025522E" w:rsidRPr="004C1013" w:rsidRDefault="0025522E" w:rsidP="0025522E">
            <w:pPr>
              <w:pStyle w:val="tabbielystyl"/>
            </w:pPr>
            <w:r w:rsidRPr="004C1013">
              <w:t>3 050</w:t>
            </w:r>
          </w:p>
        </w:tc>
      </w:tr>
      <w:tr w:rsidR="0025522E" w:rsidRPr="004C1013" w:rsidTr="008B29B3">
        <w:trPr>
          <w:trHeight w:val="227"/>
        </w:trPr>
        <w:tc>
          <w:tcPr>
            <w:tcW w:w="1653" w:type="pct"/>
            <w:hideMark/>
          </w:tcPr>
          <w:p w:rsidR="0025522E" w:rsidRPr="004C1013" w:rsidRDefault="0025522E" w:rsidP="0025522E">
            <w:pPr>
              <w:pStyle w:val="tabbielystyl"/>
            </w:pPr>
            <w:r w:rsidRPr="004C1013">
              <w:t>2007</w:t>
            </w:r>
          </w:p>
        </w:tc>
        <w:tc>
          <w:tcPr>
            <w:tcW w:w="1492" w:type="pct"/>
            <w:hideMark/>
          </w:tcPr>
          <w:p w:rsidR="0025522E" w:rsidRPr="004C1013" w:rsidRDefault="0025522E" w:rsidP="0025522E">
            <w:pPr>
              <w:pStyle w:val="tabbielystyl"/>
            </w:pPr>
            <w:r w:rsidRPr="004C1013">
              <w:t>3.</w:t>
            </w:r>
          </w:p>
        </w:tc>
        <w:tc>
          <w:tcPr>
            <w:tcW w:w="1855" w:type="pct"/>
            <w:vAlign w:val="bottom"/>
          </w:tcPr>
          <w:p w:rsidR="0025522E" w:rsidRPr="004C1013" w:rsidRDefault="0025522E" w:rsidP="0025522E">
            <w:pPr>
              <w:pStyle w:val="tabbielystyl"/>
            </w:pPr>
            <w:r w:rsidRPr="004C1013">
              <w:t>3 310</w:t>
            </w:r>
          </w:p>
        </w:tc>
      </w:tr>
      <w:tr w:rsidR="0025522E" w:rsidRPr="004C1013" w:rsidTr="008B29B3">
        <w:trPr>
          <w:trHeight w:val="227"/>
        </w:trPr>
        <w:tc>
          <w:tcPr>
            <w:tcW w:w="1653" w:type="pct"/>
            <w:hideMark/>
          </w:tcPr>
          <w:p w:rsidR="0025522E" w:rsidRPr="004C1013" w:rsidRDefault="0025522E" w:rsidP="0025522E">
            <w:pPr>
              <w:pStyle w:val="tabbielystyl"/>
            </w:pPr>
            <w:r w:rsidRPr="004C1013">
              <w:t>2008</w:t>
            </w:r>
          </w:p>
        </w:tc>
        <w:tc>
          <w:tcPr>
            <w:tcW w:w="1492" w:type="pct"/>
            <w:hideMark/>
          </w:tcPr>
          <w:p w:rsidR="0025522E" w:rsidRPr="004C1013" w:rsidRDefault="0025522E" w:rsidP="0025522E">
            <w:pPr>
              <w:pStyle w:val="tabbielystyl"/>
            </w:pPr>
            <w:r w:rsidRPr="004C1013">
              <w:t>4.</w:t>
            </w:r>
          </w:p>
        </w:tc>
        <w:tc>
          <w:tcPr>
            <w:tcW w:w="1855" w:type="pct"/>
            <w:vAlign w:val="bottom"/>
          </w:tcPr>
          <w:p w:rsidR="0025522E" w:rsidRPr="004C1013" w:rsidRDefault="0025522E" w:rsidP="0025522E">
            <w:pPr>
              <w:pStyle w:val="tabbielystyl"/>
            </w:pPr>
            <w:r w:rsidRPr="004C1013">
              <w:t>3 490</w:t>
            </w:r>
          </w:p>
        </w:tc>
      </w:tr>
      <w:tr w:rsidR="0025522E" w:rsidRPr="004C1013" w:rsidTr="008B29B3">
        <w:trPr>
          <w:trHeight w:val="227"/>
        </w:trPr>
        <w:tc>
          <w:tcPr>
            <w:tcW w:w="1653" w:type="pct"/>
            <w:hideMark/>
          </w:tcPr>
          <w:p w:rsidR="0025522E" w:rsidRPr="004C1013" w:rsidRDefault="0025522E" w:rsidP="0025522E">
            <w:pPr>
              <w:pStyle w:val="tabbielystyl"/>
            </w:pPr>
            <w:r w:rsidRPr="004C1013">
              <w:t>2009</w:t>
            </w:r>
          </w:p>
        </w:tc>
        <w:tc>
          <w:tcPr>
            <w:tcW w:w="1492" w:type="pct"/>
            <w:hideMark/>
          </w:tcPr>
          <w:p w:rsidR="0025522E" w:rsidRPr="004C1013" w:rsidRDefault="0025522E" w:rsidP="0025522E">
            <w:pPr>
              <w:pStyle w:val="tabbielystyl"/>
            </w:pPr>
            <w:r w:rsidRPr="004C1013">
              <w:t>5.</w:t>
            </w:r>
          </w:p>
        </w:tc>
        <w:tc>
          <w:tcPr>
            <w:tcW w:w="1855" w:type="pct"/>
            <w:vAlign w:val="bottom"/>
          </w:tcPr>
          <w:p w:rsidR="0025522E" w:rsidRPr="004C1013" w:rsidRDefault="0025522E" w:rsidP="0025522E">
            <w:pPr>
              <w:pStyle w:val="tabbielystyl"/>
            </w:pPr>
            <w:r w:rsidRPr="004C1013">
              <w:t>4 330</w:t>
            </w:r>
          </w:p>
        </w:tc>
      </w:tr>
      <w:tr w:rsidR="0025522E" w:rsidRPr="004C1013" w:rsidTr="008B29B3">
        <w:trPr>
          <w:trHeight w:val="227"/>
        </w:trPr>
        <w:tc>
          <w:tcPr>
            <w:tcW w:w="1653" w:type="pct"/>
            <w:hideMark/>
          </w:tcPr>
          <w:p w:rsidR="0025522E" w:rsidRPr="004C1013" w:rsidRDefault="0025522E" w:rsidP="0025522E">
            <w:pPr>
              <w:pStyle w:val="tabbielystyl"/>
            </w:pPr>
            <w:r w:rsidRPr="004C1013">
              <w:t>2010</w:t>
            </w:r>
          </w:p>
        </w:tc>
        <w:tc>
          <w:tcPr>
            <w:tcW w:w="1492" w:type="pct"/>
            <w:hideMark/>
          </w:tcPr>
          <w:p w:rsidR="0025522E" w:rsidRPr="004C1013" w:rsidRDefault="0025522E" w:rsidP="0025522E">
            <w:pPr>
              <w:pStyle w:val="tabbielystyl"/>
            </w:pPr>
            <w:r w:rsidRPr="004C1013">
              <w:t>6.</w:t>
            </w:r>
          </w:p>
        </w:tc>
        <w:tc>
          <w:tcPr>
            <w:tcW w:w="1855" w:type="pct"/>
            <w:vAlign w:val="bottom"/>
          </w:tcPr>
          <w:p w:rsidR="0025522E" w:rsidRPr="004C1013" w:rsidRDefault="0025522E" w:rsidP="0025522E">
            <w:pPr>
              <w:pStyle w:val="tabbielystyl"/>
            </w:pPr>
            <w:r w:rsidRPr="004C1013">
              <w:t>4 510</w:t>
            </w:r>
          </w:p>
        </w:tc>
      </w:tr>
      <w:tr w:rsidR="0025522E" w:rsidRPr="004C1013" w:rsidTr="008B29B3">
        <w:trPr>
          <w:trHeight w:val="227"/>
        </w:trPr>
        <w:tc>
          <w:tcPr>
            <w:tcW w:w="1653" w:type="pct"/>
            <w:hideMark/>
          </w:tcPr>
          <w:p w:rsidR="0025522E" w:rsidRPr="004C1013" w:rsidRDefault="0025522E" w:rsidP="0025522E">
            <w:pPr>
              <w:pStyle w:val="tabbielystyl"/>
            </w:pPr>
            <w:r w:rsidRPr="004C1013">
              <w:t>2011</w:t>
            </w:r>
          </w:p>
        </w:tc>
        <w:tc>
          <w:tcPr>
            <w:tcW w:w="1492" w:type="pct"/>
            <w:hideMark/>
          </w:tcPr>
          <w:p w:rsidR="0025522E" w:rsidRPr="004C1013" w:rsidRDefault="0025522E" w:rsidP="0025522E">
            <w:pPr>
              <w:pStyle w:val="tabbielystyl"/>
            </w:pPr>
            <w:r w:rsidRPr="004C1013">
              <w:t>7.</w:t>
            </w:r>
          </w:p>
        </w:tc>
        <w:tc>
          <w:tcPr>
            <w:tcW w:w="1855" w:type="pct"/>
            <w:vAlign w:val="bottom"/>
          </w:tcPr>
          <w:p w:rsidR="0025522E" w:rsidRPr="004C1013" w:rsidRDefault="0025522E" w:rsidP="0025522E">
            <w:pPr>
              <w:pStyle w:val="tabbielystyl"/>
            </w:pPr>
            <w:r w:rsidRPr="004C1013">
              <w:t>4 480</w:t>
            </w:r>
          </w:p>
        </w:tc>
      </w:tr>
      <w:tr w:rsidR="0025522E" w:rsidRPr="004C1013" w:rsidTr="008B29B3">
        <w:trPr>
          <w:trHeight w:val="227"/>
        </w:trPr>
        <w:tc>
          <w:tcPr>
            <w:tcW w:w="1653" w:type="pct"/>
            <w:hideMark/>
          </w:tcPr>
          <w:p w:rsidR="0025522E" w:rsidRPr="004C1013" w:rsidRDefault="0025522E" w:rsidP="0025522E">
            <w:pPr>
              <w:pStyle w:val="tabbielystyl"/>
            </w:pPr>
            <w:r w:rsidRPr="004C1013">
              <w:t>2012</w:t>
            </w:r>
          </w:p>
        </w:tc>
        <w:tc>
          <w:tcPr>
            <w:tcW w:w="1492" w:type="pct"/>
            <w:hideMark/>
          </w:tcPr>
          <w:p w:rsidR="0025522E" w:rsidRPr="004C1013" w:rsidRDefault="0025522E" w:rsidP="0025522E">
            <w:pPr>
              <w:pStyle w:val="tabbielystyl"/>
            </w:pPr>
            <w:r w:rsidRPr="004C1013">
              <w:t>8.</w:t>
            </w:r>
          </w:p>
        </w:tc>
        <w:tc>
          <w:tcPr>
            <w:tcW w:w="1855" w:type="pct"/>
            <w:vAlign w:val="bottom"/>
          </w:tcPr>
          <w:p w:rsidR="0025522E" w:rsidRPr="004C1013" w:rsidRDefault="0025522E" w:rsidP="0025522E">
            <w:pPr>
              <w:pStyle w:val="tabbielystyl"/>
            </w:pPr>
            <w:r w:rsidRPr="004C1013">
              <w:t>4 360</w:t>
            </w:r>
          </w:p>
        </w:tc>
      </w:tr>
      <w:tr w:rsidR="0025522E" w:rsidRPr="004C1013" w:rsidTr="008B29B3">
        <w:trPr>
          <w:trHeight w:val="227"/>
        </w:trPr>
        <w:tc>
          <w:tcPr>
            <w:tcW w:w="1653" w:type="pct"/>
            <w:hideMark/>
          </w:tcPr>
          <w:p w:rsidR="0025522E" w:rsidRPr="004C1013" w:rsidRDefault="0025522E" w:rsidP="0025522E">
            <w:pPr>
              <w:pStyle w:val="tabbielystyl"/>
            </w:pPr>
            <w:r w:rsidRPr="004C1013">
              <w:t>2013</w:t>
            </w:r>
          </w:p>
        </w:tc>
        <w:tc>
          <w:tcPr>
            <w:tcW w:w="1492" w:type="pct"/>
            <w:hideMark/>
          </w:tcPr>
          <w:p w:rsidR="0025522E" w:rsidRPr="004C1013" w:rsidRDefault="0025522E" w:rsidP="0025522E">
            <w:pPr>
              <w:pStyle w:val="tabbielystyl"/>
            </w:pPr>
            <w:r w:rsidRPr="004C1013">
              <w:t>9.</w:t>
            </w:r>
          </w:p>
        </w:tc>
        <w:tc>
          <w:tcPr>
            <w:tcW w:w="1855" w:type="pct"/>
            <w:vAlign w:val="bottom"/>
          </w:tcPr>
          <w:p w:rsidR="0025522E" w:rsidRPr="004C1013" w:rsidRDefault="0025522E" w:rsidP="0025522E">
            <w:pPr>
              <w:pStyle w:val="tabbielystyl"/>
            </w:pPr>
            <w:r w:rsidRPr="004C1013">
              <w:t>4 390</w:t>
            </w:r>
          </w:p>
        </w:tc>
      </w:tr>
      <w:tr w:rsidR="0025522E" w:rsidRPr="004C1013" w:rsidTr="008B29B3">
        <w:trPr>
          <w:trHeight w:val="227"/>
        </w:trPr>
        <w:tc>
          <w:tcPr>
            <w:tcW w:w="1653" w:type="pct"/>
            <w:hideMark/>
          </w:tcPr>
          <w:p w:rsidR="0025522E" w:rsidRPr="004C1013" w:rsidRDefault="0025522E" w:rsidP="0025522E">
            <w:pPr>
              <w:pStyle w:val="tabbielystyl"/>
            </w:pPr>
            <w:r w:rsidRPr="004C1013">
              <w:t>2014</w:t>
            </w:r>
          </w:p>
        </w:tc>
        <w:tc>
          <w:tcPr>
            <w:tcW w:w="1492" w:type="pct"/>
            <w:hideMark/>
          </w:tcPr>
          <w:p w:rsidR="0025522E" w:rsidRPr="004C1013" w:rsidRDefault="0025522E" w:rsidP="0025522E">
            <w:pPr>
              <w:pStyle w:val="tabbielystyl"/>
            </w:pPr>
            <w:r w:rsidRPr="004C1013">
              <w:t>10.</w:t>
            </w:r>
          </w:p>
        </w:tc>
        <w:tc>
          <w:tcPr>
            <w:tcW w:w="1855" w:type="pct"/>
            <w:vAlign w:val="bottom"/>
          </w:tcPr>
          <w:p w:rsidR="0025522E" w:rsidRPr="004C1013" w:rsidRDefault="0025522E" w:rsidP="0025522E">
            <w:pPr>
              <w:pStyle w:val="tabbielystyl"/>
            </w:pPr>
            <w:r w:rsidRPr="004C1013">
              <w:t>4 460</w:t>
            </w:r>
          </w:p>
        </w:tc>
      </w:tr>
      <w:tr w:rsidR="0025522E" w:rsidRPr="004C1013" w:rsidTr="008B29B3">
        <w:trPr>
          <w:trHeight w:val="227"/>
        </w:trPr>
        <w:tc>
          <w:tcPr>
            <w:tcW w:w="1653" w:type="pct"/>
            <w:hideMark/>
          </w:tcPr>
          <w:p w:rsidR="0025522E" w:rsidRPr="004C1013" w:rsidRDefault="0025522E" w:rsidP="0025522E">
            <w:pPr>
              <w:pStyle w:val="tabbielystyl"/>
            </w:pPr>
            <w:r w:rsidRPr="004C1013">
              <w:t>2015</w:t>
            </w:r>
          </w:p>
        </w:tc>
        <w:tc>
          <w:tcPr>
            <w:tcW w:w="1492" w:type="pct"/>
            <w:hideMark/>
          </w:tcPr>
          <w:p w:rsidR="0025522E" w:rsidRPr="004C1013" w:rsidRDefault="0025522E" w:rsidP="0025522E">
            <w:pPr>
              <w:pStyle w:val="tabbielystyl"/>
            </w:pPr>
            <w:r w:rsidRPr="004C1013">
              <w:t>11.</w:t>
            </w:r>
          </w:p>
        </w:tc>
        <w:tc>
          <w:tcPr>
            <w:tcW w:w="1855" w:type="pct"/>
            <w:vAlign w:val="bottom"/>
          </w:tcPr>
          <w:p w:rsidR="0025522E" w:rsidRPr="004C1013" w:rsidRDefault="0025522E" w:rsidP="0025522E">
            <w:pPr>
              <w:pStyle w:val="tabbielystyl"/>
            </w:pPr>
            <w:r w:rsidRPr="004C1013">
              <w:t>4 340</w:t>
            </w:r>
          </w:p>
        </w:tc>
      </w:tr>
      <w:tr w:rsidR="0025522E" w:rsidRPr="004C1013" w:rsidTr="008B29B3">
        <w:trPr>
          <w:trHeight w:val="227"/>
        </w:trPr>
        <w:tc>
          <w:tcPr>
            <w:tcW w:w="1653" w:type="pct"/>
            <w:hideMark/>
          </w:tcPr>
          <w:p w:rsidR="0025522E" w:rsidRPr="004C1013" w:rsidRDefault="0025522E" w:rsidP="0025522E">
            <w:pPr>
              <w:pStyle w:val="tabbielystyl"/>
            </w:pPr>
            <w:r w:rsidRPr="004C1013">
              <w:t>2016</w:t>
            </w:r>
          </w:p>
        </w:tc>
        <w:tc>
          <w:tcPr>
            <w:tcW w:w="1492" w:type="pct"/>
            <w:hideMark/>
          </w:tcPr>
          <w:p w:rsidR="0025522E" w:rsidRPr="004C1013" w:rsidRDefault="0025522E" w:rsidP="0025522E">
            <w:pPr>
              <w:pStyle w:val="tabbielystyl"/>
            </w:pPr>
            <w:r w:rsidRPr="004C1013">
              <w:t>12.</w:t>
            </w:r>
          </w:p>
        </w:tc>
        <w:tc>
          <w:tcPr>
            <w:tcW w:w="1855" w:type="pct"/>
            <w:vAlign w:val="bottom"/>
          </w:tcPr>
          <w:p w:rsidR="0025522E" w:rsidRPr="004C1013" w:rsidRDefault="0025522E" w:rsidP="0025522E">
            <w:pPr>
              <w:pStyle w:val="tabbielystyl"/>
            </w:pPr>
            <w:r w:rsidRPr="004C1013">
              <w:t>4 634</w:t>
            </w:r>
          </w:p>
        </w:tc>
      </w:tr>
      <w:tr w:rsidR="0025522E" w:rsidRPr="004C1013" w:rsidTr="008B29B3">
        <w:trPr>
          <w:trHeight w:val="227"/>
        </w:trPr>
        <w:tc>
          <w:tcPr>
            <w:tcW w:w="1653" w:type="pct"/>
            <w:hideMark/>
          </w:tcPr>
          <w:p w:rsidR="0025522E" w:rsidRPr="004C1013" w:rsidRDefault="0025522E" w:rsidP="0025522E">
            <w:pPr>
              <w:pStyle w:val="tabbielystyl"/>
            </w:pPr>
            <w:r w:rsidRPr="004C1013">
              <w:t>2017</w:t>
            </w:r>
          </w:p>
        </w:tc>
        <w:tc>
          <w:tcPr>
            <w:tcW w:w="1492" w:type="pct"/>
            <w:hideMark/>
          </w:tcPr>
          <w:p w:rsidR="0025522E" w:rsidRPr="004C1013" w:rsidRDefault="0025522E" w:rsidP="0025522E">
            <w:pPr>
              <w:pStyle w:val="tabbielystyl"/>
            </w:pPr>
            <w:r w:rsidRPr="004C1013">
              <w:t>13.</w:t>
            </w:r>
          </w:p>
        </w:tc>
        <w:tc>
          <w:tcPr>
            <w:tcW w:w="1855" w:type="pct"/>
            <w:vAlign w:val="bottom"/>
          </w:tcPr>
          <w:p w:rsidR="0025522E" w:rsidRPr="004C1013" w:rsidRDefault="0025522E" w:rsidP="0025522E">
            <w:pPr>
              <w:pStyle w:val="tabbielystyl"/>
            </w:pPr>
            <w:r w:rsidRPr="004C1013">
              <w:t>4 684</w:t>
            </w:r>
          </w:p>
        </w:tc>
      </w:tr>
      <w:tr w:rsidR="0025522E" w:rsidRPr="004C1013" w:rsidTr="00404B50">
        <w:trPr>
          <w:trHeight w:val="283"/>
        </w:trPr>
        <w:tc>
          <w:tcPr>
            <w:tcW w:w="3145"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55" w:type="pct"/>
            <w:shd w:val="clear" w:color="auto" w:fill="7F7F7F" w:themeFill="text1" w:themeFillTint="80"/>
          </w:tcPr>
          <w:p w:rsidR="0025522E" w:rsidRPr="004C1013" w:rsidRDefault="0025522E" w:rsidP="0025522E">
            <w:pPr>
              <w:pStyle w:val="tabukasivystyl"/>
            </w:pPr>
            <w:r w:rsidRPr="004C1013">
              <w:t>57 793,9</w:t>
            </w:r>
          </w:p>
        </w:tc>
      </w:tr>
      <w:tr w:rsidR="0025522E" w:rsidRPr="004C1013" w:rsidTr="00404B50">
        <w:trPr>
          <w:trHeight w:val="283"/>
        </w:trPr>
        <w:tc>
          <w:tcPr>
            <w:tcW w:w="3145"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855" w:type="pct"/>
            <w:shd w:val="clear" w:color="auto" w:fill="7F7F7F" w:themeFill="text1" w:themeFillTint="80"/>
          </w:tcPr>
          <w:p w:rsidR="0025522E" w:rsidRPr="004C1013" w:rsidRDefault="0025522E" w:rsidP="0025522E">
            <w:pPr>
              <w:pStyle w:val="tabukasivystyl"/>
            </w:pPr>
            <w:r w:rsidRPr="004C1013">
              <w:t>4 128,14</w:t>
            </w:r>
          </w:p>
        </w:tc>
      </w:tr>
    </w:tbl>
    <w:p w:rsidR="0025522E" w:rsidRPr="009B2784" w:rsidRDefault="0025522E" w:rsidP="009B2784">
      <w:pPr>
        <w:rPr>
          <w:sz w:val="20"/>
        </w:rPr>
      </w:pPr>
      <w:bookmarkStart w:id="75" w:name="_Toc36664457"/>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15</w:t>
      </w:r>
      <w:r w:rsidR="00C40D3F">
        <w:rPr>
          <w:noProof/>
        </w:rPr>
        <w:fldChar w:fldCharType="end"/>
      </w:r>
      <w:r w:rsidRPr="004C1013">
        <w:t xml:space="preserve"> </w:t>
      </w:r>
      <w:r w:rsidRPr="004C1013">
        <w:tab/>
        <w:t>Nemecko: ETC indikátor 4. Náklady</w:t>
      </w:r>
      <w:bookmarkEnd w:id="75"/>
    </w:p>
    <w:tbl>
      <w:tblPr>
        <w:tblStyle w:val="tabulkaVUD"/>
        <w:tblW w:w="5000" w:type="pct"/>
        <w:tblLook w:val="04A0" w:firstRow="1" w:lastRow="0" w:firstColumn="1" w:lastColumn="0" w:noHBand="0" w:noVBand="1"/>
      </w:tblPr>
      <w:tblGrid>
        <w:gridCol w:w="3100"/>
        <w:gridCol w:w="2797"/>
        <w:gridCol w:w="3514"/>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766"/>
          <w:tblHeader/>
        </w:trPr>
        <w:tc>
          <w:tcPr>
            <w:tcW w:w="1647" w:type="pct"/>
            <w:shd w:val="clear" w:color="auto" w:fill="7F7F7F" w:themeFill="text1" w:themeFillTint="80"/>
            <w:hideMark/>
          </w:tcPr>
          <w:p w:rsidR="0025522E" w:rsidRPr="004C1013" w:rsidRDefault="0025522E" w:rsidP="009D58D5">
            <w:pPr>
              <w:pStyle w:val="zahltab"/>
            </w:pPr>
            <w:r w:rsidRPr="004C1013">
              <w:t>Kalendárny rok</w:t>
            </w:r>
          </w:p>
        </w:tc>
        <w:tc>
          <w:tcPr>
            <w:tcW w:w="1486" w:type="pct"/>
            <w:hideMark/>
          </w:tcPr>
          <w:p w:rsidR="0025522E" w:rsidRPr="004C1013" w:rsidRDefault="0025522E" w:rsidP="009D58D5">
            <w:pPr>
              <w:pStyle w:val="zahltab"/>
            </w:pPr>
            <w:r w:rsidRPr="004C1013">
              <w:t>Rok prevádzky</w:t>
            </w:r>
          </w:p>
        </w:tc>
        <w:tc>
          <w:tcPr>
            <w:tcW w:w="1867" w:type="pct"/>
          </w:tcPr>
          <w:p w:rsidR="0025522E" w:rsidRPr="004C1013" w:rsidRDefault="0025522E" w:rsidP="009D58D5">
            <w:pPr>
              <w:pStyle w:val="zahltab"/>
            </w:pPr>
            <w:r w:rsidRPr="004C1013">
              <w:t>Náklady (mil. €)</w:t>
            </w:r>
          </w:p>
        </w:tc>
      </w:tr>
      <w:tr w:rsidR="0025522E" w:rsidRPr="004C1013" w:rsidTr="00404B50">
        <w:trPr>
          <w:trHeight w:val="283"/>
        </w:trPr>
        <w:tc>
          <w:tcPr>
            <w:tcW w:w="1647" w:type="pct"/>
            <w:hideMark/>
          </w:tcPr>
          <w:p w:rsidR="0025522E" w:rsidRPr="004C1013" w:rsidRDefault="0025522E" w:rsidP="0025522E">
            <w:pPr>
              <w:pStyle w:val="tabbielystyl"/>
            </w:pPr>
            <w:r w:rsidRPr="004C1013">
              <w:t>2005</w:t>
            </w:r>
          </w:p>
        </w:tc>
        <w:tc>
          <w:tcPr>
            <w:tcW w:w="1486" w:type="pct"/>
            <w:hideMark/>
          </w:tcPr>
          <w:p w:rsidR="0025522E" w:rsidRPr="004C1013" w:rsidRDefault="0025522E" w:rsidP="0025522E">
            <w:pPr>
              <w:pStyle w:val="tabbielystyl"/>
            </w:pPr>
            <w:r w:rsidRPr="004C1013">
              <w:t>1.</w:t>
            </w:r>
          </w:p>
        </w:tc>
        <w:tc>
          <w:tcPr>
            <w:tcW w:w="1867" w:type="pct"/>
            <w:vAlign w:val="bottom"/>
          </w:tcPr>
          <w:p w:rsidR="0025522E" w:rsidRPr="004C1013" w:rsidRDefault="0025522E" w:rsidP="0025522E">
            <w:pPr>
              <w:pStyle w:val="tabbielystyl"/>
            </w:pPr>
            <w:r w:rsidRPr="004C1013">
              <w:t>550</w:t>
            </w:r>
          </w:p>
        </w:tc>
      </w:tr>
      <w:tr w:rsidR="0025522E" w:rsidRPr="004C1013" w:rsidTr="00404B50">
        <w:trPr>
          <w:trHeight w:val="283"/>
        </w:trPr>
        <w:tc>
          <w:tcPr>
            <w:tcW w:w="1647" w:type="pct"/>
            <w:hideMark/>
          </w:tcPr>
          <w:p w:rsidR="0025522E" w:rsidRPr="004C1013" w:rsidRDefault="0025522E" w:rsidP="0025522E">
            <w:pPr>
              <w:pStyle w:val="tabbielystyl"/>
            </w:pPr>
            <w:r w:rsidRPr="004C1013">
              <w:t>2006</w:t>
            </w:r>
          </w:p>
        </w:tc>
        <w:tc>
          <w:tcPr>
            <w:tcW w:w="1486" w:type="pct"/>
            <w:hideMark/>
          </w:tcPr>
          <w:p w:rsidR="0025522E" w:rsidRPr="004C1013" w:rsidRDefault="0025522E" w:rsidP="0025522E">
            <w:pPr>
              <w:pStyle w:val="tabbielystyl"/>
            </w:pPr>
            <w:r w:rsidRPr="004C1013">
              <w:t>2.</w:t>
            </w:r>
          </w:p>
        </w:tc>
        <w:tc>
          <w:tcPr>
            <w:tcW w:w="1867" w:type="pct"/>
            <w:vAlign w:val="bottom"/>
          </w:tcPr>
          <w:p w:rsidR="0025522E" w:rsidRPr="004C1013" w:rsidRDefault="0025522E" w:rsidP="0025522E">
            <w:pPr>
              <w:pStyle w:val="tabbielystyl"/>
            </w:pPr>
            <w:r w:rsidRPr="004C1013">
              <w:t>560</w:t>
            </w:r>
          </w:p>
        </w:tc>
      </w:tr>
      <w:tr w:rsidR="0025522E" w:rsidRPr="004C1013" w:rsidTr="00404B50">
        <w:trPr>
          <w:trHeight w:val="283"/>
        </w:trPr>
        <w:tc>
          <w:tcPr>
            <w:tcW w:w="1647" w:type="pct"/>
            <w:hideMark/>
          </w:tcPr>
          <w:p w:rsidR="0025522E" w:rsidRPr="004C1013" w:rsidRDefault="0025522E" w:rsidP="0025522E">
            <w:pPr>
              <w:pStyle w:val="tabbielystyl"/>
            </w:pPr>
            <w:r w:rsidRPr="004C1013">
              <w:t>2007</w:t>
            </w:r>
          </w:p>
        </w:tc>
        <w:tc>
          <w:tcPr>
            <w:tcW w:w="1486" w:type="pct"/>
            <w:hideMark/>
          </w:tcPr>
          <w:p w:rsidR="0025522E" w:rsidRPr="004C1013" w:rsidRDefault="0025522E" w:rsidP="0025522E">
            <w:pPr>
              <w:pStyle w:val="tabbielystyl"/>
            </w:pPr>
            <w:r w:rsidRPr="004C1013">
              <w:t>3.</w:t>
            </w:r>
          </w:p>
        </w:tc>
        <w:tc>
          <w:tcPr>
            <w:tcW w:w="1867" w:type="pct"/>
            <w:vAlign w:val="bottom"/>
          </w:tcPr>
          <w:p w:rsidR="0025522E" w:rsidRPr="004C1013" w:rsidRDefault="0025522E" w:rsidP="0025522E">
            <w:pPr>
              <w:pStyle w:val="tabbielystyl"/>
            </w:pPr>
            <w:r w:rsidRPr="004C1013">
              <w:t>630</w:t>
            </w:r>
          </w:p>
        </w:tc>
      </w:tr>
      <w:tr w:rsidR="0025522E" w:rsidRPr="004C1013" w:rsidTr="00404B50">
        <w:trPr>
          <w:trHeight w:val="283"/>
        </w:trPr>
        <w:tc>
          <w:tcPr>
            <w:tcW w:w="1647" w:type="pct"/>
            <w:hideMark/>
          </w:tcPr>
          <w:p w:rsidR="0025522E" w:rsidRPr="004C1013" w:rsidRDefault="0025522E" w:rsidP="0025522E">
            <w:pPr>
              <w:pStyle w:val="tabbielystyl"/>
            </w:pPr>
            <w:r w:rsidRPr="004C1013">
              <w:t>2008</w:t>
            </w:r>
          </w:p>
        </w:tc>
        <w:tc>
          <w:tcPr>
            <w:tcW w:w="1486" w:type="pct"/>
            <w:hideMark/>
          </w:tcPr>
          <w:p w:rsidR="0025522E" w:rsidRPr="004C1013" w:rsidRDefault="0025522E" w:rsidP="0025522E">
            <w:pPr>
              <w:pStyle w:val="tabbielystyl"/>
            </w:pPr>
            <w:r w:rsidRPr="004C1013">
              <w:t>4.</w:t>
            </w:r>
          </w:p>
        </w:tc>
        <w:tc>
          <w:tcPr>
            <w:tcW w:w="1867" w:type="pct"/>
            <w:vAlign w:val="bottom"/>
          </w:tcPr>
          <w:p w:rsidR="0025522E" w:rsidRPr="004C1013" w:rsidRDefault="0025522E" w:rsidP="0025522E">
            <w:pPr>
              <w:pStyle w:val="tabbielystyl"/>
            </w:pPr>
            <w:r w:rsidRPr="004C1013">
              <w:t>560</w:t>
            </w:r>
          </w:p>
        </w:tc>
      </w:tr>
      <w:tr w:rsidR="0025522E" w:rsidRPr="004C1013" w:rsidTr="00404B50">
        <w:trPr>
          <w:trHeight w:val="283"/>
        </w:trPr>
        <w:tc>
          <w:tcPr>
            <w:tcW w:w="1647" w:type="pct"/>
            <w:hideMark/>
          </w:tcPr>
          <w:p w:rsidR="0025522E" w:rsidRPr="004C1013" w:rsidRDefault="0025522E" w:rsidP="0025522E">
            <w:pPr>
              <w:pStyle w:val="tabbielystyl"/>
            </w:pPr>
            <w:r w:rsidRPr="004C1013">
              <w:t>2009</w:t>
            </w:r>
          </w:p>
        </w:tc>
        <w:tc>
          <w:tcPr>
            <w:tcW w:w="1486" w:type="pct"/>
            <w:hideMark/>
          </w:tcPr>
          <w:p w:rsidR="0025522E" w:rsidRPr="004C1013" w:rsidRDefault="0025522E" w:rsidP="0025522E">
            <w:pPr>
              <w:pStyle w:val="tabbielystyl"/>
            </w:pPr>
            <w:r w:rsidRPr="004C1013">
              <w:t>5.</w:t>
            </w:r>
          </w:p>
        </w:tc>
        <w:tc>
          <w:tcPr>
            <w:tcW w:w="1867" w:type="pct"/>
            <w:vAlign w:val="bottom"/>
          </w:tcPr>
          <w:p w:rsidR="0025522E" w:rsidRPr="004C1013" w:rsidRDefault="0025522E" w:rsidP="0025522E">
            <w:pPr>
              <w:pStyle w:val="tabbielystyl"/>
            </w:pPr>
            <w:r w:rsidRPr="004C1013">
              <w:t>540</w:t>
            </w:r>
          </w:p>
        </w:tc>
      </w:tr>
      <w:tr w:rsidR="0025522E" w:rsidRPr="004C1013" w:rsidTr="00404B50">
        <w:trPr>
          <w:trHeight w:val="283"/>
        </w:trPr>
        <w:tc>
          <w:tcPr>
            <w:tcW w:w="1647" w:type="pct"/>
            <w:hideMark/>
          </w:tcPr>
          <w:p w:rsidR="0025522E" w:rsidRPr="004C1013" w:rsidRDefault="0025522E" w:rsidP="0025522E">
            <w:pPr>
              <w:pStyle w:val="tabbielystyl"/>
            </w:pPr>
            <w:r w:rsidRPr="004C1013">
              <w:t>2010</w:t>
            </w:r>
          </w:p>
        </w:tc>
        <w:tc>
          <w:tcPr>
            <w:tcW w:w="1486" w:type="pct"/>
            <w:hideMark/>
          </w:tcPr>
          <w:p w:rsidR="0025522E" w:rsidRPr="004C1013" w:rsidRDefault="0025522E" w:rsidP="0025522E">
            <w:pPr>
              <w:pStyle w:val="tabbielystyl"/>
            </w:pPr>
            <w:r w:rsidRPr="004C1013">
              <w:t>6.</w:t>
            </w:r>
          </w:p>
        </w:tc>
        <w:tc>
          <w:tcPr>
            <w:tcW w:w="1867" w:type="pct"/>
            <w:vAlign w:val="bottom"/>
          </w:tcPr>
          <w:p w:rsidR="0025522E" w:rsidRPr="004C1013" w:rsidRDefault="0025522E" w:rsidP="0025522E">
            <w:pPr>
              <w:pStyle w:val="tabbielystyl"/>
            </w:pPr>
            <w:r w:rsidRPr="004C1013">
              <w:t>490</w:t>
            </w:r>
          </w:p>
        </w:tc>
      </w:tr>
      <w:tr w:rsidR="0025522E" w:rsidRPr="004C1013" w:rsidTr="00404B50">
        <w:trPr>
          <w:trHeight w:val="283"/>
        </w:trPr>
        <w:tc>
          <w:tcPr>
            <w:tcW w:w="1647" w:type="pct"/>
            <w:hideMark/>
          </w:tcPr>
          <w:p w:rsidR="0025522E" w:rsidRPr="004C1013" w:rsidRDefault="0025522E" w:rsidP="0025522E">
            <w:pPr>
              <w:pStyle w:val="tabbielystyl"/>
            </w:pPr>
            <w:r w:rsidRPr="004C1013">
              <w:t>2011</w:t>
            </w:r>
          </w:p>
        </w:tc>
        <w:tc>
          <w:tcPr>
            <w:tcW w:w="1486" w:type="pct"/>
            <w:hideMark/>
          </w:tcPr>
          <w:p w:rsidR="0025522E" w:rsidRPr="004C1013" w:rsidRDefault="0025522E" w:rsidP="0025522E">
            <w:pPr>
              <w:pStyle w:val="tabbielystyl"/>
            </w:pPr>
            <w:r w:rsidRPr="004C1013">
              <w:t>7.</w:t>
            </w:r>
          </w:p>
        </w:tc>
        <w:tc>
          <w:tcPr>
            <w:tcW w:w="1867" w:type="pct"/>
            <w:vAlign w:val="bottom"/>
          </w:tcPr>
          <w:p w:rsidR="0025522E" w:rsidRPr="004C1013" w:rsidRDefault="0025522E" w:rsidP="0025522E">
            <w:pPr>
              <w:pStyle w:val="tabbielystyl"/>
            </w:pPr>
            <w:r w:rsidRPr="004C1013">
              <w:t>470</w:t>
            </w:r>
          </w:p>
        </w:tc>
      </w:tr>
      <w:tr w:rsidR="0025522E" w:rsidRPr="004C1013" w:rsidTr="00404B50">
        <w:trPr>
          <w:trHeight w:val="283"/>
        </w:trPr>
        <w:tc>
          <w:tcPr>
            <w:tcW w:w="1647" w:type="pct"/>
            <w:hideMark/>
          </w:tcPr>
          <w:p w:rsidR="0025522E" w:rsidRPr="004C1013" w:rsidRDefault="0025522E" w:rsidP="0025522E">
            <w:pPr>
              <w:pStyle w:val="tabbielystyl"/>
            </w:pPr>
            <w:r w:rsidRPr="004C1013">
              <w:t>2012</w:t>
            </w:r>
          </w:p>
        </w:tc>
        <w:tc>
          <w:tcPr>
            <w:tcW w:w="1486" w:type="pct"/>
            <w:hideMark/>
          </w:tcPr>
          <w:p w:rsidR="0025522E" w:rsidRPr="004C1013" w:rsidRDefault="0025522E" w:rsidP="0025522E">
            <w:pPr>
              <w:pStyle w:val="tabbielystyl"/>
            </w:pPr>
            <w:r w:rsidRPr="004C1013">
              <w:t>8.</w:t>
            </w:r>
          </w:p>
        </w:tc>
        <w:tc>
          <w:tcPr>
            <w:tcW w:w="1867" w:type="pct"/>
            <w:vAlign w:val="bottom"/>
          </w:tcPr>
          <w:p w:rsidR="0025522E" w:rsidRPr="004C1013" w:rsidRDefault="0025522E" w:rsidP="0025522E">
            <w:pPr>
              <w:pStyle w:val="tabbielystyl"/>
            </w:pPr>
            <w:r w:rsidRPr="004C1013">
              <w:t>570</w:t>
            </w:r>
          </w:p>
        </w:tc>
      </w:tr>
      <w:tr w:rsidR="0025522E" w:rsidRPr="004C1013" w:rsidTr="00404B50">
        <w:trPr>
          <w:trHeight w:val="283"/>
        </w:trPr>
        <w:tc>
          <w:tcPr>
            <w:tcW w:w="1647" w:type="pct"/>
            <w:hideMark/>
          </w:tcPr>
          <w:p w:rsidR="0025522E" w:rsidRPr="004C1013" w:rsidRDefault="0025522E" w:rsidP="0025522E">
            <w:pPr>
              <w:pStyle w:val="tabbielystyl"/>
            </w:pPr>
            <w:r w:rsidRPr="004C1013">
              <w:t>2013</w:t>
            </w:r>
          </w:p>
        </w:tc>
        <w:tc>
          <w:tcPr>
            <w:tcW w:w="1486" w:type="pct"/>
            <w:hideMark/>
          </w:tcPr>
          <w:p w:rsidR="0025522E" w:rsidRPr="004C1013" w:rsidRDefault="0025522E" w:rsidP="0025522E">
            <w:pPr>
              <w:pStyle w:val="tabbielystyl"/>
            </w:pPr>
            <w:r w:rsidRPr="004C1013">
              <w:t>9.</w:t>
            </w:r>
          </w:p>
        </w:tc>
        <w:tc>
          <w:tcPr>
            <w:tcW w:w="1867" w:type="pct"/>
            <w:vAlign w:val="bottom"/>
          </w:tcPr>
          <w:p w:rsidR="0025522E" w:rsidRPr="004C1013" w:rsidRDefault="0025522E" w:rsidP="0025522E">
            <w:pPr>
              <w:pStyle w:val="tabbielystyl"/>
            </w:pPr>
            <w:r w:rsidRPr="004C1013">
              <w:t>610</w:t>
            </w:r>
          </w:p>
        </w:tc>
      </w:tr>
      <w:tr w:rsidR="0025522E" w:rsidRPr="004C1013" w:rsidTr="00404B50">
        <w:trPr>
          <w:trHeight w:val="283"/>
        </w:trPr>
        <w:tc>
          <w:tcPr>
            <w:tcW w:w="1647" w:type="pct"/>
            <w:hideMark/>
          </w:tcPr>
          <w:p w:rsidR="0025522E" w:rsidRPr="004C1013" w:rsidRDefault="0025522E" w:rsidP="0025522E">
            <w:pPr>
              <w:pStyle w:val="tabbielystyl"/>
            </w:pPr>
            <w:r w:rsidRPr="004C1013">
              <w:t>2014</w:t>
            </w:r>
          </w:p>
        </w:tc>
        <w:tc>
          <w:tcPr>
            <w:tcW w:w="1486" w:type="pct"/>
            <w:hideMark/>
          </w:tcPr>
          <w:p w:rsidR="0025522E" w:rsidRPr="004C1013" w:rsidRDefault="0025522E" w:rsidP="0025522E">
            <w:pPr>
              <w:pStyle w:val="tabbielystyl"/>
            </w:pPr>
            <w:r w:rsidRPr="004C1013">
              <w:t>10.</w:t>
            </w:r>
          </w:p>
        </w:tc>
        <w:tc>
          <w:tcPr>
            <w:tcW w:w="1867" w:type="pct"/>
            <w:vAlign w:val="bottom"/>
          </w:tcPr>
          <w:p w:rsidR="0025522E" w:rsidRPr="004C1013" w:rsidRDefault="0025522E" w:rsidP="0025522E">
            <w:pPr>
              <w:pStyle w:val="tabbielystyl"/>
            </w:pPr>
            <w:r w:rsidRPr="004C1013">
              <w:t>610</w:t>
            </w:r>
          </w:p>
        </w:tc>
      </w:tr>
      <w:tr w:rsidR="0025522E" w:rsidRPr="004C1013" w:rsidTr="00404B50">
        <w:trPr>
          <w:trHeight w:val="283"/>
        </w:trPr>
        <w:tc>
          <w:tcPr>
            <w:tcW w:w="1647" w:type="pct"/>
            <w:hideMark/>
          </w:tcPr>
          <w:p w:rsidR="0025522E" w:rsidRPr="004C1013" w:rsidRDefault="0025522E" w:rsidP="0025522E">
            <w:pPr>
              <w:pStyle w:val="tabbielystyl"/>
            </w:pPr>
            <w:r w:rsidRPr="004C1013">
              <w:t>2015</w:t>
            </w:r>
          </w:p>
        </w:tc>
        <w:tc>
          <w:tcPr>
            <w:tcW w:w="1486" w:type="pct"/>
            <w:hideMark/>
          </w:tcPr>
          <w:p w:rsidR="0025522E" w:rsidRPr="004C1013" w:rsidRDefault="0025522E" w:rsidP="0025522E">
            <w:pPr>
              <w:pStyle w:val="tabbielystyl"/>
            </w:pPr>
            <w:r w:rsidRPr="004C1013">
              <w:t>11.</w:t>
            </w:r>
          </w:p>
        </w:tc>
        <w:tc>
          <w:tcPr>
            <w:tcW w:w="1867" w:type="pct"/>
            <w:vAlign w:val="bottom"/>
          </w:tcPr>
          <w:p w:rsidR="0025522E" w:rsidRPr="004C1013" w:rsidRDefault="0025522E" w:rsidP="0025522E">
            <w:pPr>
              <w:pStyle w:val="tabbielystyl"/>
            </w:pPr>
            <w:r w:rsidRPr="004C1013">
              <w:t>540</w:t>
            </w:r>
          </w:p>
        </w:tc>
      </w:tr>
      <w:tr w:rsidR="0025522E" w:rsidRPr="004C1013" w:rsidTr="00404B50">
        <w:trPr>
          <w:trHeight w:val="283"/>
        </w:trPr>
        <w:tc>
          <w:tcPr>
            <w:tcW w:w="1647" w:type="pct"/>
            <w:hideMark/>
          </w:tcPr>
          <w:p w:rsidR="0025522E" w:rsidRPr="004C1013" w:rsidRDefault="0025522E" w:rsidP="0025522E">
            <w:pPr>
              <w:pStyle w:val="tabbielystyl"/>
            </w:pPr>
            <w:r w:rsidRPr="004C1013">
              <w:t>2016</w:t>
            </w:r>
          </w:p>
        </w:tc>
        <w:tc>
          <w:tcPr>
            <w:tcW w:w="1486" w:type="pct"/>
            <w:hideMark/>
          </w:tcPr>
          <w:p w:rsidR="0025522E" w:rsidRPr="004C1013" w:rsidRDefault="0025522E" w:rsidP="0025522E">
            <w:pPr>
              <w:pStyle w:val="tabbielystyl"/>
            </w:pPr>
            <w:r w:rsidRPr="004C1013">
              <w:t>12.</w:t>
            </w:r>
          </w:p>
        </w:tc>
        <w:tc>
          <w:tcPr>
            <w:tcW w:w="1867" w:type="pct"/>
            <w:vAlign w:val="bottom"/>
          </w:tcPr>
          <w:p w:rsidR="0025522E" w:rsidRPr="004C1013" w:rsidRDefault="0025522E" w:rsidP="0025522E">
            <w:pPr>
              <w:pStyle w:val="tabbielystyl"/>
            </w:pPr>
            <w:r w:rsidRPr="004C1013">
              <w:t>571</w:t>
            </w:r>
          </w:p>
        </w:tc>
      </w:tr>
      <w:tr w:rsidR="0025522E" w:rsidRPr="004C1013" w:rsidTr="00404B50">
        <w:trPr>
          <w:trHeight w:val="283"/>
        </w:trPr>
        <w:tc>
          <w:tcPr>
            <w:tcW w:w="1647" w:type="pct"/>
            <w:hideMark/>
          </w:tcPr>
          <w:p w:rsidR="0025522E" w:rsidRPr="004C1013" w:rsidRDefault="0025522E" w:rsidP="0025522E">
            <w:pPr>
              <w:pStyle w:val="tabbielystyl"/>
            </w:pPr>
            <w:r w:rsidRPr="004C1013">
              <w:t>2017</w:t>
            </w:r>
          </w:p>
        </w:tc>
        <w:tc>
          <w:tcPr>
            <w:tcW w:w="1486" w:type="pct"/>
            <w:hideMark/>
          </w:tcPr>
          <w:p w:rsidR="0025522E" w:rsidRPr="004C1013" w:rsidRDefault="0025522E" w:rsidP="0025522E">
            <w:pPr>
              <w:pStyle w:val="tabbielystyl"/>
            </w:pPr>
            <w:r w:rsidRPr="004C1013">
              <w:t>13.</w:t>
            </w:r>
          </w:p>
        </w:tc>
        <w:tc>
          <w:tcPr>
            <w:tcW w:w="1867" w:type="pct"/>
            <w:vAlign w:val="bottom"/>
          </w:tcPr>
          <w:p w:rsidR="0025522E" w:rsidRPr="004C1013" w:rsidRDefault="0025522E" w:rsidP="0025522E">
            <w:pPr>
              <w:pStyle w:val="tabbielystyl"/>
            </w:pPr>
            <w:r w:rsidRPr="004C1013">
              <w:t>629</w:t>
            </w:r>
          </w:p>
        </w:tc>
      </w:tr>
      <w:tr w:rsidR="0025522E" w:rsidRPr="004C1013" w:rsidTr="00404B50">
        <w:trPr>
          <w:trHeight w:val="283"/>
        </w:trPr>
        <w:tc>
          <w:tcPr>
            <w:tcW w:w="3133"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67" w:type="pct"/>
            <w:shd w:val="clear" w:color="auto" w:fill="7F7F7F" w:themeFill="text1" w:themeFillTint="80"/>
          </w:tcPr>
          <w:p w:rsidR="0025522E" w:rsidRPr="004C1013" w:rsidRDefault="0025522E" w:rsidP="0025522E">
            <w:pPr>
              <w:pStyle w:val="tabukasivystyl"/>
            </w:pPr>
            <w:r w:rsidRPr="004C1013">
              <w:t>7 330</w:t>
            </w:r>
          </w:p>
        </w:tc>
      </w:tr>
      <w:tr w:rsidR="0025522E" w:rsidRPr="004C1013" w:rsidTr="00404B50">
        <w:trPr>
          <w:trHeight w:val="283"/>
        </w:trPr>
        <w:tc>
          <w:tcPr>
            <w:tcW w:w="3133"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867" w:type="pct"/>
            <w:shd w:val="clear" w:color="auto" w:fill="7F7F7F" w:themeFill="text1" w:themeFillTint="80"/>
          </w:tcPr>
          <w:p w:rsidR="0025522E" w:rsidRPr="004C1013" w:rsidRDefault="0025522E" w:rsidP="0025522E">
            <w:pPr>
              <w:pStyle w:val="tabukasivystyl"/>
            </w:pPr>
            <w:r w:rsidRPr="004C1013">
              <w:t>563,82</w:t>
            </w:r>
          </w:p>
        </w:tc>
      </w:tr>
    </w:tbl>
    <w:p w:rsidR="0025522E" w:rsidRPr="004C1013" w:rsidRDefault="0025522E" w:rsidP="0025522E">
      <w:pPr>
        <w:pStyle w:val="Nadpis2"/>
        <w:rPr>
          <w:rFonts w:asciiTheme="minorHAnsi" w:hAnsiTheme="minorHAnsi" w:cstheme="minorHAnsi"/>
        </w:rPr>
      </w:pPr>
      <w:bookmarkStart w:id="76" w:name="_Toc20687928"/>
      <w:bookmarkStart w:id="77" w:name="_Toc36664371"/>
      <w:r w:rsidRPr="004C1013">
        <w:rPr>
          <w:rFonts w:asciiTheme="minorHAnsi" w:hAnsiTheme="minorHAnsi" w:cstheme="minorHAnsi"/>
        </w:rPr>
        <w:t>Rakúsko</w:t>
      </w:r>
      <w:bookmarkEnd w:id="76"/>
      <w:bookmarkEnd w:id="77"/>
    </w:p>
    <w:p w:rsidR="0025522E" w:rsidRPr="004C1013" w:rsidRDefault="0025522E" w:rsidP="0025522E">
      <w:pPr>
        <w:pStyle w:val="Nadpis3"/>
        <w:rPr>
          <w:rFonts w:asciiTheme="minorHAnsi" w:hAnsiTheme="minorHAnsi" w:cstheme="minorHAnsi"/>
        </w:rPr>
      </w:pPr>
      <w:bookmarkStart w:id="78" w:name="_Toc20687929"/>
      <w:bookmarkStart w:id="79" w:name="_Toc36664372"/>
      <w:r w:rsidRPr="004C1013">
        <w:rPr>
          <w:rFonts w:asciiTheme="minorHAnsi" w:hAnsiTheme="minorHAnsi" w:cstheme="minorHAnsi"/>
        </w:rPr>
        <w:t>Základné charakteristiky systému ETC</w:t>
      </w:r>
      <w:bookmarkEnd w:id="78"/>
      <w:bookmarkEnd w:id="79"/>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Mýtny systém v Rakúsku bol vybudovaný v rokoch 2002 až 2003 a spustený 1. januára 2004. Umožňuje plne automatický výber mýta pre vozidlá s maximálnou prípustnou celkovou hmotnosťou nad 3,5 t pom</w:t>
      </w:r>
      <w:r w:rsidR="00C96EFB">
        <w:rPr>
          <w:rFonts w:asciiTheme="minorHAnsi" w:hAnsiTheme="minorHAnsi" w:cstheme="minorHAnsi"/>
        </w:rPr>
        <w:t>ocou mikrovlnnej technológie (D</w:t>
      </w:r>
      <w:r w:rsidRPr="004C1013">
        <w:rPr>
          <w:rFonts w:asciiTheme="minorHAnsi" w:hAnsiTheme="minorHAnsi" w:cstheme="minorHAnsi"/>
        </w:rPr>
        <w:t>S</w:t>
      </w:r>
      <w:r w:rsidR="00C96EFB">
        <w:rPr>
          <w:rFonts w:asciiTheme="minorHAnsi" w:hAnsiTheme="minorHAnsi" w:cstheme="minorHAnsi"/>
        </w:rPr>
        <w:t>R</w:t>
      </w:r>
      <w:r w:rsidRPr="004C1013">
        <w:rPr>
          <w:rFonts w:asciiTheme="minorHAnsi" w:hAnsiTheme="minorHAnsi" w:cstheme="minorHAnsi"/>
        </w:rPr>
        <w:t>C) bez nutnosti používať vyhradený jazdný pruh a bez nutnosti zmeny jazdnej rýchlosti. Aby bolo možné vypočítať mýto, musí byť do vozidla nainštalovaná palubná jednotka (GO-Box), ktorá komunikuje s mýtnymi bránami inštalovanými ponad vozovky spoplatnených úsekov ciest v Rakúsku.</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Správcom a súčasne prevádzkovateľom systému ETC v Rakúsku je spoločnosť Asfinag a jeho organizačná zložka ASFINAG Maut Service GmbH.</w:t>
      </w:r>
    </w:p>
    <w:p w:rsidR="0025522E" w:rsidRPr="004C1013" w:rsidRDefault="0025522E" w:rsidP="006B1C25">
      <w:pPr>
        <w:pStyle w:val="tabstyl"/>
      </w:pPr>
      <w:bookmarkStart w:id="80" w:name="_Toc36664458"/>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16</w:t>
      </w:r>
      <w:r w:rsidR="00C40D3F">
        <w:rPr>
          <w:noProof/>
        </w:rPr>
        <w:fldChar w:fldCharType="end"/>
      </w:r>
      <w:r w:rsidRPr="004C1013">
        <w:tab/>
        <w:t>Prehľadných základných charakteristík systému ETC v Rakúsku</w:t>
      </w:r>
      <w:bookmarkEnd w:id="80"/>
    </w:p>
    <w:tbl>
      <w:tblPr>
        <w:tblStyle w:val="tabulkaVUD"/>
        <w:tblW w:w="5000" w:type="pct"/>
        <w:tblLook w:val="04A0" w:firstRow="1" w:lastRow="0" w:firstColumn="1" w:lastColumn="0" w:noHBand="0" w:noVBand="1"/>
      </w:tblPr>
      <w:tblGrid>
        <w:gridCol w:w="3288"/>
        <w:gridCol w:w="6123"/>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rPr>
        <w:tc>
          <w:tcPr>
            <w:tcW w:w="1747" w:type="pct"/>
            <w:shd w:val="clear" w:color="auto" w:fill="7F7F7F" w:themeFill="text1" w:themeFillTint="80"/>
            <w:hideMark/>
          </w:tcPr>
          <w:p w:rsidR="0025522E" w:rsidRPr="004C1013" w:rsidRDefault="0025522E" w:rsidP="0025522E">
            <w:pPr>
              <w:pStyle w:val="tabukasivystyl"/>
            </w:pPr>
            <w:r w:rsidRPr="004C1013">
              <w:t>Technológia</w:t>
            </w:r>
          </w:p>
        </w:tc>
        <w:tc>
          <w:tcPr>
            <w:tcW w:w="3253" w:type="pct"/>
            <w:shd w:val="clear" w:color="auto" w:fill="auto"/>
            <w:hideMark/>
          </w:tcPr>
          <w:p w:rsidR="0025522E" w:rsidRPr="004C1013" w:rsidRDefault="0025522E" w:rsidP="0025522E">
            <w:pPr>
              <w:pStyle w:val="tabbielystyl"/>
            </w:pPr>
            <w:r w:rsidRPr="004C1013">
              <w:t>DSRC</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Správca systému</w:t>
            </w:r>
          </w:p>
        </w:tc>
        <w:tc>
          <w:tcPr>
            <w:tcW w:w="3253" w:type="pct"/>
            <w:hideMark/>
          </w:tcPr>
          <w:p w:rsidR="0025522E" w:rsidRPr="004C1013" w:rsidRDefault="0025522E" w:rsidP="0025522E">
            <w:pPr>
              <w:pStyle w:val="tabbielystyl"/>
            </w:pPr>
            <w:r w:rsidRPr="004C1013">
              <w:t xml:space="preserve">ASFINAG </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 xml:space="preserve"> Prevádzkovateľ systému</w:t>
            </w:r>
          </w:p>
        </w:tc>
        <w:tc>
          <w:tcPr>
            <w:tcW w:w="3253" w:type="pct"/>
            <w:hideMark/>
          </w:tcPr>
          <w:p w:rsidR="0025522E" w:rsidRPr="004C1013" w:rsidRDefault="0025522E" w:rsidP="0025522E">
            <w:pPr>
              <w:pStyle w:val="tabbielystyl"/>
            </w:pPr>
            <w:r w:rsidRPr="004C1013">
              <w:t>ASFINAG </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Uvedenie do prevádzky</w:t>
            </w:r>
          </w:p>
        </w:tc>
        <w:tc>
          <w:tcPr>
            <w:tcW w:w="3253" w:type="pct"/>
            <w:hideMark/>
          </w:tcPr>
          <w:p w:rsidR="0025522E" w:rsidRPr="004C1013" w:rsidRDefault="0025522E" w:rsidP="0025522E">
            <w:pPr>
              <w:pStyle w:val="tabbielystyl"/>
            </w:pPr>
            <w:r w:rsidRPr="004C1013">
              <w:t>1.1.2004</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Doba prevádzky k 31.12.2018  (roky)</w:t>
            </w:r>
          </w:p>
        </w:tc>
        <w:tc>
          <w:tcPr>
            <w:tcW w:w="3253" w:type="pct"/>
            <w:hideMark/>
          </w:tcPr>
          <w:p w:rsidR="0025522E" w:rsidRPr="004C1013" w:rsidRDefault="0025522E" w:rsidP="0025522E">
            <w:pPr>
              <w:pStyle w:val="tabbielystyl"/>
            </w:pPr>
            <w:r w:rsidRPr="004C1013">
              <w:t>15</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Spoplatnené vozidlá (kategória)</w:t>
            </w:r>
          </w:p>
        </w:tc>
        <w:tc>
          <w:tcPr>
            <w:tcW w:w="3253" w:type="pct"/>
            <w:hideMark/>
          </w:tcPr>
          <w:p w:rsidR="0025522E" w:rsidRPr="004C1013" w:rsidRDefault="0025522E" w:rsidP="0025522E">
            <w:pPr>
              <w:pStyle w:val="tabbielystyl"/>
            </w:pPr>
            <w:r w:rsidRPr="004C1013">
              <w:t>Nákladné vozidlá&gt;12t, od r. 2011 &gt;3,5t</w:t>
            </w:r>
          </w:p>
        </w:tc>
      </w:tr>
    </w:tbl>
    <w:p w:rsidR="0025522E" w:rsidRPr="004C1013" w:rsidRDefault="0025522E" w:rsidP="0025522E">
      <w:pPr>
        <w:pStyle w:val="Nadpis3"/>
        <w:rPr>
          <w:rFonts w:asciiTheme="minorHAnsi" w:hAnsiTheme="minorHAnsi" w:cstheme="minorHAnsi"/>
        </w:rPr>
      </w:pPr>
      <w:bookmarkStart w:id="81" w:name="_Toc20687930"/>
      <w:bookmarkStart w:id="82" w:name="_Toc36664373"/>
      <w:r w:rsidRPr="004C1013">
        <w:rPr>
          <w:rFonts w:asciiTheme="minorHAnsi" w:hAnsiTheme="minorHAnsi" w:cstheme="minorHAnsi"/>
        </w:rPr>
        <w:t>Sieť vymedzených úsekov ciest</w:t>
      </w:r>
      <w:bookmarkEnd w:id="81"/>
      <w:bookmarkEnd w:id="82"/>
    </w:p>
    <w:p w:rsidR="0025522E" w:rsidRPr="004C1013" w:rsidRDefault="0025522E" w:rsidP="0025522E">
      <w:r w:rsidRPr="004C1013">
        <w:t xml:space="preserve">Spoplatnenými cestami v rámci systému elektronického výberu mýta sú v Rakúsku diaľnice a rýchlostné cesty. Informácie o dĺžke spoplatnených úsekov ciest boli prevzaté z publikovaných dokumentov ASECAP [15], [16], ktoré boli navzájom porovnané s údajmi publikovanými spoločnosťou ASFINANG, v odborných štúdiách a v ďalších zdrojoch. Údaje sa zhodovali. </w:t>
      </w:r>
    </w:p>
    <w:p w:rsidR="0025522E" w:rsidRPr="004C1013" w:rsidRDefault="0025522E" w:rsidP="0025522E">
      <w:r w:rsidRPr="004C1013">
        <w:rPr>
          <w:noProof/>
          <w:lang w:eastAsia="sk-SK"/>
        </w:rPr>
        <w:drawing>
          <wp:inline distT="0" distB="0" distL="0" distR="0">
            <wp:extent cx="5829300" cy="3211744"/>
            <wp:effectExtent l="0" t="0" r="0" b="0"/>
            <wp:docPr id="44" name="Obrázek 3" descr="asfinag_strecken_201801_streckenmaut_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finag_strecken_201801_streckenmaut_d.jpg"/>
                    <pic:cNvPicPr/>
                  </pic:nvPicPr>
                  <pic:blipFill>
                    <a:blip r:embed="rId21" cstate="print"/>
                    <a:stretch>
                      <a:fillRect/>
                    </a:stretch>
                  </pic:blipFill>
                  <pic:spPr>
                    <a:xfrm>
                      <a:off x="0" y="0"/>
                      <a:ext cx="5840331" cy="3217821"/>
                    </a:xfrm>
                    <a:prstGeom prst="rect">
                      <a:avLst/>
                    </a:prstGeom>
                  </pic:spPr>
                </pic:pic>
              </a:graphicData>
            </a:graphic>
          </wp:inline>
        </w:drawing>
      </w:r>
    </w:p>
    <w:p w:rsidR="0025522E" w:rsidRPr="004C1013" w:rsidRDefault="0025522E" w:rsidP="006B1C25">
      <w:pPr>
        <w:pStyle w:val="Popis"/>
      </w:pPr>
      <w:bookmarkStart w:id="83" w:name="_Toc36664507"/>
      <w:r w:rsidRPr="004C1013">
        <w:t xml:space="preserve">Obr. </w:t>
      </w:r>
      <w:r w:rsidR="00C40D3F">
        <w:fldChar w:fldCharType="begin"/>
      </w:r>
      <w:r w:rsidR="00C40D3F">
        <w:instrText xml:space="preserve"> STYLEREF 1 \s </w:instrText>
      </w:r>
      <w:r w:rsidR="00C40D3F">
        <w:fldChar w:fldCharType="separate"/>
      </w:r>
      <w:r w:rsidR="00D61B89">
        <w:rPr>
          <w:noProof/>
        </w:rPr>
        <w:t>1</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3</w:t>
      </w:r>
      <w:r w:rsidR="00C40D3F">
        <w:rPr>
          <w:noProof/>
        </w:rPr>
        <w:fldChar w:fldCharType="end"/>
      </w:r>
      <w:r w:rsidRPr="004C1013">
        <w:tab/>
        <w:t>Sieť vymedzených úsekov ciest systému ETC v Rakúsku</w:t>
      </w:r>
      <w:bookmarkEnd w:id="83"/>
    </w:p>
    <w:p w:rsidR="0025522E" w:rsidRDefault="0025522E" w:rsidP="0025522E"/>
    <w:p w:rsidR="00AA5C68" w:rsidRPr="004C1013" w:rsidRDefault="00AA5C68" w:rsidP="0025522E"/>
    <w:p w:rsidR="0025522E" w:rsidRPr="004C1013" w:rsidRDefault="0025522E" w:rsidP="006B1C25">
      <w:pPr>
        <w:pStyle w:val="tabstyl"/>
      </w:pPr>
      <w:bookmarkStart w:id="84" w:name="_Ref19733472"/>
      <w:bookmarkStart w:id="85" w:name="_Toc36664459"/>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17</w:t>
      </w:r>
      <w:r w:rsidR="00C40D3F">
        <w:rPr>
          <w:noProof/>
        </w:rPr>
        <w:fldChar w:fldCharType="end"/>
      </w:r>
      <w:bookmarkEnd w:id="84"/>
      <w:r w:rsidRPr="004C1013">
        <w:t xml:space="preserve"> </w:t>
      </w:r>
      <w:r w:rsidRPr="004C1013">
        <w:tab/>
        <w:t>Rakúsko: ETC indikátor 1. Dĺžka siete</w:t>
      </w:r>
      <w:bookmarkEnd w:id="85"/>
    </w:p>
    <w:tbl>
      <w:tblPr>
        <w:tblStyle w:val="tabulkaVUD"/>
        <w:tblW w:w="5000" w:type="pct"/>
        <w:tblLook w:val="04A0" w:firstRow="1" w:lastRow="0" w:firstColumn="1" w:lastColumn="0" w:noHBand="0" w:noVBand="1"/>
      </w:tblPr>
      <w:tblGrid>
        <w:gridCol w:w="2634"/>
        <w:gridCol w:w="2678"/>
        <w:gridCol w:w="4099"/>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610"/>
          <w:tblHeader/>
        </w:trPr>
        <w:tc>
          <w:tcPr>
            <w:tcW w:w="1399" w:type="pct"/>
            <w:shd w:val="clear" w:color="auto" w:fill="7F7F7F" w:themeFill="text1" w:themeFillTint="80"/>
            <w:hideMark/>
          </w:tcPr>
          <w:p w:rsidR="0025522E" w:rsidRPr="004C1013" w:rsidRDefault="0025522E" w:rsidP="009D58D5">
            <w:pPr>
              <w:pStyle w:val="zahltab"/>
            </w:pPr>
            <w:r w:rsidRPr="004C1013">
              <w:t>Kalendárny rok</w:t>
            </w:r>
          </w:p>
        </w:tc>
        <w:tc>
          <w:tcPr>
            <w:tcW w:w="1423" w:type="pct"/>
            <w:hideMark/>
          </w:tcPr>
          <w:p w:rsidR="0025522E" w:rsidRPr="004C1013" w:rsidRDefault="0025522E" w:rsidP="009D58D5">
            <w:pPr>
              <w:pStyle w:val="zahltab"/>
            </w:pPr>
            <w:r w:rsidRPr="004C1013">
              <w:t>Rok prevádzky</w:t>
            </w:r>
          </w:p>
        </w:tc>
        <w:tc>
          <w:tcPr>
            <w:tcW w:w="2178" w:type="pct"/>
            <w:hideMark/>
          </w:tcPr>
          <w:p w:rsidR="0025522E" w:rsidRPr="004C1013" w:rsidRDefault="0025522E" w:rsidP="009D58D5">
            <w:pPr>
              <w:pStyle w:val="zahltab"/>
            </w:pPr>
            <w:r w:rsidRPr="004C1013">
              <w:t>Dĺžka spoplatnených úsekov ciest</w:t>
            </w:r>
            <w:r w:rsidR="00CE625A">
              <w:t xml:space="preserve"> (km)</w:t>
            </w:r>
          </w:p>
        </w:tc>
      </w:tr>
      <w:tr w:rsidR="0025522E" w:rsidRPr="004C1013" w:rsidTr="00404B50">
        <w:trPr>
          <w:trHeight w:val="300"/>
        </w:trPr>
        <w:tc>
          <w:tcPr>
            <w:tcW w:w="1399" w:type="pct"/>
            <w:hideMark/>
          </w:tcPr>
          <w:p w:rsidR="0025522E" w:rsidRPr="004C1013" w:rsidRDefault="0025522E" w:rsidP="0025522E">
            <w:pPr>
              <w:pStyle w:val="tabbielystyl"/>
            </w:pPr>
            <w:r w:rsidRPr="004C1013">
              <w:t>2004</w:t>
            </w:r>
          </w:p>
        </w:tc>
        <w:tc>
          <w:tcPr>
            <w:tcW w:w="1423" w:type="pct"/>
            <w:hideMark/>
          </w:tcPr>
          <w:p w:rsidR="0025522E" w:rsidRPr="004C1013" w:rsidRDefault="0025522E" w:rsidP="0025522E">
            <w:pPr>
              <w:pStyle w:val="tabbielystyl"/>
            </w:pPr>
            <w:r w:rsidRPr="004C1013">
              <w:t>1.</w:t>
            </w:r>
          </w:p>
        </w:tc>
        <w:tc>
          <w:tcPr>
            <w:tcW w:w="2178" w:type="pct"/>
            <w:hideMark/>
          </w:tcPr>
          <w:p w:rsidR="0025522E" w:rsidRPr="004C1013" w:rsidRDefault="0025522E" w:rsidP="0025522E">
            <w:pPr>
              <w:pStyle w:val="tabbielystyl"/>
            </w:pPr>
            <w:r w:rsidRPr="004C1013">
              <w:t>2 034,0</w:t>
            </w:r>
          </w:p>
        </w:tc>
      </w:tr>
      <w:tr w:rsidR="0025522E" w:rsidRPr="004C1013" w:rsidTr="00404B50">
        <w:trPr>
          <w:trHeight w:val="300"/>
        </w:trPr>
        <w:tc>
          <w:tcPr>
            <w:tcW w:w="1399" w:type="pct"/>
            <w:hideMark/>
          </w:tcPr>
          <w:p w:rsidR="0025522E" w:rsidRPr="004C1013" w:rsidRDefault="0025522E" w:rsidP="0025522E">
            <w:pPr>
              <w:pStyle w:val="tabbielystyl"/>
            </w:pPr>
            <w:r w:rsidRPr="004C1013">
              <w:t>2005</w:t>
            </w:r>
          </w:p>
        </w:tc>
        <w:tc>
          <w:tcPr>
            <w:tcW w:w="1423" w:type="pct"/>
            <w:hideMark/>
          </w:tcPr>
          <w:p w:rsidR="0025522E" w:rsidRPr="004C1013" w:rsidRDefault="0025522E" w:rsidP="0025522E">
            <w:pPr>
              <w:pStyle w:val="tabbielystyl"/>
            </w:pPr>
            <w:r w:rsidRPr="004C1013">
              <w:t>2.</w:t>
            </w:r>
          </w:p>
        </w:tc>
        <w:tc>
          <w:tcPr>
            <w:tcW w:w="2178" w:type="pct"/>
            <w:hideMark/>
          </w:tcPr>
          <w:p w:rsidR="0025522E" w:rsidRPr="004C1013" w:rsidRDefault="0025522E" w:rsidP="0025522E">
            <w:pPr>
              <w:pStyle w:val="tabbielystyl"/>
            </w:pPr>
            <w:r w:rsidRPr="004C1013">
              <w:t>2 035,0</w:t>
            </w:r>
          </w:p>
        </w:tc>
      </w:tr>
      <w:tr w:rsidR="0025522E" w:rsidRPr="004C1013" w:rsidTr="00404B50">
        <w:trPr>
          <w:trHeight w:val="300"/>
        </w:trPr>
        <w:tc>
          <w:tcPr>
            <w:tcW w:w="1399" w:type="pct"/>
            <w:hideMark/>
          </w:tcPr>
          <w:p w:rsidR="0025522E" w:rsidRPr="004C1013" w:rsidRDefault="0025522E" w:rsidP="0025522E">
            <w:pPr>
              <w:pStyle w:val="tabbielystyl"/>
            </w:pPr>
            <w:r w:rsidRPr="004C1013">
              <w:t>2006</w:t>
            </w:r>
          </w:p>
        </w:tc>
        <w:tc>
          <w:tcPr>
            <w:tcW w:w="1423" w:type="pct"/>
            <w:hideMark/>
          </w:tcPr>
          <w:p w:rsidR="0025522E" w:rsidRPr="004C1013" w:rsidRDefault="0025522E" w:rsidP="0025522E">
            <w:pPr>
              <w:pStyle w:val="tabbielystyl"/>
            </w:pPr>
            <w:r w:rsidRPr="004C1013">
              <w:t>3.</w:t>
            </w:r>
          </w:p>
        </w:tc>
        <w:tc>
          <w:tcPr>
            <w:tcW w:w="2178" w:type="pct"/>
            <w:hideMark/>
          </w:tcPr>
          <w:p w:rsidR="0025522E" w:rsidRPr="004C1013" w:rsidRDefault="0025522E" w:rsidP="0025522E">
            <w:pPr>
              <w:pStyle w:val="tabbielystyl"/>
            </w:pPr>
            <w:r w:rsidRPr="004C1013">
              <w:t>2 061,8</w:t>
            </w:r>
          </w:p>
        </w:tc>
      </w:tr>
      <w:tr w:rsidR="0025522E" w:rsidRPr="004C1013" w:rsidTr="00404B50">
        <w:trPr>
          <w:trHeight w:val="300"/>
        </w:trPr>
        <w:tc>
          <w:tcPr>
            <w:tcW w:w="1399" w:type="pct"/>
            <w:hideMark/>
          </w:tcPr>
          <w:p w:rsidR="0025522E" w:rsidRPr="004C1013" w:rsidRDefault="0025522E" w:rsidP="0025522E">
            <w:pPr>
              <w:pStyle w:val="tabbielystyl"/>
            </w:pPr>
            <w:r w:rsidRPr="004C1013">
              <w:t>2007</w:t>
            </w:r>
          </w:p>
        </w:tc>
        <w:tc>
          <w:tcPr>
            <w:tcW w:w="1423" w:type="pct"/>
            <w:hideMark/>
          </w:tcPr>
          <w:p w:rsidR="0025522E" w:rsidRPr="004C1013" w:rsidRDefault="0025522E" w:rsidP="0025522E">
            <w:pPr>
              <w:pStyle w:val="tabbielystyl"/>
            </w:pPr>
            <w:r w:rsidRPr="004C1013">
              <w:t>4.</w:t>
            </w:r>
          </w:p>
        </w:tc>
        <w:tc>
          <w:tcPr>
            <w:tcW w:w="2178" w:type="pct"/>
            <w:hideMark/>
          </w:tcPr>
          <w:p w:rsidR="0025522E" w:rsidRPr="004C1013" w:rsidRDefault="0025522E" w:rsidP="0025522E">
            <w:pPr>
              <w:pStyle w:val="tabbielystyl"/>
            </w:pPr>
            <w:r w:rsidRPr="004C1013">
              <w:t>2 103,7</w:t>
            </w:r>
          </w:p>
        </w:tc>
      </w:tr>
      <w:tr w:rsidR="0025522E" w:rsidRPr="004C1013" w:rsidTr="00404B50">
        <w:trPr>
          <w:trHeight w:val="300"/>
        </w:trPr>
        <w:tc>
          <w:tcPr>
            <w:tcW w:w="1399" w:type="pct"/>
            <w:hideMark/>
          </w:tcPr>
          <w:p w:rsidR="0025522E" w:rsidRPr="004C1013" w:rsidRDefault="0025522E" w:rsidP="0025522E">
            <w:pPr>
              <w:pStyle w:val="tabbielystyl"/>
            </w:pPr>
            <w:r w:rsidRPr="004C1013">
              <w:t>2008</w:t>
            </w:r>
          </w:p>
        </w:tc>
        <w:tc>
          <w:tcPr>
            <w:tcW w:w="1423" w:type="pct"/>
            <w:hideMark/>
          </w:tcPr>
          <w:p w:rsidR="0025522E" w:rsidRPr="004C1013" w:rsidRDefault="0025522E" w:rsidP="0025522E">
            <w:pPr>
              <w:pStyle w:val="tabbielystyl"/>
            </w:pPr>
            <w:r w:rsidRPr="004C1013">
              <w:t>5.</w:t>
            </w:r>
          </w:p>
        </w:tc>
        <w:tc>
          <w:tcPr>
            <w:tcW w:w="2178" w:type="pct"/>
            <w:hideMark/>
          </w:tcPr>
          <w:p w:rsidR="0025522E" w:rsidRPr="004C1013" w:rsidRDefault="0025522E" w:rsidP="0025522E">
            <w:pPr>
              <w:pStyle w:val="tabbielystyl"/>
            </w:pPr>
            <w:r w:rsidRPr="004C1013">
              <w:t>2 103,7</w:t>
            </w:r>
          </w:p>
        </w:tc>
      </w:tr>
      <w:tr w:rsidR="0025522E" w:rsidRPr="004C1013" w:rsidTr="00404B50">
        <w:trPr>
          <w:trHeight w:val="300"/>
        </w:trPr>
        <w:tc>
          <w:tcPr>
            <w:tcW w:w="1399" w:type="pct"/>
            <w:hideMark/>
          </w:tcPr>
          <w:p w:rsidR="0025522E" w:rsidRPr="004C1013" w:rsidRDefault="0025522E" w:rsidP="0025522E">
            <w:pPr>
              <w:pStyle w:val="tabbielystyl"/>
            </w:pPr>
            <w:r w:rsidRPr="004C1013">
              <w:t>2009</w:t>
            </w:r>
          </w:p>
        </w:tc>
        <w:tc>
          <w:tcPr>
            <w:tcW w:w="1423" w:type="pct"/>
            <w:hideMark/>
          </w:tcPr>
          <w:p w:rsidR="0025522E" w:rsidRPr="004C1013" w:rsidRDefault="0025522E" w:rsidP="0025522E">
            <w:pPr>
              <w:pStyle w:val="tabbielystyl"/>
            </w:pPr>
            <w:r w:rsidRPr="004C1013">
              <w:t>6.</w:t>
            </w:r>
          </w:p>
        </w:tc>
        <w:tc>
          <w:tcPr>
            <w:tcW w:w="2178" w:type="pct"/>
            <w:hideMark/>
          </w:tcPr>
          <w:p w:rsidR="0025522E" w:rsidRPr="004C1013" w:rsidRDefault="0025522E" w:rsidP="0025522E">
            <w:pPr>
              <w:pStyle w:val="tabbielystyl"/>
            </w:pPr>
            <w:r w:rsidRPr="004C1013">
              <w:t>2 135,6</w:t>
            </w:r>
          </w:p>
        </w:tc>
      </w:tr>
      <w:tr w:rsidR="0025522E" w:rsidRPr="004C1013" w:rsidTr="00404B50">
        <w:trPr>
          <w:trHeight w:val="300"/>
        </w:trPr>
        <w:tc>
          <w:tcPr>
            <w:tcW w:w="1399" w:type="pct"/>
            <w:hideMark/>
          </w:tcPr>
          <w:p w:rsidR="0025522E" w:rsidRPr="004C1013" w:rsidRDefault="0025522E" w:rsidP="0025522E">
            <w:pPr>
              <w:pStyle w:val="tabbielystyl"/>
            </w:pPr>
            <w:r w:rsidRPr="004C1013">
              <w:t>2010</w:t>
            </w:r>
          </w:p>
        </w:tc>
        <w:tc>
          <w:tcPr>
            <w:tcW w:w="1423" w:type="pct"/>
            <w:hideMark/>
          </w:tcPr>
          <w:p w:rsidR="0025522E" w:rsidRPr="004C1013" w:rsidRDefault="0025522E" w:rsidP="0025522E">
            <w:pPr>
              <w:pStyle w:val="tabbielystyl"/>
            </w:pPr>
            <w:r w:rsidRPr="004C1013">
              <w:t>7.</w:t>
            </w:r>
          </w:p>
        </w:tc>
        <w:tc>
          <w:tcPr>
            <w:tcW w:w="2178" w:type="pct"/>
            <w:hideMark/>
          </w:tcPr>
          <w:p w:rsidR="0025522E" w:rsidRPr="004C1013" w:rsidRDefault="0025522E" w:rsidP="0025522E">
            <w:pPr>
              <w:pStyle w:val="tabbielystyl"/>
            </w:pPr>
            <w:r w:rsidRPr="004C1013">
              <w:t>2 175,7</w:t>
            </w:r>
          </w:p>
        </w:tc>
      </w:tr>
      <w:tr w:rsidR="0025522E" w:rsidRPr="004C1013" w:rsidTr="00404B50">
        <w:trPr>
          <w:trHeight w:val="300"/>
        </w:trPr>
        <w:tc>
          <w:tcPr>
            <w:tcW w:w="1399" w:type="pct"/>
            <w:hideMark/>
          </w:tcPr>
          <w:p w:rsidR="0025522E" w:rsidRPr="004C1013" w:rsidRDefault="0025522E" w:rsidP="0025522E">
            <w:pPr>
              <w:pStyle w:val="tabbielystyl"/>
            </w:pPr>
            <w:r w:rsidRPr="004C1013">
              <w:t>2011</w:t>
            </w:r>
          </w:p>
        </w:tc>
        <w:tc>
          <w:tcPr>
            <w:tcW w:w="1423" w:type="pct"/>
            <w:hideMark/>
          </w:tcPr>
          <w:p w:rsidR="0025522E" w:rsidRPr="004C1013" w:rsidRDefault="0025522E" w:rsidP="0025522E">
            <w:pPr>
              <w:pStyle w:val="tabbielystyl"/>
            </w:pPr>
            <w:r w:rsidRPr="004C1013">
              <w:t>8.</w:t>
            </w:r>
          </w:p>
        </w:tc>
        <w:tc>
          <w:tcPr>
            <w:tcW w:w="2178" w:type="pct"/>
            <w:hideMark/>
          </w:tcPr>
          <w:p w:rsidR="0025522E" w:rsidRPr="004C1013" w:rsidRDefault="0025522E" w:rsidP="0025522E">
            <w:pPr>
              <w:pStyle w:val="tabbielystyl"/>
            </w:pPr>
            <w:r w:rsidRPr="004C1013">
              <w:t>2 175,7</w:t>
            </w:r>
          </w:p>
        </w:tc>
      </w:tr>
      <w:tr w:rsidR="0025522E" w:rsidRPr="004C1013" w:rsidTr="00404B50">
        <w:trPr>
          <w:trHeight w:val="300"/>
        </w:trPr>
        <w:tc>
          <w:tcPr>
            <w:tcW w:w="1399" w:type="pct"/>
            <w:hideMark/>
          </w:tcPr>
          <w:p w:rsidR="0025522E" w:rsidRPr="004C1013" w:rsidRDefault="0025522E" w:rsidP="0025522E">
            <w:pPr>
              <w:pStyle w:val="tabbielystyl"/>
            </w:pPr>
            <w:r w:rsidRPr="004C1013">
              <w:t>2012</w:t>
            </w:r>
          </w:p>
        </w:tc>
        <w:tc>
          <w:tcPr>
            <w:tcW w:w="1423" w:type="pct"/>
            <w:hideMark/>
          </w:tcPr>
          <w:p w:rsidR="0025522E" w:rsidRPr="004C1013" w:rsidRDefault="0025522E" w:rsidP="0025522E">
            <w:pPr>
              <w:pStyle w:val="tabbielystyl"/>
            </w:pPr>
            <w:r w:rsidRPr="004C1013">
              <w:t>9.</w:t>
            </w:r>
          </w:p>
        </w:tc>
        <w:tc>
          <w:tcPr>
            <w:tcW w:w="2178" w:type="pct"/>
            <w:hideMark/>
          </w:tcPr>
          <w:p w:rsidR="0025522E" w:rsidRPr="004C1013" w:rsidRDefault="0025522E" w:rsidP="0025522E">
            <w:pPr>
              <w:pStyle w:val="tabbielystyl"/>
            </w:pPr>
            <w:r w:rsidRPr="004C1013">
              <w:t>2 177,4</w:t>
            </w:r>
          </w:p>
        </w:tc>
      </w:tr>
      <w:tr w:rsidR="0025522E" w:rsidRPr="004C1013" w:rsidTr="00404B50">
        <w:trPr>
          <w:trHeight w:val="300"/>
        </w:trPr>
        <w:tc>
          <w:tcPr>
            <w:tcW w:w="1399" w:type="pct"/>
            <w:hideMark/>
          </w:tcPr>
          <w:p w:rsidR="0025522E" w:rsidRPr="004C1013" w:rsidRDefault="0025522E" w:rsidP="0025522E">
            <w:pPr>
              <w:pStyle w:val="tabbielystyl"/>
            </w:pPr>
            <w:r w:rsidRPr="004C1013">
              <w:t>2013</w:t>
            </w:r>
          </w:p>
        </w:tc>
        <w:tc>
          <w:tcPr>
            <w:tcW w:w="1423" w:type="pct"/>
            <w:hideMark/>
          </w:tcPr>
          <w:p w:rsidR="0025522E" w:rsidRPr="004C1013" w:rsidRDefault="0025522E" w:rsidP="0025522E">
            <w:pPr>
              <w:pStyle w:val="tabbielystyl"/>
            </w:pPr>
            <w:r w:rsidRPr="004C1013">
              <w:t>10.</w:t>
            </w:r>
          </w:p>
        </w:tc>
        <w:tc>
          <w:tcPr>
            <w:tcW w:w="2178" w:type="pct"/>
            <w:hideMark/>
          </w:tcPr>
          <w:p w:rsidR="0025522E" w:rsidRPr="004C1013" w:rsidRDefault="0025522E" w:rsidP="0025522E">
            <w:pPr>
              <w:pStyle w:val="tabbielystyl"/>
            </w:pPr>
            <w:r w:rsidRPr="004C1013">
              <w:t>2 177,4</w:t>
            </w:r>
          </w:p>
        </w:tc>
      </w:tr>
      <w:tr w:rsidR="0025522E" w:rsidRPr="004C1013" w:rsidTr="00404B50">
        <w:trPr>
          <w:trHeight w:val="300"/>
        </w:trPr>
        <w:tc>
          <w:tcPr>
            <w:tcW w:w="1399" w:type="pct"/>
            <w:hideMark/>
          </w:tcPr>
          <w:p w:rsidR="0025522E" w:rsidRPr="004C1013" w:rsidRDefault="0025522E" w:rsidP="0025522E">
            <w:pPr>
              <w:pStyle w:val="tabbielystyl"/>
            </w:pPr>
            <w:r w:rsidRPr="004C1013">
              <w:t>2014</w:t>
            </w:r>
          </w:p>
        </w:tc>
        <w:tc>
          <w:tcPr>
            <w:tcW w:w="1423" w:type="pct"/>
            <w:hideMark/>
          </w:tcPr>
          <w:p w:rsidR="0025522E" w:rsidRPr="004C1013" w:rsidRDefault="0025522E" w:rsidP="0025522E">
            <w:pPr>
              <w:pStyle w:val="tabbielystyl"/>
            </w:pPr>
            <w:r w:rsidRPr="004C1013">
              <w:t>11.</w:t>
            </w:r>
          </w:p>
        </w:tc>
        <w:tc>
          <w:tcPr>
            <w:tcW w:w="2178" w:type="pct"/>
            <w:hideMark/>
          </w:tcPr>
          <w:p w:rsidR="0025522E" w:rsidRPr="004C1013" w:rsidRDefault="0025522E" w:rsidP="0025522E">
            <w:pPr>
              <w:pStyle w:val="tabbielystyl"/>
            </w:pPr>
            <w:r w:rsidRPr="004C1013">
              <w:t>2 183,9</w:t>
            </w:r>
          </w:p>
        </w:tc>
      </w:tr>
      <w:tr w:rsidR="0025522E" w:rsidRPr="004C1013" w:rsidTr="00404B50">
        <w:trPr>
          <w:trHeight w:val="300"/>
        </w:trPr>
        <w:tc>
          <w:tcPr>
            <w:tcW w:w="1399" w:type="pct"/>
            <w:hideMark/>
          </w:tcPr>
          <w:p w:rsidR="0025522E" w:rsidRPr="004C1013" w:rsidRDefault="0025522E" w:rsidP="0025522E">
            <w:pPr>
              <w:pStyle w:val="tabbielystyl"/>
            </w:pPr>
            <w:r w:rsidRPr="004C1013">
              <w:t>2015</w:t>
            </w:r>
          </w:p>
        </w:tc>
        <w:tc>
          <w:tcPr>
            <w:tcW w:w="1423" w:type="pct"/>
            <w:hideMark/>
          </w:tcPr>
          <w:p w:rsidR="0025522E" w:rsidRPr="004C1013" w:rsidRDefault="0025522E" w:rsidP="0025522E">
            <w:pPr>
              <w:pStyle w:val="tabbielystyl"/>
            </w:pPr>
            <w:r w:rsidRPr="004C1013">
              <w:t>12.</w:t>
            </w:r>
          </w:p>
        </w:tc>
        <w:tc>
          <w:tcPr>
            <w:tcW w:w="2178" w:type="pct"/>
            <w:hideMark/>
          </w:tcPr>
          <w:p w:rsidR="0025522E" w:rsidRPr="004C1013" w:rsidRDefault="0025522E" w:rsidP="0025522E">
            <w:pPr>
              <w:pStyle w:val="tabbielystyl"/>
            </w:pPr>
            <w:r w:rsidRPr="004C1013">
              <w:t>2 199,0</w:t>
            </w:r>
          </w:p>
        </w:tc>
      </w:tr>
      <w:tr w:rsidR="0025522E" w:rsidRPr="004C1013" w:rsidTr="00404B50">
        <w:trPr>
          <w:trHeight w:val="300"/>
        </w:trPr>
        <w:tc>
          <w:tcPr>
            <w:tcW w:w="1399" w:type="pct"/>
            <w:hideMark/>
          </w:tcPr>
          <w:p w:rsidR="0025522E" w:rsidRPr="004C1013" w:rsidRDefault="0025522E" w:rsidP="0025522E">
            <w:pPr>
              <w:pStyle w:val="tabbielystyl"/>
            </w:pPr>
            <w:r w:rsidRPr="004C1013">
              <w:t>2016</w:t>
            </w:r>
          </w:p>
        </w:tc>
        <w:tc>
          <w:tcPr>
            <w:tcW w:w="1423" w:type="pct"/>
            <w:hideMark/>
          </w:tcPr>
          <w:p w:rsidR="0025522E" w:rsidRPr="004C1013" w:rsidRDefault="0025522E" w:rsidP="0025522E">
            <w:pPr>
              <w:pStyle w:val="tabbielystyl"/>
            </w:pPr>
            <w:r w:rsidRPr="004C1013">
              <w:t>13.</w:t>
            </w:r>
          </w:p>
        </w:tc>
        <w:tc>
          <w:tcPr>
            <w:tcW w:w="2178" w:type="pct"/>
            <w:hideMark/>
          </w:tcPr>
          <w:p w:rsidR="0025522E" w:rsidRPr="004C1013" w:rsidRDefault="0025522E" w:rsidP="0025522E">
            <w:pPr>
              <w:pStyle w:val="tabbielystyl"/>
            </w:pPr>
            <w:r w:rsidRPr="004C1013">
              <w:t>2 199,0</w:t>
            </w:r>
          </w:p>
        </w:tc>
      </w:tr>
      <w:tr w:rsidR="0025522E" w:rsidRPr="004C1013" w:rsidTr="00404B50">
        <w:trPr>
          <w:trHeight w:val="300"/>
        </w:trPr>
        <w:tc>
          <w:tcPr>
            <w:tcW w:w="1399" w:type="pct"/>
            <w:hideMark/>
          </w:tcPr>
          <w:p w:rsidR="0025522E" w:rsidRPr="004C1013" w:rsidRDefault="0025522E" w:rsidP="0025522E">
            <w:pPr>
              <w:pStyle w:val="tabbielystyl"/>
            </w:pPr>
            <w:r w:rsidRPr="004C1013">
              <w:t>2017</w:t>
            </w:r>
          </w:p>
        </w:tc>
        <w:tc>
          <w:tcPr>
            <w:tcW w:w="1423" w:type="pct"/>
            <w:hideMark/>
          </w:tcPr>
          <w:p w:rsidR="0025522E" w:rsidRPr="004C1013" w:rsidRDefault="0025522E" w:rsidP="0025522E">
            <w:pPr>
              <w:pStyle w:val="tabbielystyl"/>
            </w:pPr>
            <w:r w:rsidRPr="004C1013">
              <w:t>14.</w:t>
            </w:r>
          </w:p>
        </w:tc>
        <w:tc>
          <w:tcPr>
            <w:tcW w:w="2178" w:type="pct"/>
            <w:hideMark/>
          </w:tcPr>
          <w:p w:rsidR="0025522E" w:rsidRPr="004C1013" w:rsidRDefault="0025522E" w:rsidP="0025522E">
            <w:pPr>
              <w:pStyle w:val="tabbielystyl"/>
            </w:pPr>
            <w:r w:rsidRPr="004C1013">
              <w:t>2 223,0</w:t>
            </w:r>
          </w:p>
        </w:tc>
      </w:tr>
      <w:tr w:rsidR="0025522E" w:rsidRPr="004C1013" w:rsidTr="00404B50">
        <w:trPr>
          <w:trHeight w:val="300"/>
        </w:trPr>
        <w:tc>
          <w:tcPr>
            <w:tcW w:w="1399" w:type="pct"/>
            <w:hideMark/>
          </w:tcPr>
          <w:p w:rsidR="0025522E" w:rsidRPr="004C1013" w:rsidRDefault="0025522E" w:rsidP="0025522E">
            <w:pPr>
              <w:pStyle w:val="tabbielystyl"/>
            </w:pPr>
            <w:r w:rsidRPr="004C1013">
              <w:t>2018</w:t>
            </w:r>
          </w:p>
        </w:tc>
        <w:tc>
          <w:tcPr>
            <w:tcW w:w="1423" w:type="pct"/>
            <w:hideMark/>
          </w:tcPr>
          <w:p w:rsidR="0025522E" w:rsidRPr="004C1013" w:rsidRDefault="0025522E" w:rsidP="0025522E">
            <w:pPr>
              <w:pStyle w:val="tabbielystyl"/>
            </w:pPr>
            <w:r w:rsidRPr="004C1013">
              <w:t>15.</w:t>
            </w:r>
          </w:p>
        </w:tc>
        <w:tc>
          <w:tcPr>
            <w:tcW w:w="2178" w:type="pct"/>
            <w:hideMark/>
          </w:tcPr>
          <w:p w:rsidR="0025522E" w:rsidRPr="004C1013" w:rsidRDefault="0025522E" w:rsidP="0025522E">
            <w:pPr>
              <w:pStyle w:val="tabbielystyl"/>
            </w:pPr>
            <w:r w:rsidRPr="004C1013">
              <w:t>2 223,0</w:t>
            </w:r>
          </w:p>
        </w:tc>
      </w:tr>
    </w:tbl>
    <w:p w:rsidR="0025522E" w:rsidRPr="004C1013" w:rsidRDefault="0025522E" w:rsidP="0025522E">
      <w:pPr>
        <w:pStyle w:val="Nadpis3"/>
        <w:rPr>
          <w:rFonts w:asciiTheme="minorHAnsi" w:hAnsiTheme="minorHAnsi" w:cstheme="minorHAnsi"/>
        </w:rPr>
      </w:pPr>
      <w:bookmarkStart w:id="86" w:name="_Toc20687931"/>
      <w:bookmarkStart w:id="87" w:name="_Toc36664374"/>
      <w:r w:rsidRPr="004C1013">
        <w:rPr>
          <w:rFonts w:asciiTheme="minorHAnsi" w:hAnsiTheme="minorHAnsi" w:cstheme="minorHAnsi"/>
        </w:rPr>
        <w:t>Dopravné výkony na vymedzených úsekoch ciest</w:t>
      </w:r>
      <w:bookmarkEnd w:id="86"/>
      <w:bookmarkEnd w:id="87"/>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Údaje o dopravných výkonoch na sieti vymedzených úsekov ciest v Rakúsku boli získané z viacerých dostupných zdrojov, predovšetkým publikovaných dokumentov ASECAP [15], [16], spoločnosti ASFINAG [23] a odbornej literatúry [22]. Údaje zverejnené v týchto zdrojoch boli navzájom porovnané a validované vzájomným prepočtom (</w:t>
      </w:r>
      <w:r w:rsidR="00C40D3F">
        <w:fldChar w:fldCharType="begin"/>
      </w:r>
      <w:r w:rsidR="00C40D3F">
        <w:instrText xml:space="preserve"> REF _Ref20150254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18</w:t>
      </w:r>
      <w:r w:rsidR="00C40D3F">
        <w:fldChar w:fldCharType="end"/>
      </w:r>
      <w:r w:rsidRPr="004C1013">
        <w:rPr>
          <w:rFonts w:asciiTheme="minorHAnsi" w:hAnsiTheme="minorHAnsi" w:cstheme="minorHAnsi"/>
        </w:rPr>
        <w:t xml:space="preserve">). </w:t>
      </w:r>
    </w:p>
    <w:p w:rsidR="0025522E" w:rsidRPr="004C1013" w:rsidRDefault="0025522E" w:rsidP="006B1C25">
      <w:pPr>
        <w:pStyle w:val="Popis"/>
      </w:pPr>
      <w:bookmarkStart w:id="88" w:name="_Ref20150254"/>
      <w:bookmarkStart w:id="89" w:name="_Toc36664460"/>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18</w:t>
      </w:r>
      <w:r w:rsidR="00C40D3F">
        <w:rPr>
          <w:noProof/>
        </w:rPr>
        <w:fldChar w:fldCharType="end"/>
      </w:r>
      <w:bookmarkEnd w:id="88"/>
      <w:r w:rsidRPr="004C1013">
        <w:tab/>
        <w:t>Rešerš dostupnej literatúry  - dopravné výkony na vymedzených úsekoch ciest v Rakúsku</w:t>
      </w:r>
      <w:bookmarkEnd w:id="89"/>
      <w:r w:rsidRPr="004C1013">
        <w:t xml:space="preserve"> </w:t>
      </w:r>
    </w:p>
    <w:tbl>
      <w:tblPr>
        <w:tblStyle w:val="tabulkaVUD"/>
        <w:tblW w:w="5000" w:type="pct"/>
        <w:tblLayout w:type="fixed"/>
        <w:tblLook w:val="04A0" w:firstRow="1" w:lastRow="0" w:firstColumn="1" w:lastColumn="0" w:noHBand="0" w:noVBand="1"/>
      </w:tblPr>
      <w:tblGrid>
        <w:gridCol w:w="1002"/>
        <w:gridCol w:w="906"/>
        <w:gridCol w:w="954"/>
        <w:gridCol w:w="1562"/>
        <w:gridCol w:w="992"/>
        <w:gridCol w:w="1417"/>
        <w:gridCol w:w="1276"/>
        <w:gridCol w:w="1302"/>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532"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481" w:type="pct"/>
            <w:vMerge w:val="restart"/>
            <w:hideMark/>
          </w:tcPr>
          <w:p w:rsidR="0025522E" w:rsidRPr="004C1013" w:rsidRDefault="0025522E" w:rsidP="009D58D5">
            <w:pPr>
              <w:pStyle w:val="zahltab"/>
            </w:pPr>
            <w:r w:rsidRPr="004C1013">
              <w:t>Rok prevádzky</w:t>
            </w:r>
          </w:p>
        </w:tc>
        <w:tc>
          <w:tcPr>
            <w:tcW w:w="1337" w:type="pct"/>
            <w:gridSpan w:val="2"/>
          </w:tcPr>
          <w:p w:rsidR="0025522E" w:rsidRPr="004C1013" w:rsidRDefault="0025522E" w:rsidP="009D58D5">
            <w:pPr>
              <w:pStyle w:val="zahltab"/>
            </w:pPr>
            <w:r w:rsidRPr="004C1013">
              <w:t>Priemerná intenzita na 1km (voz/deň)</w:t>
            </w:r>
          </w:p>
        </w:tc>
        <w:tc>
          <w:tcPr>
            <w:tcW w:w="2650" w:type="pct"/>
            <w:gridSpan w:val="4"/>
          </w:tcPr>
          <w:p w:rsidR="0025522E" w:rsidRPr="004C1013" w:rsidRDefault="0025522E" w:rsidP="009D58D5">
            <w:pPr>
              <w:pStyle w:val="zahltab"/>
            </w:pPr>
            <w:r w:rsidRPr="004C1013">
              <w:t>Kumulované dopravné výkony</w:t>
            </w:r>
          </w:p>
          <w:p w:rsidR="0025522E" w:rsidRPr="004C1013" w:rsidRDefault="0025522E" w:rsidP="009D58D5">
            <w:pPr>
              <w:pStyle w:val="zahltab"/>
            </w:pPr>
            <w:r w:rsidRPr="004C1013">
              <w:t>(mil. vkm/rok)</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532" w:type="pct"/>
            <w:vMerge/>
            <w:shd w:val="clear" w:color="auto" w:fill="7F7F7F" w:themeFill="text1" w:themeFillTint="80"/>
            <w:hideMark/>
          </w:tcPr>
          <w:p w:rsidR="0025522E" w:rsidRPr="004C1013" w:rsidRDefault="0025522E" w:rsidP="009D58D5">
            <w:pPr>
              <w:pStyle w:val="zahltab"/>
            </w:pPr>
          </w:p>
        </w:tc>
        <w:tc>
          <w:tcPr>
            <w:tcW w:w="481" w:type="pct"/>
            <w:vMerge/>
            <w:hideMark/>
          </w:tcPr>
          <w:p w:rsidR="0025522E" w:rsidRPr="004C1013" w:rsidRDefault="0025522E" w:rsidP="009D58D5">
            <w:pPr>
              <w:pStyle w:val="zahltab"/>
            </w:pPr>
          </w:p>
        </w:tc>
        <w:tc>
          <w:tcPr>
            <w:tcW w:w="507" w:type="pct"/>
            <w:hideMark/>
          </w:tcPr>
          <w:p w:rsidR="0025522E" w:rsidRPr="004C1013" w:rsidRDefault="0025522E" w:rsidP="009D58D5">
            <w:pPr>
              <w:pStyle w:val="zahltab"/>
            </w:pPr>
            <w:r w:rsidRPr="004C1013">
              <w:t>ASECAP-B [15]</w:t>
            </w:r>
          </w:p>
        </w:tc>
        <w:tc>
          <w:tcPr>
            <w:tcW w:w="830" w:type="pct"/>
          </w:tcPr>
          <w:p w:rsidR="0025522E" w:rsidRPr="004C1013" w:rsidRDefault="0025522E" w:rsidP="009D58D5">
            <w:pPr>
              <w:pStyle w:val="zahltab"/>
            </w:pPr>
            <w:r w:rsidRPr="004C1013">
              <w:t>Prepočet</w:t>
            </w:r>
          </w:p>
          <w:p w:rsidR="0025522E" w:rsidRPr="004C1013" w:rsidRDefault="0025522E" w:rsidP="009D58D5">
            <w:pPr>
              <w:pStyle w:val="zahltab"/>
            </w:pPr>
            <w:r w:rsidRPr="004C1013">
              <w:t>podľa [22],[23]</w:t>
            </w:r>
          </w:p>
        </w:tc>
        <w:tc>
          <w:tcPr>
            <w:tcW w:w="527" w:type="pct"/>
          </w:tcPr>
          <w:p w:rsidR="0025522E" w:rsidRPr="004C1013" w:rsidRDefault="0025522E" w:rsidP="009D58D5">
            <w:pPr>
              <w:pStyle w:val="zahltab"/>
            </w:pPr>
            <w:r w:rsidRPr="004C1013">
              <w:t>ASECAP-NS</w:t>
            </w:r>
          </w:p>
          <w:p w:rsidR="0025522E" w:rsidRPr="004C1013" w:rsidRDefault="0025522E" w:rsidP="009D58D5">
            <w:pPr>
              <w:pStyle w:val="zahltab"/>
              <w:rPr>
                <w:bCs/>
              </w:rPr>
            </w:pPr>
            <w:r w:rsidRPr="004C1013">
              <w:t>[16]</w:t>
            </w:r>
          </w:p>
        </w:tc>
        <w:tc>
          <w:tcPr>
            <w:tcW w:w="753" w:type="pct"/>
          </w:tcPr>
          <w:p w:rsidR="0025522E" w:rsidRPr="004C1013" w:rsidRDefault="0025522E" w:rsidP="009D58D5">
            <w:pPr>
              <w:pStyle w:val="zahltab"/>
              <w:rPr>
                <w:bCs/>
              </w:rPr>
            </w:pPr>
            <w:r w:rsidRPr="004C1013">
              <w:t>Štátne inštitúcie [23]</w:t>
            </w:r>
          </w:p>
        </w:tc>
        <w:tc>
          <w:tcPr>
            <w:tcW w:w="678" w:type="pct"/>
          </w:tcPr>
          <w:p w:rsidR="0025522E" w:rsidRPr="004C1013" w:rsidRDefault="0025522E" w:rsidP="009D58D5">
            <w:pPr>
              <w:pStyle w:val="zahltab"/>
            </w:pPr>
            <w:r w:rsidRPr="004C1013">
              <w:t>Odborná lit.  [22]</w:t>
            </w:r>
          </w:p>
        </w:tc>
        <w:tc>
          <w:tcPr>
            <w:tcW w:w="692" w:type="pct"/>
          </w:tcPr>
          <w:p w:rsidR="0025522E" w:rsidRPr="004C1013" w:rsidRDefault="0025522E" w:rsidP="009D58D5">
            <w:pPr>
              <w:pStyle w:val="zahltab"/>
            </w:pPr>
            <w:r w:rsidRPr="004C1013">
              <w:t xml:space="preserve">Prepočet </w:t>
            </w:r>
            <w:r w:rsidRPr="004C1013">
              <w:rPr>
                <w:bCs/>
              </w:rPr>
              <w:t xml:space="preserve">podľa </w:t>
            </w:r>
            <w:r w:rsidRPr="004C1013">
              <w:t>[15])</w:t>
            </w:r>
          </w:p>
        </w:tc>
      </w:tr>
      <w:tr w:rsidR="0025522E" w:rsidRPr="004C1013" w:rsidTr="00404B50">
        <w:trPr>
          <w:trHeight w:val="283"/>
        </w:trPr>
        <w:tc>
          <w:tcPr>
            <w:tcW w:w="532" w:type="pct"/>
            <w:hideMark/>
          </w:tcPr>
          <w:p w:rsidR="0025522E" w:rsidRPr="004C1013" w:rsidRDefault="0025522E" w:rsidP="0025522E">
            <w:pPr>
              <w:pStyle w:val="tabbielystyl"/>
            </w:pPr>
            <w:r w:rsidRPr="004C1013">
              <w:t>2004</w:t>
            </w:r>
          </w:p>
        </w:tc>
        <w:tc>
          <w:tcPr>
            <w:tcW w:w="481" w:type="pct"/>
            <w:hideMark/>
          </w:tcPr>
          <w:p w:rsidR="0025522E" w:rsidRPr="004C1013" w:rsidRDefault="0025522E" w:rsidP="0025522E">
            <w:pPr>
              <w:pStyle w:val="tabbielystyl"/>
            </w:pPr>
            <w:r w:rsidRPr="004C1013">
              <w:t>1.</w:t>
            </w:r>
          </w:p>
        </w:tc>
        <w:tc>
          <w:tcPr>
            <w:tcW w:w="507" w:type="pct"/>
            <w:hideMark/>
          </w:tcPr>
          <w:p w:rsidR="0025522E" w:rsidRPr="004C1013" w:rsidRDefault="0025522E" w:rsidP="0025522E">
            <w:pPr>
              <w:pStyle w:val="tabbielystyl"/>
            </w:pPr>
            <w:r w:rsidRPr="004C1013">
              <w:t>5 127</w:t>
            </w:r>
          </w:p>
        </w:tc>
        <w:tc>
          <w:tcPr>
            <w:tcW w:w="830" w:type="pct"/>
            <w:vAlign w:val="bottom"/>
          </w:tcPr>
          <w:p w:rsidR="0025522E" w:rsidRPr="004C1013" w:rsidRDefault="0025522E" w:rsidP="0025522E">
            <w:pPr>
              <w:pStyle w:val="tabbielystyl"/>
            </w:pPr>
            <w:r w:rsidRPr="004C1013">
              <w:t>3 637</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N/A</w:t>
            </w:r>
          </w:p>
        </w:tc>
        <w:tc>
          <w:tcPr>
            <w:tcW w:w="678" w:type="pct"/>
            <w:vAlign w:val="bottom"/>
          </w:tcPr>
          <w:p w:rsidR="0025522E" w:rsidRPr="004C1013" w:rsidRDefault="0025522E" w:rsidP="0025522E">
            <w:pPr>
              <w:pStyle w:val="tabbielystyl"/>
            </w:pPr>
            <w:r w:rsidRPr="004C1013">
              <w:t>2 700</w:t>
            </w:r>
          </w:p>
        </w:tc>
        <w:tc>
          <w:tcPr>
            <w:tcW w:w="692" w:type="pct"/>
            <w:vAlign w:val="bottom"/>
          </w:tcPr>
          <w:p w:rsidR="0025522E" w:rsidRPr="004C1013" w:rsidRDefault="0025522E" w:rsidP="0025522E">
            <w:pPr>
              <w:pStyle w:val="tabbielystyl"/>
            </w:pPr>
            <w:r w:rsidRPr="004C1013">
              <w:t>3 806,34</w:t>
            </w:r>
          </w:p>
        </w:tc>
      </w:tr>
      <w:tr w:rsidR="0025522E" w:rsidRPr="004C1013" w:rsidTr="00404B50">
        <w:trPr>
          <w:trHeight w:val="283"/>
        </w:trPr>
        <w:tc>
          <w:tcPr>
            <w:tcW w:w="532" w:type="pct"/>
            <w:hideMark/>
          </w:tcPr>
          <w:p w:rsidR="0025522E" w:rsidRPr="004C1013" w:rsidRDefault="0025522E" w:rsidP="0025522E">
            <w:pPr>
              <w:pStyle w:val="tabbielystyl"/>
            </w:pPr>
            <w:r w:rsidRPr="004C1013">
              <w:t>2005</w:t>
            </w:r>
          </w:p>
        </w:tc>
        <w:tc>
          <w:tcPr>
            <w:tcW w:w="481" w:type="pct"/>
            <w:hideMark/>
          </w:tcPr>
          <w:p w:rsidR="0025522E" w:rsidRPr="004C1013" w:rsidRDefault="0025522E" w:rsidP="0025522E">
            <w:pPr>
              <w:pStyle w:val="tabbielystyl"/>
            </w:pPr>
            <w:r w:rsidRPr="004C1013">
              <w:t>2.</w:t>
            </w:r>
          </w:p>
        </w:tc>
        <w:tc>
          <w:tcPr>
            <w:tcW w:w="507" w:type="pct"/>
            <w:hideMark/>
          </w:tcPr>
          <w:p w:rsidR="0025522E" w:rsidRPr="004C1013" w:rsidRDefault="0025522E" w:rsidP="0025522E">
            <w:pPr>
              <w:pStyle w:val="tabbielystyl"/>
            </w:pPr>
            <w:r w:rsidRPr="004C1013">
              <w:t>5 267</w:t>
            </w:r>
          </w:p>
        </w:tc>
        <w:tc>
          <w:tcPr>
            <w:tcW w:w="830" w:type="pct"/>
            <w:vAlign w:val="bottom"/>
          </w:tcPr>
          <w:p w:rsidR="0025522E" w:rsidRPr="004C1013" w:rsidRDefault="0025522E" w:rsidP="0025522E">
            <w:pPr>
              <w:pStyle w:val="tabbielystyl"/>
            </w:pPr>
            <w:r w:rsidRPr="004C1013">
              <w:t>3 702</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N/A</w:t>
            </w:r>
          </w:p>
        </w:tc>
        <w:tc>
          <w:tcPr>
            <w:tcW w:w="678" w:type="pct"/>
            <w:vAlign w:val="bottom"/>
          </w:tcPr>
          <w:p w:rsidR="0025522E" w:rsidRPr="004C1013" w:rsidRDefault="0025522E" w:rsidP="0025522E">
            <w:pPr>
              <w:pStyle w:val="tabbielystyl"/>
            </w:pPr>
            <w:r w:rsidRPr="004C1013">
              <w:t>2 750</w:t>
            </w:r>
          </w:p>
        </w:tc>
        <w:tc>
          <w:tcPr>
            <w:tcW w:w="692" w:type="pct"/>
            <w:vAlign w:val="bottom"/>
          </w:tcPr>
          <w:p w:rsidR="0025522E" w:rsidRPr="004C1013" w:rsidRDefault="0025522E" w:rsidP="0025522E">
            <w:pPr>
              <w:pStyle w:val="tabbielystyl"/>
            </w:pPr>
            <w:r w:rsidRPr="004C1013">
              <w:t>3 912,20</w:t>
            </w:r>
          </w:p>
        </w:tc>
      </w:tr>
      <w:tr w:rsidR="0025522E" w:rsidRPr="004C1013" w:rsidTr="00404B50">
        <w:trPr>
          <w:trHeight w:val="283"/>
        </w:trPr>
        <w:tc>
          <w:tcPr>
            <w:tcW w:w="532" w:type="pct"/>
            <w:hideMark/>
          </w:tcPr>
          <w:p w:rsidR="0025522E" w:rsidRPr="004C1013" w:rsidRDefault="0025522E" w:rsidP="0025522E">
            <w:pPr>
              <w:pStyle w:val="tabbielystyl"/>
            </w:pPr>
            <w:r w:rsidRPr="004C1013">
              <w:t>2006</w:t>
            </w:r>
          </w:p>
        </w:tc>
        <w:tc>
          <w:tcPr>
            <w:tcW w:w="481" w:type="pct"/>
            <w:hideMark/>
          </w:tcPr>
          <w:p w:rsidR="0025522E" w:rsidRPr="004C1013" w:rsidRDefault="0025522E" w:rsidP="0025522E">
            <w:pPr>
              <w:pStyle w:val="tabbielystyl"/>
            </w:pPr>
            <w:r w:rsidRPr="004C1013">
              <w:t>3.</w:t>
            </w:r>
          </w:p>
        </w:tc>
        <w:tc>
          <w:tcPr>
            <w:tcW w:w="507" w:type="pct"/>
            <w:hideMark/>
          </w:tcPr>
          <w:p w:rsidR="0025522E" w:rsidRPr="004C1013" w:rsidRDefault="0025522E" w:rsidP="0025522E">
            <w:pPr>
              <w:pStyle w:val="tabbielystyl"/>
            </w:pPr>
            <w:r w:rsidRPr="004C1013">
              <w:t>5 423</w:t>
            </w:r>
          </w:p>
        </w:tc>
        <w:tc>
          <w:tcPr>
            <w:tcW w:w="830" w:type="pct"/>
            <w:vAlign w:val="bottom"/>
          </w:tcPr>
          <w:p w:rsidR="0025522E" w:rsidRPr="004C1013" w:rsidRDefault="0025522E" w:rsidP="0025522E">
            <w:pPr>
              <w:pStyle w:val="tabbielystyl"/>
            </w:pPr>
            <w:r w:rsidRPr="004C1013">
              <w:t>3 907</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N/A</w:t>
            </w:r>
          </w:p>
        </w:tc>
        <w:tc>
          <w:tcPr>
            <w:tcW w:w="678" w:type="pct"/>
            <w:vAlign w:val="bottom"/>
          </w:tcPr>
          <w:p w:rsidR="0025522E" w:rsidRPr="004C1013" w:rsidRDefault="0025522E" w:rsidP="0025522E">
            <w:pPr>
              <w:pStyle w:val="tabbielystyl"/>
            </w:pPr>
            <w:r w:rsidRPr="004C1013">
              <w:t>2 940</w:t>
            </w:r>
          </w:p>
        </w:tc>
        <w:tc>
          <w:tcPr>
            <w:tcW w:w="692" w:type="pct"/>
            <w:vAlign w:val="bottom"/>
          </w:tcPr>
          <w:p w:rsidR="0025522E" w:rsidRPr="004C1013" w:rsidRDefault="0025522E" w:rsidP="0025522E">
            <w:pPr>
              <w:pStyle w:val="tabbielystyl"/>
            </w:pPr>
            <w:r w:rsidRPr="004C1013">
              <w:t>4 081,12</w:t>
            </w:r>
          </w:p>
        </w:tc>
      </w:tr>
      <w:tr w:rsidR="0025522E" w:rsidRPr="004C1013" w:rsidTr="00404B50">
        <w:trPr>
          <w:trHeight w:val="283"/>
        </w:trPr>
        <w:tc>
          <w:tcPr>
            <w:tcW w:w="532" w:type="pct"/>
            <w:hideMark/>
          </w:tcPr>
          <w:p w:rsidR="0025522E" w:rsidRPr="004C1013" w:rsidRDefault="0025522E" w:rsidP="0025522E">
            <w:pPr>
              <w:pStyle w:val="tabbielystyl"/>
            </w:pPr>
            <w:r w:rsidRPr="004C1013">
              <w:t>2007</w:t>
            </w:r>
          </w:p>
        </w:tc>
        <w:tc>
          <w:tcPr>
            <w:tcW w:w="481" w:type="pct"/>
            <w:hideMark/>
          </w:tcPr>
          <w:p w:rsidR="0025522E" w:rsidRPr="004C1013" w:rsidRDefault="0025522E" w:rsidP="0025522E">
            <w:pPr>
              <w:pStyle w:val="tabbielystyl"/>
            </w:pPr>
            <w:r w:rsidRPr="004C1013">
              <w:t>4.</w:t>
            </w:r>
          </w:p>
        </w:tc>
        <w:tc>
          <w:tcPr>
            <w:tcW w:w="507" w:type="pct"/>
            <w:hideMark/>
          </w:tcPr>
          <w:p w:rsidR="0025522E" w:rsidRPr="004C1013" w:rsidRDefault="0025522E" w:rsidP="0025522E">
            <w:pPr>
              <w:pStyle w:val="tabbielystyl"/>
            </w:pPr>
            <w:r w:rsidRPr="004C1013">
              <w:t>5 759</w:t>
            </w:r>
          </w:p>
        </w:tc>
        <w:tc>
          <w:tcPr>
            <w:tcW w:w="830" w:type="pct"/>
            <w:vAlign w:val="bottom"/>
          </w:tcPr>
          <w:p w:rsidR="0025522E" w:rsidRPr="004C1013" w:rsidRDefault="0025522E" w:rsidP="0025522E">
            <w:pPr>
              <w:pStyle w:val="tabbielystyl"/>
            </w:pPr>
            <w:r w:rsidRPr="004C1013">
              <w:t>4 247</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3 261</w:t>
            </w:r>
          </w:p>
        </w:tc>
        <w:tc>
          <w:tcPr>
            <w:tcW w:w="678" w:type="pct"/>
            <w:vAlign w:val="bottom"/>
          </w:tcPr>
          <w:p w:rsidR="0025522E" w:rsidRPr="004C1013" w:rsidRDefault="0025522E" w:rsidP="0025522E">
            <w:pPr>
              <w:pStyle w:val="tabbielystyl"/>
            </w:pPr>
            <w:r w:rsidRPr="004C1013">
              <w:t>3 260</w:t>
            </w:r>
          </w:p>
        </w:tc>
        <w:tc>
          <w:tcPr>
            <w:tcW w:w="692" w:type="pct"/>
            <w:vAlign w:val="bottom"/>
          </w:tcPr>
          <w:p w:rsidR="0025522E" w:rsidRPr="004C1013" w:rsidRDefault="0025522E" w:rsidP="0025522E">
            <w:pPr>
              <w:pStyle w:val="tabbielystyl"/>
            </w:pPr>
            <w:r w:rsidRPr="004C1013">
              <w:t>4 422,05</w:t>
            </w:r>
          </w:p>
        </w:tc>
      </w:tr>
      <w:tr w:rsidR="0025522E" w:rsidRPr="004C1013" w:rsidTr="00404B50">
        <w:trPr>
          <w:trHeight w:val="283"/>
        </w:trPr>
        <w:tc>
          <w:tcPr>
            <w:tcW w:w="532" w:type="pct"/>
            <w:hideMark/>
          </w:tcPr>
          <w:p w:rsidR="0025522E" w:rsidRPr="004C1013" w:rsidRDefault="0025522E" w:rsidP="0025522E">
            <w:pPr>
              <w:pStyle w:val="tabbielystyl"/>
            </w:pPr>
            <w:r w:rsidRPr="004C1013">
              <w:t>2008</w:t>
            </w:r>
          </w:p>
        </w:tc>
        <w:tc>
          <w:tcPr>
            <w:tcW w:w="481" w:type="pct"/>
            <w:hideMark/>
          </w:tcPr>
          <w:p w:rsidR="0025522E" w:rsidRPr="004C1013" w:rsidRDefault="0025522E" w:rsidP="0025522E">
            <w:pPr>
              <w:pStyle w:val="tabbielystyl"/>
            </w:pPr>
            <w:r w:rsidRPr="004C1013">
              <w:t>5.</w:t>
            </w:r>
          </w:p>
        </w:tc>
        <w:tc>
          <w:tcPr>
            <w:tcW w:w="507" w:type="pct"/>
            <w:hideMark/>
          </w:tcPr>
          <w:p w:rsidR="0025522E" w:rsidRPr="004C1013" w:rsidRDefault="0025522E" w:rsidP="0025522E">
            <w:pPr>
              <w:pStyle w:val="tabbielystyl"/>
            </w:pPr>
            <w:r w:rsidRPr="004C1013">
              <w:t>4 214</w:t>
            </w:r>
          </w:p>
        </w:tc>
        <w:tc>
          <w:tcPr>
            <w:tcW w:w="830" w:type="pct"/>
            <w:vAlign w:val="bottom"/>
          </w:tcPr>
          <w:p w:rsidR="0025522E" w:rsidRPr="004C1013" w:rsidRDefault="0025522E" w:rsidP="0025522E">
            <w:pPr>
              <w:pStyle w:val="tabbielystyl"/>
            </w:pPr>
            <w:r w:rsidRPr="004C1013">
              <w:t>4 238</w:t>
            </w:r>
          </w:p>
        </w:tc>
        <w:tc>
          <w:tcPr>
            <w:tcW w:w="527" w:type="pct"/>
          </w:tcPr>
          <w:p w:rsidR="0025522E" w:rsidRPr="004C1013" w:rsidRDefault="0025522E" w:rsidP="0025522E">
            <w:pPr>
              <w:pStyle w:val="tabbielystyl"/>
            </w:pPr>
            <w:r w:rsidRPr="004C1013">
              <w:t>N/A</w:t>
            </w:r>
          </w:p>
        </w:tc>
        <w:tc>
          <w:tcPr>
            <w:tcW w:w="753" w:type="pct"/>
            <w:vAlign w:val="bottom"/>
          </w:tcPr>
          <w:p w:rsidR="0025522E" w:rsidRPr="004C1013" w:rsidRDefault="0025522E" w:rsidP="0025522E">
            <w:pPr>
              <w:pStyle w:val="tabbielystyl"/>
            </w:pPr>
            <w:r w:rsidRPr="004C1013">
              <w:t>3 254</w:t>
            </w:r>
          </w:p>
        </w:tc>
        <w:tc>
          <w:tcPr>
            <w:tcW w:w="678" w:type="pct"/>
            <w:vAlign w:val="bottom"/>
          </w:tcPr>
          <w:p w:rsidR="0025522E" w:rsidRPr="004C1013" w:rsidRDefault="0025522E" w:rsidP="0025522E">
            <w:pPr>
              <w:pStyle w:val="tabbielystyl"/>
            </w:pPr>
            <w:r w:rsidRPr="004C1013">
              <w:t>3 250</w:t>
            </w:r>
          </w:p>
        </w:tc>
        <w:tc>
          <w:tcPr>
            <w:tcW w:w="692" w:type="pct"/>
            <w:vAlign w:val="bottom"/>
          </w:tcPr>
          <w:p w:rsidR="0025522E" w:rsidRPr="004C1013" w:rsidRDefault="0025522E" w:rsidP="0025522E">
            <w:pPr>
              <w:pStyle w:val="tabbielystyl"/>
            </w:pPr>
            <w:r w:rsidRPr="004C1013">
              <w:t>3 235,72</w:t>
            </w:r>
          </w:p>
        </w:tc>
      </w:tr>
      <w:tr w:rsidR="0025522E" w:rsidRPr="004C1013" w:rsidTr="00404B50">
        <w:trPr>
          <w:trHeight w:val="283"/>
        </w:trPr>
        <w:tc>
          <w:tcPr>
            <w:tcW w:w="532" w:type="pct"/>
            <w:hideMark/>
          </w:tcPr>
          <w:p w:rsidR="0025522E" w:rsidRPr="004C1013" w:rsidRDefault="0025522E" w:rsidP="0025522E">
            <w:pPr>
              <w:pStyle w:val="tabbielystyl"/>
            </w:pPr>
            <w:r w:rsidRPr="004C1013">
              <w:t>2009</w:t>
            </w:r>
          </w:p>
        </w:tc>
        <w:tc>
          <w:tcPr>
            <w:tcW w:w="481" w:type="pct"/>
            <w:hideMark/>
          </w:tcPr>
          <w:p w:rsidR="0025522E" w:rsidRPr="004C1013" w:rsidRDefault="0025522E" w:rsidP="0025522E">
            <w:pPr>
              <w:pStyle w:val="tabbielystyl"/>
            </w:pPr>
            <w:r w:rsidRPr="004C1013">
              <w:t>6.</w:t>
            </w:r>
          </w:p>
        </w:tc>
        <w:tc>
          <w:tcPr>
            <w:tcW w:w="507" w:type="pct"/>
            <w:hideMark/>
          </w:tcPr>
          <w:p w:rsidR="0025522E" w:rsidRPr="004C1013" w:rsidRDefault="0025522E" w:rsidP="0025522E">
            <w:pPr>
              <w:pStyle w:val="tabbielystyl"/>
            </w:pPr>
            <w:r w:rsidRPr="004C1013">
              <w:t>3 703</w:t>
            </w:r>
          </w:p>
        </w:tc>
        <w:tc>
          <w:tcPr>
            <w:tcW w:w="830" w:type="pct"/>
            <w:vAlign w:val="bottom"/>
          </w:tcPr>
          <w:p w:rsidR="0025522E" w:rsidRPr="004C1013" w:rsidRDefault="0025522E" w:rsidP="0025522E">
            <w:pPr>
              <w:pStyle w:val="tabbielystyl"/>
            </w:pPr>
            <w:r w:rsidRPr="004C1013">
              <w:t>3 641</w:t>
            </w:r>
          </w:p>
        </w:tc>
        <w:tc>
          <w:tcPr>
            <w:tcW w:w="527" w:type="pct"/>
          </w:tcPr>
          <w:p w:rsidR="0025522E" w:rsidRPr="004C1013" w:rsidRDefault="0025522E" w:rsidP="0025522E">
            <w:pPr>
              <w:pStyle w:val="tabbielystyl"/>
            </w:pPr>
            <w:r w:rsidRPr="004C1013">
              <w:t>2 838,4</w:t>
            </w:r>
          </w:p>
        </w:tc>
        <w:tc>
          <w:tcPr>
            <w:tcW w:w="753" w:type="pct"/>
            <w:vAlign w:val="bottom"/>
          </w:tcPr>
          <w:p w:rsidR="0025522E" w:rsidRPr="004C1013" w:rsidRDefault="0025522E" w:rsidP="0025522E">
            <w:pPr>
              <w:pStyle w:val="tabbielystyl"/>
            </w:pPr>
            <w:r w:rsidRPr="004C1013">
              <w:t>2 838</w:t>
            </w:r>
          </w:p>
        </w:tc>
        <w:tc>
          <w:tcPr>
            <w:tcW w:w="678" w:type="pct"/>
            <w:vAlign w:val="bottom"/>
          </w:tcPr>
          <w:p w:rsidR="0025522E" w:rsidRPr="004C1013" w:rsidRDefault="0025522E" w:rsidP="0025522E">
            <w:pPr>
              <w:pStyle w:val="tabbielystyl"/>
            </w:pPr>
            <w:r w:rsidRPr="004C1013">
              <w:t>2 840</w:t>
            </w:r>
          </w:p>
        </w:tc>
        <w:tc>
          <w:tcPr>
            <w:tcW w:w="692" w:type="pct"/>
            <w:vAlign w:val="bottom"/>
          </w:tcPr>
          <w:p w:rsidR="0025522E" w:rsidRPr="004C1013" w:rsidRDefault="0025522E" w:rsidP="0025522E">
            <w:pPr>
              <w:pStyle w:val="tabbielystyl"/>
            </w:pPr>
            <w:r w:rsidRPr="004C1013">
              <w:t>2 886,47</w:t>
            </w:r>
          </w:p>
        </w:tc>
      </w:tr>
      <w:tr w:rsidR="0025522E" w:rsidRPr="004C1013" w:rsidTr="00404B50">
        <w:trPr>
          <w:trHeight w:val="283"/>
        </w:trPr>
        <w:tc>
          <w:tcPr>
            <w:tcW w:w="532" w:type="pct"/>
            <w:hideMark/>
          </w:tcPr>
          <w:p w:rsidR="0025522E" w:rsidRPr="004C1013" w:rsidRDefault="0025522E" w:rsidP="0025522E">
            <w:pPr>
              <w:pStyle w:val="tabbielystyl"/>
            </w:pPr>
            <w:r w:rsidRPr="004C1013">
              <w:t>2010</w:t>
            </w:r>
          </w:p>
        </w:tc>
        <w:tc>
          <w:tcPr>
            <w:tcW w:w="481" w:type="pct"/>
            <w:hideMark/>
          </w:tcPr>
          <w:p w:rsidR="0025522E" w:rsidRPr="004C1013" w:rsidRDefault="0025522E" w:rsidP="0025522E">
            <w:pPr>
              <w:pStyle w:val="tabbielystyl"/>
            </w:pPr>
            <w:r w:rsidRPr="004C1013">
              <w:t>7.</w:t>
            </w:r>
          </w:p>
        </w:tc>
        <w:tc>
          <w:tcPr>
            <w:tcW w:w="507" w:type="pct"/>
            <w:hideMark/>
          </w:tcPr>
          <w:p w:rsidR="0025522E" w:rsidRPr="004C1013" w:rsidRDefault="0025522E" w:rsidP="0025522E">
            <w:pPr>
              <w:pStyle w:val="tabbielystyl"/>
            </w:pPr>
            <w:r w:rsidRPr="004C1013">
              <w:t>3 806</w:t>
            </w:r>
          </w:p>
        </w:tc>
        <w:tc>
          <w:tcPr>
            <w:tcW w:w="830" w:type="pct"/>
            <w:vAlign w:val="bottom"/>
          </w:tcPr>
          <w:p w:rsidR="0025522E" w:rsidRPr="004C1013" w:rsidRDefault="0025522E" w:rsidP="0025522E">
            <w:pPr>
              <w:pStyle w:val="tabbielystyl"/>
            </w:pPr>
            <w:r w:rsidRPr="004C1013">
              <w:t>3 812</w:t>
            </w:r>
          </w:p>
        </w:tc>
        <w:tc>
          <w:tcPr>
            <w:tcW w:w="527" w:type="pct"/>
          </w:tcPr>
          <w:p w:rsidR="0025522E" w:rsidRPr="004C1013" w:rsidRDefault="0025522E" w:rsidP="0025522E">
            <w:pPr>
              <w:pStyle w:val="tabbielystyl"/>
            </w:pPr>
            <w:r w:rsidRPr="004C1013">
              <w:t>3 026,5</w:t>
            </w:r>
          </w:p>
        </w:tc>
        <w:tc>
          <w:tcPr>
            <w:tcW w:w="753" w:type="pct"/>
            <w:vAlign w:val="bottom"/>
          </w:tcPr>
          <w:p w:rsidR="0025522E" w:rsidRPr="004C1013" w:rsidRDefault="0025522E" w:rsidP="0025522E">
            <w:pPr>
              <w:pStyle w:val="tabbielystyl"/>
            </w:pPr>
            <w:r w:rsidRPr="004C1013">
              <w:t>3 027</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3 022,46</w:t>
            </w:r>
          </w:p>
        </w:tc>
      </w:tr>
      <w:tr w:rsidR="0025522E" w:rsidRPr="004C1013" w:rsidTr="00404B50">
        <w:trPr>
          <w:trHeight w:val="283"/>
        </w:trPr>
        <w:tc>
          <w:tcPr>
            <w:tcW w:w="532" w:type="pct"/>
            <w:hideMark/>
          </w:tcPr>
          <w:p w:rsidR="0025522E" w:rsidRPr="004C1013" w:rsidRDefault="0025522E" w:rsidP="0025522E">
            <w:pPr>
              <w:pStyle w:val="tabbielystyl"/>
            </w:pPr>
            <w:r w:rsidRPr="004C1013">
              <w:t>2011</w:t>
            </w:r>
          </w:p>
        </w:tc>
        <w:tc>
          <w:tcPr>
            <w:tcW w:w="481" w:type="pct"/>
            <w:hideMark/>
          </w:tcPr>
          <w:p w:rsidR="0025522E" w:rsidRPr="004C1013" w:rsidRDefault="0025522E" w:rsidP="0025522E">
            <w:pPr>
              <w:pStyle w:val="tabbielystyl"/>
            </w:pPr>
            <w:r w:rsidRPr="004C1013">
              <w:t>8.</w:t>
            </w:r>
          </w:p>
        </w:tc>
        <w:tc>
          <w:tcPr>
            <w:tcW w:w="507" w:type="pct"/>
            <w:hideMark/>
          </w:tcPr>
          <w:p w:rsidR="0025522E" w:rsidRPr="004C1013" w:rsidRDefault="0025522E" w:rsidP="0025522E">
            <w:pPr>
              <w:pStyle w:val="tabbielystyl"/>
            </w:pPr>
            <w:r w:rsidRPr="004C1013">
              <w:t>4 000</w:t>
            </w:r>
          </w:p>
        </w:tc>
        <w:tc>
          <w:tcPr>
            <w:tcW w:w="830" w:type="pct"/>
            <w:vAlign w:val="bottom"/>
          </w:tcPr>
          <w:p w:rsidR="0025522E" w:rsidRPr="004C1013" w:rsidRDefault="0025522E" w:rsidP="0025522E">
            <w:pPr>
              <w:pStyle w:val="tabbielystyl"/>
            </w:pPr>
            <w:r w:rsidRPr="004C1013">
              <w:t>3 953</w:t>
            </w:r>
          </w:p>
        </w:tc>
        <w:tc>
          <w:tcPr>
            <w:tcW w:w="527" w:type="pct"/>
          </w:tcPr>
          <w:p w:rsidR="0025522E" w:rsidRPr="004C1013" w:rsidRDefault="0025522E" w:rsidP="0025522E">
            <w:pPr>
              <w:pStyle w:val="tabbielystyl"/>
            </w:pPr>
            <w:r w:rsidRPr="004C1013">
              <w:t>3 138,6</w:t>
            </w:r>
          </w:p>
        </w:tc>
        <w:tc>
          <w:tcPr>
            <w:tcW w:w="753" w:type="pct"/>
            <w:vAlign w:val="bottom"/>
          </w:tcPr>
          <w:p w:rsidR="0025522E" w:rsidRPr="004C1013" w:rsidRDefault="0025522E" w:rsidP="0025522E">
            <w:pPr>
              <w:pStyle w:val="tabbielystyl"/>
            </w:pPr>
            <w:r w:rsidRPr="004C1013">
              <w:t>3 139</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3 176,52</w:t>
            </w:r>
          </w:p>
        </w:tc>
      </w:tr>
      <w:tr w:rsidR="0025522E" w:rsidRPr="004C1013" w:rsidTr="00404B50">
        <w:trPr>
          <w:trHeight w:val="283"/>
        </w:trPr>
        <w:tc>
          <w:tcPr>
            <w:tcW w:w="532" w:type="pct"/>
            <w:hideMark/>
          </w:tcPr>
          <w:p w:rsidR="0025522E" w:rsidRPr="004C1013" w:rsidRDefault="0025522E" w:rsidP="0025522E">
            <w:pPr>
              <w:pStyle w:val="tabbielystyl"/>
            </w:pPr>
            <w:r w:rsidRPr="004C1013">
              <w:t>2012</w:t>
            </w:r>
          </w:p>
        </w:tc>
        <w:tc>
          <w:tcPr>
            <w:tcW w:w="481" w:type="pct"/>
            <w:hideMark/>
          </w:tcPr>
          <w:p w:rsidR="0025522E" w:rsidRPr="004C1013" w:rsidRDefault="0025522E" w:rsidP="0025522E">
            <w:pPr>
              <w:pStyle w:val="tabbielystyl"/>
            </w:pPr>
            <w:r w:rsidRPr="004C1013">
              <w:t>9.</w:t>
            </w:r>
          </w:p>
        </w:tc>
        <w:tc>
          <w:tcPr>
            <w:tcW w:w="507" w:type="pct"/>
            <w:hideMark/>
          </w:tcPr>
          <w:p w:rsidR="0025522E" w:rsidRPr="004C1013" w:rsidRDefault="0025522E" w:rsidP="0025522E">
            <w:pPr>
              <w:pStyle w:val="tabbielystyl"/>
            </w:pPr>
            <w:r w:rsidRPr="004C1013">
              <w:t>3 903</w:t>
            </w:r>
          </w:p>
        </w:tc>
        <w:tc>
          <w:tcPr>
            <w:tcW w:w="830" w:type="pct"/>
            <w:vAlign w:val="bottom"/>
          </w:tcPr>
          <w:p w:rsidR="0025522E" w:rsidRPr="004C1013" w:rsidRDefault="0025522E" w:rsidP="0025522E">
            <w:pPr>
              <w:pStyle w:val="tabbielystyl"/>
            </w:pPr>
            <w:r w:rsidRPr="004C1013">
              <w:t>3 938</w:t>
            </w:r>
          </w:p>
        </w:tc>
        <w:tc>
          <w:tcPr>
            <w:tcW w:w="527" w:type="pct"/>
          </w:tcPr>
          <w:p w:rsidR="0025522E" w:rsidRPr="004C1013" w:rsidRDefault="0025522E" w:rsidP="0025522E">
            <w:pPr>
              <w:pStyle w:val="tabbielystyl"/>
            </w:pPr>
            <w:r w:rsidRPr="004C1013">
              <w:t>3 139,7</w:t>
            </w:r>
          </w:p>
        </w:tc>
        <w:tc>
          <w:tcPr>
            <w:tcW w:w="753" w:type="pct"/>
            <w:vAlign w:val="bottom"/>
          </w:tcPr>
          <w:p w:rsidR="0025522E" w:rsidRPr="004C1013" w:rsidRDefault="0025522E" w:rsidP="0025522E">
            <w:pPr>
              <w:pStyle w:val="tabbielystyl"/>
            </w:pPr>
            <w:r w:rsidRPr="004C1013">
              <w:t>3 130</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3 101,91</w:t>
            </w:r>
          </w:p>
        </w:tc>
      </w:tr>
      <w:tr w:rsidR="0025522E" w:rsidRPr="004C1013" w:rsidTr="00404B50">
        <w:trPr>
          <w:trHeight w:val="283"/>
        </w:trPr>
        <w:tc>
          <w:tcPr>
            <w:tcW w:w="532" w:type="pct"/>
            <w:hideMark/>
          </w:tcPr>
          <w:p w:rsidR="0025522E" w:rsidRPr="004C1013" w:rsidRDefault="0025522E" w:rsidP="0025522E">
            <w:pPr>
              <w:pStyle w:val="tabbielystyl"/>
            </w:pPr>
            <w:r w:rsidRPr="004C1013">
              <w:t>2013</w:t>
            </w:r>
          </w:p>
        </w:tc>
        <w:tc>
          <w:tcPr>
            <w:tcW w:w="481" w:type="pct"/>
            <w:hideMark/>
          </w:tcPr>
          <w:p w:rsidR="0025522E" w:rsidRPr="004C1013" w:rsidRDefault="0025522E" w:rsidP="0025522E">
            <w:pPr>
              <w:pStyle w:val="tabbielystyl"/>
            </w:pPr>
            <w:r w:rsidRPr="004C1013">
              <w:t>10.</w:t>
            </w:r>
          </w:p>
        </w:tc>
        <w:tc>
          <w:tcPr>
            <w:tcW w:w="507" w:type="pct"/>
            <w:hideMark/>
          </w:tcPr>
          <w:p w:rsidR="0025522E" w:rsidRPr="004C1013" w:rsidRDefault="0025522E" w:rsidP="0025522E">
            <w:pPr>
              <w:pStyle w:val="tabbielystyl"/>
            </w:pPr>
            <w:r w:rsidRPr="004C1013">
              <w:t>3 967</w:t>
            </w:r>
          </w:p>
        </w:tc>
        <w:tc>
          <w:tcPr>
            <w:tcW w:w="830" w:type="pct"/>
            <w:vAlign w:val="bottom"/>
          </w:tcPr>
          <w:p w:rsidR="0025522E" w:rsidRPr="004C1013" w:rsidRDefault="0025522E" w:rsidP="0025522E">
            <w:pPr>
              <w:pStyle w:val="tabbielystyl"/>
            </w:pPr>
            <w:r w:rsidRPr="004C1013">
              <w:t>3 999</w:t>
            </w:r>
          </w:p>
        </w:tc>
        <w:tc>
          <w:tcPr>
            <w:tcW w:w="527" w:type="pct"/>
          </w:tcPr>
          <w:p w:rsidR="0025522E" w:rsidRPr="004C1013" w:rsidRDefault="0025522E" w:rsidP="0025522E">
            <w:pPr>
              <w:pStyle w:val="tabbielystyl"/>
            </w:pPr>
            <w:r w:rsidRPr="004C1013">
              <w:t>3 178,3</w:t>
            </w:r>
          </w:p>
        </w:tc>
        <w:tc>
          <w:tcPr>
            <w:tcW w:w="753" w:type="pct"/>
            <w:vAlign w:val="bottom"/>
          </w:tcPr>
          <w:p w:rsidR="0025522E" w:rsidRPr="004C1013" w:rsidRDefault="0025522E" w:rsidP="0025522E">
            <w:pPr>
              <w:pStyle w:val="tabbielystyl"/>
            </w:pPr>
            <w:r w:rsidRPr="004C1013">
              <w:t>3 178</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3 152,78</w:t>
            </w:r>
          </w:p>
        </w:tc>
      </w:tr>
      <w:tr w:rsidR="0025522E" w:rsidRPr="004C1013" w:rsidTr="00404B50">
        <w:trPr>
          <w:trHeight w:val="283"/>
        </w:trPr>
        <w:tc>
          <w:tcPr>
            <w:tcW w:w="532" w:type="pct"/>
            <w:hideMark/>
          </w:tcPr>
          <w:p w:rsidR="0025522E" w:rsidRPr="004C1013" w:rsidRDefault="0025522E" w:rsidP="0025522E">
            <w:pPr>
              <w:pStyle w:val="tabbielystyl"/>
            </w:pPr>
            <w:r w:rsidRPr="004C1013">
              <w:t>2014</w:t>
            </w:r>
          </w:p>
        </w:tc>
        <w:tc>
          <w:tcPr>
            <w:tcW w:w="481" w:type="pct"/>
            <w:hideMark/>
          </w:tcPr>
          <w:p w:rsidR="0025522E" w:rsidRPr="004C1013" w:rsidRDefault="0025522E" w:rsidP="0025522E">
            <w:pPr>
              <w:pStyle w:val="tabbielystyl"/>
            </w:pPr>
            <w:r w:rsidRPr="004C1013">
              <w:t>11.</w:t>
            </w:r>
          </w:p>
        </w:tc>
        <w:tc>
          <w:tcPr>
            <w:tcW w:w="507" w:type="pct"/>
            <w:hideMark/>
          </w:tcPr>
          <w:p w:rsidR="0025522E" w:rsidRPr="004C1013" w:rsidRDefault="0025522E" w:rsidP="0025522E">
            <w:pPr>
              <w:pStyle w:val="tabbielystyl"/>
            </w:pPr>
            <w:r w:rsidRPr="004C1013">
              <w:t>4 066</w:t>
            </w:r>
          </w:p>
        </w:tc>
        <w:tc>
          <w:tcPr>
            <w:tcW w:w="830" w:type="pct"/>
            <w:vAlign w:val="bottom"/>
          </w:tcPr>
          <w:p w:rsidR="0025522E" w:rsidRPr="004C1013" w:rsidRDefault="0025522E" w:rsidP="0025522E">
            <w:pPr>
              <w:pStyle w:val="tabbielystyl"/>
            </w:pPr>
            <w:r w:rsidRPr="004C1013">
              <w:t>4 100</w:t>
            </w:r>
          </w:p>
        </w:tc>
        <w:tc>
          <w:tcPr>
            <w:tcW w:w="527" w:type="pct"/>
          </w:tcPr>
          <w:p w:rsidR="0025522E" w:rsidRPr="004C1013" w:rsidRDefault="0025522E" w:rsidP="0025522E">
            <w:pPr>
              <w:pStyle w:val="tabbielystyl"/>
            </w:pPr>
            <w:r w:rsidRPr="004C1013">
              <w:t>3 267,6</w:t>
            </w:r>
          </w:p>
        </w:tc>
        <w:tc>
          <w:tcPr>
            <w:tcW w:w="753" w:type="pct"/>
            <w:vAlign w:val="bottom"/>
          </w:tcPr>
          <w:p w:rsidR="0025522E" w:rsidRPr="004C1013" w:rsidRDefault="0025522E" w:rsidP="0025522E">
            <w:pPr>
              <w:pStyle w:val="tabbielystyl"/>
            </w:pPr>
            <w:r w:rsidRPr="004C1013">
              <w:t>3 268</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3 241,10</w:t>
            </w:r>
          </w:p>
        </w:tc>
      </w:tr>
      <w:tr w:rsidR="0025522E" w:rsidRPr="004C1013" w:rsidTr="00404B50">
        <w:trPr>
          <w:trHeight w:val="283"/>
        </w:trPr>
        <w:tc>
          <w:tcPr>
            <w:tcW w:w="532" w:type="pct"/>
            <w:hideMark/>
          </w:tcPr>
          <w:p w:rsidR="0025522E" w:rsidRPr="004C1013" w:rsidRDefault="0025522E" w:rsidP="0025522E">
            <w:pPr>
              <w:pStyle w:val="tabbielystyl"/>
            </w:pPr>
            <w:r w:rsidRPr="004C1013">
              <w:t>2015</w:t>
            </w:r>
          </w:p>
        </w:tc>
        <w:tc>
          <w:tcPr>
            <w:tcW w:w="481" w:type="pct"/>
            <w:hideMark/>
          </w:tcPr>
          <w:p w:rsidR="0025522E" w:rsidRPr="004C1013" w:rsidRDefault="0025522E" w:rsidP="0025522E">
            <w:pPr>
              <w:pStyle w:val="tabbielystyl"/>
            </w:pPr>
            <w:r w:rsidRPr="004C1013">
              <w:t>12.</w:t>
            </w:r>
          </w:p>
        </w:tc>
        <w:tc>
          <w:tcPr>
            <w:tcW w:w="507" w:type="pct"/>
            <w:hideMark/>
          </w:tcPr>
          <w:p w:rsidR="0025522E" w:rsidRPr="004C1013" w:rsidRDefault="0025522E" w:rsidP="0025522E">
            <w:pPr>
              <w:pStyle w:val="tabbielystyl"/>
            </w:pPr>
            <w:r w:rsidRPr="004C1013">
              <w:t>4 123</w:t>
            </w:r>
          </w:p>
        </w:tc>
        <w:tc>
          <w:tcPr>
            <w:tcW w:w="830" w:type="pct"/>
            <w:vAlign w:val="bottom"/>
          </w:tcPr>
          <w:p w:rsidR="0025522E" w:rsidRPr="004C1013" w:rsidRDefault="0025522E" w:rsidP="0025522E">
            <w:pPr>
              <w:pStyle w:val="tabbielystyl"/>
            </w:pPr>
            <w:r w:rsidRPr="004C1013">
              <w:t>4 155</w:t>
            </w:r>
          </w:p>
        </w:tc>
        <w:tc>
          <w:tcPr>
            <w:tcW w:w="527" w:type="pct"/>
          </w:tcPr>
          <w:p w:rsidR="0025522E" w:rsidRPr="004C1013" w:rsidRDefault="0025522E" w:rsidP="0025522E">
            <w:pPr>
              <w:pStyle w:val="tabbielystyl"/>
            </w:pPr>
            <w:r w:rsidRPr="004C1013">
              <w:t>3 335,0</w:t>
            </w:r>
          </w:p>
        </w:tc>
        <w:tc>
          <w:tcPr>
            <w:tcW w:w="753" w:type="pct"/>
            <w:vAlign w:val="bottom"/>
          </w:tcPr>
          <w:p w:rsidR="0025522E" w:rsidRPr="004C1013" w:rsidRDefault="0025522E" w:rsidP="0025522E">
            <w:pPr>
              <w:pStyle w:val="tabbielystyl"/>
            </w:pPr>
            <w:r w:rsidRPr="004C1013">
              <w:t>3 335</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3 309,26</w:t>
            </w:r>
          </w:p>
        </w:tc>
      </w:tr>
      <w:tr w:rsidR="0025522E" w:rsidRPr="004C1013" w:rsidTr="00404B50">
        <w:trPr>
          <w:trHeight w:val="283"/>
        </w:trPr>
        <w:tc>
          <w:tcPr>
            <w:tcW w:w="532" w:type="pct"/>
            <w:hideMark/>
          </w:tcPr>
          <w:p w:rsidR="0025522E" w:rsidRPr="004C1013" w:rsidRDefault="0025522E" w:rsidP="0025522E">
            <w:pPr>
              <w:pStyle w:val="tabbielystyl"/>
            </w:pPr>
            <w:r w:rsidRPr="004C1013">
              <w:t>2016</w:t>
            </w:r>
          </w:p>
        </w:tc>
        <w:tc>
          <w:tcPr>
            <w:tcW w:w="481" w:type="pct"/>
            <w:hideMark/>
          </w:tcPr>
          <w:p w:rsidR="0025522E" w:rsidRPr="004C1013" w:rsidRDefault="0025522E" w:rsidP="0025522E">
            <w:pPr>
              <w:pStyle w:val="tabbielystyl"/>
            </w:pPr>
            <w:r w:rsidRPr="004C1013">
              <w:t>13.</w:t>
            </w:r>
          </w:p>
        </w:tc>
        <w:tc>
          <w:tcPr>
            <w:tcW w:w="507" w:type="pct"/>
            <w:hideMark/>
          </w:tcPr>
          <w:p w:rsidR="0025522E" w:rsidRPr="004C1013" w:rsidRDefault="0025522E" w:rsidP="0025522E">
            <w:pPr>
              <w:pStyle w:val="tabbielystyl"/>
            </w:pPr>
            <w:r w:rsidRPr="004C1013">
              <w:t>4 261</w:t>
            </w:r>
          </w:p>
        </w:tc>
        <w:tc>
          <w:tcPr>
            <w:tcW w:w="830" w:type="pct"/>
            <w:vAlign w:val="bottom"/>
          </w:tcPr>
          <w:p w:rsidR="0025522E" w:rsidRPr="004C1013" w:rsidRDefault="0025522E" w:rsidP="0025522E">
            <w:pPr>
              <w:pStyle w:val="tabbielystyl"/>
            </w:pPr>
            <w:r w:rsidRPr="004C1013">
              <w:t>4 356</w:t>
            </w:r>
          </w:p>
        </w:tc>
        <w:tc>
          <w:tcPr>
            <w:tcW w:w="527" w:type="pct"/>
          </w:tcPr>
          <w:p w:rsidR="0025522E" w:rsidRPr="004C1013" w:rsidRDefault="0025522E" w:rsidP="0025522E">
            <w:pPr>
              <w:pStyle w:val="tabbielystyl"/>
            </w:pPr>
            <w:r w:rsidRPr="004C1013">
              <w:t>3 495,5</w:t>
            </w:r>
          </w:p>
        </w:tc>
        <w:tc>
          <w:tcPr>
            <w:tcW w:w="753" w:type="pct"/>
            <w:vAlign w:val="bottom"/>
          </w:tcPr>
          <w:p w:rsidR="0025522E" w:rsidRPr="004C1013" w:rsidRDefault="0025522E" w:rsidP="0025522E">
            <w:pPr>
              <w:pStyle w:val="tabbielystyl"/>
            </w:pPr>
            <w:r w:rsidRPr="004C1013">
              <w:t>3 496</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3 420,03</w:t>
            </w:r>
          </w:p>
        </w:tc>
      </w:tr>
      <w:tr w:rsidR="0025522E" w:rsidRPr="004C1013" w:rsidTr="00404B50">
        <w:trPr>
          <w:trHeight w:val="283"/>
        </w:trPr>
        <w:tc>
          <w:tcPr>
            <w:tcW w:w="532" w:type="pct"/>
            <w:hideMark/>
          </w:tcPr>
          <w:p w:rsidR="0025522E" w:rsidRPr="004C1013" w:rsidRDefault="0025522E" w:rsidP="0025522E">
            <w:pPr>
              <w:pStyle w:val="tabbielystyl"/>
            </w:pPr>
            <w:r w:rsidRPr="004C1013">
              <w:t>2017</w:t>
            </w:r>
          </w:p>
        </w:tc>
        <w:tc>
          <w:tcPr>
            <w:tcW w:w="481" w:type="pct"/>
            <w:hideMark/>
          </w:tcPr>
          <w:p w:rsidR="0025522E" w:rsidRPr="004C1013" w:rsidRDefault="0025522E" w:rsidP="0025522E">
            <w:pPr>
              <w:pStyle w:val="tabbielystyl"/>
            </w:pPr>
            <w:r w:rsidRPr="004C1013">
              <w:t>14.</w:t>
            </w:r>
          </w:p>
        </w:tc>
        <w:tc>
          <w:tcPr>
            <w:tcW w:w="507" w:type="pct"/>
            <w:hideMark/>
          </w:tcPr>
          <w:p w:rsidR="0025522E" w:rsidRPr="004C1013" w:rsidRDefault="0025522E" w:rsidP="0025522E">
            <w:pPr>
              <w:pStyle w:val="tabbielystyl"/>
            </w:pPr>
            <w:r w:rsidRPr="004C1013">
              <w:t>4 410</w:t>
            </w:r>
          </w:p>
        </w:tc>
        <w:tc>
          <w:tcPr>
            <w:tcW w:w="830" w:type="pct"/>
            <w:vAlign w:val="bottom"/>
          </w:tcPr>
          <w:p w:rsidR="0025522E" w:rsidRPr="004C1013" w:rsidRDefault="0025522E" w:rsidP="0025522E">
            <w:pPr>
              <w:pStyle w:val="tabbielystyl"/>
            </w:pPr>
            <w:r w:rsidRPr="004C1013">
              <w:t>4 455</w:t>
            </w:r>
          </w:p>
        </w:tc>
        <w:tc>
          <w:tcPr>
            <w:tcW w:w="527" w:type="pct"/>
          </w:tcPr>
          <w:p w:rsidR="0025522E" w:rsidRPr="004C1013" w:rsidRDefault="0025522E" w:rsidP="0025522E">
            <w:pPr>
              <w:pStyle w:val="tabbielystyl"/>
            </w:pPr>
            <w:r w:rsidRPr="004C1013">
              <w:t>3 616,0</w:t>
            </w:r>
          </w:p>
        </w:tc>
        <w:tc>
          <w:tcPr>
            <w:tcW w:w="753" w:type="pct"/>
            <w:vAlign w:val="bottom"/>
          </w:tcPr>
          <w:p w:rsidR="0025522E" w:rsidRPr="004C1013" w:rsidRDefault="0025522E" w:rsidP="0025522E">
            <w:pPr>
              <w:pStyle w:val="tabbielystyl"/>
            </w:pPr>
            <w:r w:rsidRPr="004C1013">
              <w:t>3 615</w:t>
            </w:r>
          </w:p>
        </w:tc>
        <w:tc>
          <w:tcPr>
            <w:tcW w:w="678" w:type="pct"/>
            <w:vAlign w:val="bottom"/>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3 578,25</w:t>
            </w:r>
          </w:p>
        </w:tc>
      </w:tr>
      <w:tr w:rsidR="0025522E" w:rsidRPr="004C1013" w:rsidTr="00404B50">
        <w:trPr>
          <w:trHeight w:val="283"/>
        </w:trPr>
        <w:tc>
          <w:tcPr>
            <w:tcW w:w="532" w:type="pct"/>
            <w:hideMark/>
          </w:tcPr>
          <w:p w:rsidR="0025522E" w:rsidRPr="004C1013" w:rsidRDefault="0025522E" w:rsidP="0025522E">
            <w:pPr>
              <w:pStyle w:val="tabbielystyl"/>
            </w:pPr>
            <w:r w:rsidRPr="004C1013">
              <w:t>2018</w:t>
            </w:r>
          </w:p>
        </w:tc>
        <w:tc>
          <w:tcPr>
            <w:tcW w:w="481" w:type="pct"/>
            <w:hideMark/>
          </w:tcPr>
          <w:p w:rsidR="0025522E" w:rsidRPr="004C1013" w:rsidRDefault="0025522E" w:rsidP="0025522E">
            <w:pPr>
              <w:pStyle w:val="tabbielystyl"/>
            </w:pPr>
            <w:r w:rsidRPr="004C1013">
              <w:t>15.</w:t>
            </w:r>
          </w:p>
        </w:tc>
        <w:tc>
          <w:tcPr>
            <w:tcW w:w="507" w:type="pct"/>
            <w:hideMark/>
          </w:tcPr>
          <w:p w:rsidR="0025522E" w:rsidRPr="004C1013" w:rsidRDefault="0025522E" w:rsidP="0025522E">
            <w:pPr>
              <w:pStyle w:val="tabbielystyl"/>
            </w:pPr>
            <w:r w:rsidRPr="004C1013">
              <w:t>4 641</w:t>
            </w:r>
          </w:p>
        </w:tc>
        <w:tc>
          <w:tcPr>
            <w:tcW w:w="830" w:type="pct"/>
            <w:vAlign w:val="bottom"/>
          </w:tcPr>
          <w:p w:rsidR="0025522E" w:rsidRPr="004C1013" w:rsidRDefault="0025522E" w:rsidP="0025522E">
            <w:pPr>
              <w:pStyle w:val="tabbielystyl"/>
            </w:pPr>
            <w:r w:rsidRPr="004C1013">
              <w:t>4 703</w:t>
            </w:r>
          </w:p>
        </w:tc>
        <w:tc>
          <w:tcPr>
            <w:tcW w:w="527" w:type="pct"/>
          </w:tcPr>
          <w:p w:rsidR="0025522E" w:rsidRPr="004C1013" w:rsidRDefault="0025522E" w:rsidP="0025522E">
            <w:pPr>
              <w:pStyle w:val="tabbielystyl"/>
            </w:pPr>
            <w:r w:rsidRPr="004C1013">
              <w:t>3 816,0</w:t>
            </w:r>
          </w:p>
        </w:tc>
        <w:tc>
          <w:tcPr>
            <w:tcW w:w="753" w:type="pct"/>
          </w:tcPr>
          <w:p w:rsidR="0025522E" w:rsidRPr="004C1013" w:rsidRDefault="0025522E" w:rsidP="0025522E">
            <w:pPr>
              <w:pStyle w:val="tabbielystyl"/>
            </w:pPr>
            <w:r w:rsidRPr="004C1013">
              <w:t>3 816</w:t>
            </w:r>
          </w:p>
        </w:tc>
        <w:tc>
          <w:tcPr>
            <w:tcW w:w="678" w:type="pct"/>
          </w:tcPr>
          <w:p w:rsidR="0025522E" w:rsidRPr="004C1013" w:rsidRDefault="0025522E" w:rsidP="0025522E">
            <w:pPr>
              <w:pStyle w:val="tabbielystyl"/>
            </w:pPr>
            <w:r w:rsidRPr="004C1013">
              <w:t>N/A</w:t>
            </w:r>
          </w:p>
        </w:tc>
        <w:tc>
          <w:tcPr>
            <w:tcW w:w="692" w:type="pct"/>
            <w:vAlign w:val="bottom"/>
          </w:tcPr>
          <w:p w:rsidR="0025522E" w:rsidRPr="004C1013" w:rsidRDefault="0025522E" w:rsidP="0025522E">
            <w:pPr>
              <w:pStyle w:val="tabbielystyl"/>
            </w:pPr>
            <w:r w:rsidRPr="004C1013">
              <w:t>3 765,68</w:t>
            </w:r>
          </w:p>
        </w:tc>
      </w:tr>
    </w:tbl>
    <w:p w:rsidR="0025522E" w:rsidRPr="004C1013" w:rsidRDefault="0025522E" w:rsidP="006B1C25">
      <w:pPr>
        <w:pStyle w:val="tabstyl"/>
      </w:pPr>
    </w:p>
    <w:p w:rsidR="0025522E" w:rsidRPr="004C1013" w:rsidRDefault="0025522E" w:rsidP="0025522E">
      <w:r w:rsidRPr="004C1013">
        <w:t>Ako vierohodné údaje o dopravnej intenzite na sieti boli vybrané kumulované ročné dopravné výkony, ktorých hodnoty sa navzájom zhodujú v jednotlivých uvádzaných zdrojoch.  Indikátor dopravnej intenzity na priemernom 1 km siete je vyčíslený prepočtom kumulovaných ročných dopravných výkonov (</w:t>
      </w:r>
      <w:r w:rsidR="00C40D3F">
        <w:fldChar w:fldCharType="begin"/>
      </w:r>
      <w:r w:rsidR="00C40D3F">
        <w:instrText xml:space="preserve"> REF _Ref20150316 \h  \* MER</w:instrText>
      </w:r>
      <w:r w:rsidR="00C40D3F">
        <w:instrText xml:space="preserve">GEFORMAT </w:instrText>
      </w:r>
      <w:r w:rsidR="00C40D3F">
        <w:fldChar w:fldCharType="separate"/>
      </w:r>
      <w:r w:rsidR="001E4C1C" w:rsidRPr="004C1013">
        <w:t xml:space="preserve">Tab.  </w:t>
      </w:r>
      <w:r w:rsidR="001E4C1C">
        <w:rPr>
          <w:noProof/>
        </w:rPr>
        <w:t>1</w:t>
      </w:r>
      <w:r w:rsidR="001E4C1C">
        <w:rPr>
          <w:noProof/>
        </w:rPr>
        <w:noBreakHyphen/>
        <w:t>19</w:t>
      </w:r>
      <w:r w:rsidR="00C40D3F">
        <w:fldChar w:fldCharType="end"/>
      </w:r>
      <w:r w:rsidRPr="004C1013">
        <w:t xml:space="preserve">). Rozdiel vo vzájomných prepočtoch (max 30% pre prvé 4 roky prevádzky systému) možno odôvodniť zahrnutím intenzity aj osobných vozidiel na cestnej sieti v publikovaných štatistických bulletinoch ASECAP [15]. </w:t>
      </w:r>
    </w:p>
    <w:p w:rsidR="0025522E" w:rsidRPr="004C1013" w:rsidRDefault="0025522E" w:rsidP="006B1C25">
      <w:pPr>
        <w:pStyle w:val="tabstyl"/>
      </w:pPr>
      <w:bookmarkStart w:id="90" w:name="_Ref20150316"/>
      <w:bookmarkStart w:id="91" w:name="_Toc36664461"/>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w:instrText>
      </w:r>
      <w:r w:rsidR="00C40D3F">
        <w:instrText xml:space="preserve">IC \s 1 </w:instrText>
      </w:r>
      <w:r w:rsidR="00C40D3F">
        <w:fldChar w:fldCharType="separate"/>
      </w:r>
      <w:r w:rsidR="00AE19F9">
        <w:rPr>
          <w:noProof/>
        </w:rPr>
        <w:t>19</w:t>
      </w:r>
      <w:r w:rsidR="00C40D3F">
        <w:rPr>
          <w:noProof/>
        </w:rPr>
        <w:fldChar w:fldCharType="end"/>
      </w:r>
      <w:bookmarkEnd w:id="90"/>
      <w:r w:rsidRPr="004C1013">
        <w:t xml:space="preserve"> </w:t>
      </w:r>
      <w:r w:rsidRPr="004C1013">
        <w:tab/>
        <w:t>Rakúsko: ETC indikátor 2. Dopravné výkony na sieti</w:t>
      </w:r>
      <w:bookmarkEnd w:id="91"/>
      <w:r w:rsidRPr="004C1013">
        <w:t xml:space="preserve">  </w:t>
      </w:r>
    </w:p>
    <w:tbl>
      <w:tblPr>
        <w:tblStyle w:val="tabulkaVUD"/>
        <w:tblW w:w="5000" w:type="pct"/>
        <w:tblLook w:val="04A0" w:firstRow="1" w:lastRow="0" w:firstColumn="1" w:lastColumn="0" w:noHBand="0" w:noVBand="1"/>
      </w:tblPr>
      <w:tblGrid>
        <w:gridCol w:w="1448"/>
        <w:gridCol w:w="1558"/>
        <w:gridCol w:w="3258"/>
        <w:gridCol w:w="3147"/>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912"/>
          <w:tblHeader/>
        </w:trPr>
        <w:tc>
          <w:tcPr>
            <w:tcW w:w="769" w:type="pct"/>
            <w:shd w:val="clear" w:color="auto" w:fill="7F7F7F" w:themeFill="text1" w:themeFillTint="80"/>
            <w:hideMark/>
          </w:tcPr>
          <w:p w:rsidR="0025522E" w:rsidRPr="004C1013" w:rsidRDefault="0025522E" w:rsidP="009D58D5">
            <w:pPr>
              <w:pStyle w:val="zahltab"/>
            </w:pPr>
            <w:r w:rsidRPr="004C1013">
              <w:t>Kalendárny rok</w:t>
            </w:r>
          </w:p>
        </w:tc>
        <w:tc>
          <w:tcPr>
            <w:tcW w:w="828" w:type="pct"/>
            <w:hideMark/>
          </w:tcPr>
          <w:p w:rsidR="0025522E" w:rsidRPr="004C1013" w:rsidRDefault="0025522E" w:rsidP="009D58D5">
            <w:pPr>
              <w:pStyle w:val="zahltab"/>
            </w:pPr>
            <w:r w:rsidRPr="004C1013">
              <w:t>Rok prevádzky</w:t>
            </w:r>
          </w:p>
        </w:tc>
        <w:tc>
          <w:tcPr>
            <w:tcW w:w="1731" w:type="pct"/>
            <w:hideMark/>
          </w:tcPr>
          <w:p w:rsidR="0025522E" w:rsidRPr="004C1013" w:rsidRDefault="0025522E" w:rsidP="009D58D5">
            <w:pPr>
              <w:pStyle w:val="zahltab"/>
            </w:pPr>
            <w:r w:rsidRPr="004C1013">
              <w:t>Dopravná intenzita na priemernom 1km siete  (voz/deň)</w:t>
            </w:r>
          </w:p>
        </w:tc>
        <w:tc>
          <w:tcPr>
            <w:tcW w:w="1672" w:type="pct"/>
          </w:tcPr>
          <w:p w:rsidR="00CE625A" w:rsidRDefault="0025522E" w:rsidP="009D58D5">
            <w:pPr>
              <w:pStyle w:val="zahltab"/>
            </w:pPr>
            <w:r w:rsidRPr="004C1013">
              <w:t>Kumulovaný dopravný výkon</w:t>
            </w:r>
          </w:p>
          <w:p w:rsidR="0025522E" w:rsidRPr="004C1013" w:rsidRDefault="0025522E" w:rsidP="009D58D5">
            <w:pPr>
              <w:pStyle w:val="zahltab"/>
            </w:pPr>
            <w:r w:rsidRPr="004C1013">
              <w:t xml:space="preserve"> (</w:t>
            </w:r>
            <w:r w:rsidR="00CE625A">
              <w:t xml:space="preserve">mil. </w:t>
            </w:r>
            <w:r w:rsidRPr="004C1013">
              <w:t>vkm/rok)</w:t>
            </w:r>
          </w:p>
        </w:tc>
      </w:tr>
      <w:tr w:rsidR="0025522E" w:rsidRPr="004C1013" w:rsidTr="00404B50">
        <w:trPr>
          <w:trHeight w:val="300"/>
        </w:trPr>
        <w:tc>
          <w:tcPr>
            <w:tcW w:w="769" w:type="pct"/>
            <w:hideMark/>
          </w:tcPr>
          <w:p w:rsidR="0025522E" w:rsidRPr="004C1013" w:rsidRDefault="0025522E" w:rsidP="0025522E">
            <w:pPr>
              <w:pStyle w:val="tabbielystyl"/>
            </w:pPr>
            <w:r w:rsidRPr="004C1013">
              <w:t>2004</w:t>
            </w:r>
          </w:p>
        </w:tc>
        <w:tc>
          <w:tcPr>
            <w:tcW w:w="828" w:type="pct"/>
            <w:hideMark/>
          </w:tcPr>
          <w:p w:rsidR="0025522E" w:rsidRPr="004C1013" w:rsidRDefault="0025522E" w:rsidP="0025522E">
            <w:pPr>
              <w:pStyle w:val="tabbielystyl"/>
            </w:pPr>
            <w:r w:rsidRPr="004C1013">
              <w:t>1.</w:t>
            </w:r>
          </w:p>
        </w:tc>
        <w:tc>
          <w:tcPr>
            <w:tcW w:w="1731" w:type="pct"/>
            <w:vAlign w:val="bottom"/>
            <w:hideMark/>
          </w:tcPr>
          <w:p w:rsidR="0025522E" w:rsidRPr="004C1013" w:rsidRDefault="0025522E" w:rsidP="0025522E">
            <w:pPr>
              <w:pStyle w:val="tabbielystyl"/>
            </w:pPr>
            <w:r w:rsidRPr="004C1013">
              <w:t>3 637</w:t>
            </w:r>
          </w:p>
        </w:tc>
        <w:tc>
          <w:tcPr>
            <w:tcW w:w="1672" w:type="pct"/>
            <w:vAlign w:val="bottom"/>
          </w:tcPr>
          <w:p w:rsidR="0025522E" w:rsidRPr="004C1013" w:rsidRDefault="0025522E" w:rsidP="0025522E">
            <w:pPr>
              <w:pStyle w:val="tabbielystyl"/>
            </w:pPr>
            <w:r w:rsidRPr="004C1013">
              <w:t>2 700</w:t>
            </w:r>
          </w:p>
        </w:tc>
      </w:tr>
      <w:tr w:rsidR="0025522E" w:rsidRPr="004C1013" w:rsidTr="00404B50">
        <w:trPr>
          <w:trHeight w:val="300"/>
        </w:trPr>
        <w:tc>
          <w:tcPr>
            <w:tcW w:w="769" w:type="pct"/>
            <w:hideMark/>
          </w:tcPr>
          <w:p w:rsidR="0025522E" w:rsidRPr="004C1013" w:rsidRDefault="0025522E" w:rsidP="0025522E">
            <w:pPr>
              <w:pStyle w:val="tabbielystyl"/>
            </w:pPr>
            <w:r w:rsidRPr="004C1013">
              <w:t>2005</w:t>
            </w:r>
          </w:p>
        </w:tc>
        <w:tc>
          <w:tcPr>
            <w:tcW w:w="828" w:type="pct"/>
            <w:hideMark/>
          </w:tcPr>
          <w:p w:rsidR="0025522E" w:rsidRPr="004C1013" w:rsidRDefault="0025522E" w:rsidP="0025522E">
            <w:pPr>
              <w:pStyle w:val="tabbielystyl"/>
            </w:pPr>
            <w:r w:rsidRPr="004C1013">
              <w:t>2.</w:t>
            </w:r>
          </w:p>
        </w:tc>
        <w:tc>
          <w:tcPr>
            <w:tcW w:w="1731" w:type="pct"/>
            <w:vAlign w:val="bottom"/>
            <w:hideMark/>
          </w:tcPr>
          <w:p w:rsidR="0025522E" w:rsidRPr="004C1013" w:rsidRDefault="0025522E" w:rsidP="0025522E">
            <w:pPr>
              <w:pStyle w:val="tabbielystyl"/>
            </w:pPr>
            <w:r w:rsidRPr="004C1013">
              <w:t>3 702</w:t>
            </w:r>
          </w:p>
        </w:tc>
        <w:tc>
          <w:tcPr>
            <w:tcW w:w="1672" w:type="pct"/>
            <w:vAlign w:val="bottom"/>
          </w:tcPr>
          <w:p w:rsidR="0025522E" w:rsidRPr="004C1013" w:rsidRDefault="0025522E" w:rsidP="0025522E">
            <w:pPr>
              <w:pStyle w:val="tabbielystyl"/>
            </w:pPr>
            <w:r w:rsidRPr="004C1013">
              <w:t>2 750</w:t>
            </w:r>
          </w:p>
        </w:tc>
      </w:tr>
      <w:tr w:rsidR="0025522E" w:rsidRPr="004C1013" w:rsidTr="00404B50">
        <w:trPr>
          <w:trHeight w:val="300"/>
        </w:trPr>
        <w:tc>
          <w:tcPr>
            <w:tcW w:w="769" w:type="pct"/>
            <w:hideMark/>
          </w:tcPr>
          <w:p w:rsidR="0025522E" w:rsidRPr="004C1013" w:rsidRDefault="0025522E" w:rsidP="0025522E">
            <w:pPr>
              <w:pStyle w:val="tabbielystyl"/>
            </w:pPr>
            <w:r w:rsidRPr="004C1013">
              <w:t>2006</w:t>
            </w:r>
          </w:p>
        </w:tc>
        <w:tc>
          <w:tcPr>
            <w:tcW w:w="828" w:type="pct"/>
            <w:hideMark/>
          </w:tcPr>
          <w:p w:rsidR="0025522E" w:rsidRPr="004C1013" w:rsidRDefault="0025522E" w:rsidP="0025522E">
            <w:pPr>
              <w:pStyle w:val="tabbielystyl"/>
            </w:pPr>
            <w:r w:rsidRPr="004C1013">
              <w:t>3.</w:t>
            </w:r>
          </w:p>
        </w:tc>
        <w:tc>
          <w:tcPr>
            <w:tcW w:w="1731" w:type="pct"/>
            <w:vAlign w:val="bottom"/>
            <w:hideMark/>
          </w:tcPr>
          <w:p w:rsidR="0025522E" w:rsidRPr="004C1013" w:rsidRDefault="0025522E" w:rsidP="0025522E">
            <w:pPr>
              <w:pStyle w:val="tabbielystyl"/>
            </w:pPr>
            <w:r w:rsidRPr="004C1013">
              <w:t>3 907</w:t>
            </w:r>
          </w:p>
        </w:tc>
        <w:tc>
          <w:tcPr>
            <w:tcW w:w="1672" w:type="pct"/>
            <w:vAlign w:val="bottom"/>
          </w:tcPr>
          <w:p w:rsidR="0025522E" w:rsidRPr="004C1013" w:rsidRDefault="0025522E" w:rsidP="0025522E">
            <w:pPr>
              <w:pStyle w:val="tabbielystyl"/>
            </w:pPr>
            <w:r w:rsidRPr="004C1013">
              <w:t>2 940</w:t>
            </w:r>
          </w:p>
        </w:tc>
      </w:tr>
      <w:tr w:rsidR="0025522E" w:rsidRPr="004C1013" w:rsidTr="00404B50">
        <w:trPr>
          <w:trHeight w:val="300"/>
        </w:trPr>
        <w:tc>
          <w:tcPr>
            <w:tcW w:w="769" w:type="pct"/>
            <w:hideMark/>
          </w:tcPr>
          <w:p w:rsidR="0025522E" w:rsidRPr="004C1013" w:rsidRDefault="0025522E" w:rsidP="0025522E">
            <w:pPr>
              <w:pStyle w:val="tabbielystyl"/>
            </w:pPr>
            <w:r w:rsidRPr="004C1013">
              <w:t>2007</w:t>
            </w:r>
          </w:p>
        </w:tc>
        <w:tc>
          <w:tcPr>
            <w:tcW w:w="828" w:type="pct"/>
            <w:hideMark/>
          </w:tcPr>
          <w:p w:rsidR="0025522E" w:rsidRPr="004C1013" w:rsidRDefault="0025522E" w:rsidP="0025522E">
            <w:pPr>
              <w:pStyle w:val="tabbielystyl"/>
            </w:pPr>
            <w:r w:rsidRPr="004C1013">
              <w:t>4.</w:t>
            </w:r>
          </w:p>
        </w:tc>
        <w:tc>
          <w:tcPr>
            <w:tcW w:w="1731" w:type="pct"/>
            <w:vAlign w:val="bottom"/>
            <w:hideMark/>
          </w:tcPr>
          <w:p w:rsidR="0025522E" w:rsidRPr="004C1013" w:rsidRDefault="0025522E" w:rsidP="0025522E">
            <w:pPr>
              <w:pStyle w:val="tabbielystyl"/>
            </w:pPr>
            <w:r w:rsidRPr="004C1013">
              <w:t>4 247</w:t>
            </w:r>
          </w:p>
        </w:tc>
        <w:tc>
          <w:tcPr>
            <w:tcW w:w="1672" w:type="pct"/>
            <w:vAlign w:val="bottom"/>
          </w:tcPr>
          <w:p w:rsidR="0025522E" w:rsidRPr="004C1013" w:rsidRDefault="0025522E" w:rsidP="0025522E">
            <w:pPr>
              <w:pStyle w:val="tabbielystyl"/>
            </w:pPr>
            <w:r w:rsidRPr="004C1013">
              <w:t>3 261</w:t>
            </w:r>
          </w:p>
        </w:tc>
      </w:tr>
      <w:tr w:rsidR="0025522E" w:rsidRPr="004C1013" w:rsidTr="00404B50">
        <w:trPr>
          <w:trHeight w:val="300"/>
        </w:trPr>
        <w:tc>
          <w:tcPr>
            <w:tcW w:w="769" w:type="pct"/>
            <w:hideMark/>
          </w:tcPr>
          <w:p w:rsidR="0025522E" w:rsidRPr="004C1013" w:rsidRDefault="0025522E" w:rsidP="0025522E">
            <w:pPr>
              <w:pStyle w:val="tabbielystyl"/>
            </w:pPr>
            <w:r w:rsidRPr="004C1013">
              <w:t>2008</w:t>
            </w:r>
          </w:p>
        </w:tc>
        <w:tc>
          <w:tcPr>
            <w:tcW w:w="828" w:type="pct"/>
            <w:hideMark/>
          </w:tcPr>
          <w:p w:rsidR="0025522E" w:rsidRPr="004C1013" w:rsidRDefault="0025522E" w:rsidP="0025522E">
            <w:pPr>
              <w:pStyle w:val="tabbielystyl"/>
            </w:pPr>
            <w:r w:rsidRPr="004C1013">
              <w:t>5.</w:t>
            </w:r>
          </w:p>
        </w:tc>
        <w:tc>
          <w:tcPr>
            <w:tcW w:w="1731" w:type="pct"/>
            <w:vAlign w:val="bottom"/>
            <w:hideMark/>
          </w:tcPr>
          <w:p w:rsidR="0025522E" w:rsidRPr="004C1013" w:rsidRDefault="0025522E" w:rsidP="0025522E">
            <w:pPr>
              <w:pStyle w:val="tabbielystyl"/>
            </w:pPr>
            <w:r w:rsidRPr="004C1013">
              <w:t>4 238</w:t>
            </w:r>
          </w:p>
        </w:tc>
        <w:tc>
          <w:tcPr>
            <w:tcW w:w="1672" w:type="pct"/>
            <w:vAlign w:val="bottom"/>
          </w:tcPr>
          <w:p w:rsidR="0025522E" w:rsidRPr="004C1013" w:rsidRDefault="0025522E" w:rsidP="0025522E">
            <w:pPr>
              <w:pStyle w:val="tabbielystyl"/>
            </w:pPr>
            <w:r w:rsidRPr="004C1013">
              <w:t>3 254</w:t>
            </w:r>
          </w:p>
        </w:tc>
      </w:tr>
      <w:tr w:rsidR="0025522E" w:rsidRPr="004C1013" w:rsidTr="00404B50">
        <w:trPr>
          <w:trHeight w:val="300"/>
        </w:trPr>
        <w:tc>
          <w:tcPr>
            <w:tcW w:w="769" w:type="pct"/>
            <w:hideMark/>
          </w:tcPr>
          <w:p w:rsidR="0025522E" w:rsidRPr="004C1013" w:rsidRDefault="0025522E" w:rsidP="0025522E">
            <w:pPr>
              <w:pStyle w:val="tabbielystyl"/>
            </w:pPr>
            <w:r w:rsidRPr="004C1013">
              <w:t>2009</w:t>
            </w:r>
          </w:p>
        </w:tc>
        <w:tc>
          <w:tcPr>
            <w:tcW w:w="828" w:type="pct"/>
            <w:hideMark/>
          </w:tcPr>
          <w:p w:rsidR="0025522E" w:rsidRPr="004C1013" w:rsidRDefault="0025522E" w:rsidP="0025522E">
            <w:pPr>
              <w:pStyle w:val="tabbielystyl"/>
            </w:pPr>
            <w:r w:rsidRPr="004C1013">
              <w:t>6.</w:t>
            </w:r>
          </w:p>
        </w:tc>
        <w:tc>
          <w:tcPr>
            <w:tcW w:w="1731" w:type="pct"/>
            <w:vAlign w:val="bottom"/>
            <w:hideMark/>
          </w:tcPr>
          <w:p w:rsidR="0025522E" w:rsidRPr="004C1013" w:rsidRDefault="0025522E" w:rsidP="0025522E">
            <w:pPr>
              <w:pStyle w:val="tabbielystyl"/>
            </w:pPr>
            <w:r w:rsidRPr="004C1013">
              <w:t>3 641</w:t>
            </w:r>
          </w:p>
        </w:tc>
        <w:tc>
          <w:tcPr>
            <w:tcW w:w="1672" w:type="pct"/>
            <w:vAlign w:val="bottom"/>
          </w:tcPr>
          <w:p w:rsidR="0025522E" w:rsidRPr="004C1013" w:rsidRDefault="0025522E" w:rsidP="0025522E">
            <w:pPr>
              <w:pStyle w:val="tabbielystyl"/>
            </w:pPr>
            <w:r w:rsidRPr="004C1013">
              <w:t>2 838</w:t>
            </w:r>
          </w:p>
        </w:tc>
      </w:tr>
      <w:tr w:rsidR="0025522E" w:rsidRPr="004C1013" w:rsidTr="00404B50">
        <w:trPr>
          <w:trHeight w:val="300"/>
        </w:trPr>
        <w:tc>
          <w:tcPr>
            <w:tcW w:w="769" w:type="pct"/>
            <w:hideMark/>
          </w:tcPr>
          <w:p w:rsidR="0025522E" w:rsidRPr="004C1013" w:rsidRDefault="0025522E" w:rsidP="0025522E">
            <w:pPr>
              <w:pStyle w:val="tabbielystyl"/>
            </w:pPr>
            <w:r w:rsidRPr="004C1013">
              <w:t>2010</w:t>
            </w:r>
          </w:p>
        </w:tc>
        <w:tc>
          <w:tcPr>
            <w:tcW w:w="828" w:type="pct"/>
            <w:hideMark/>
          </w:tcPr>
          <w:p w:rsidR="0025522E" w:rsidRPr="004C1013" w:rsidRDefault="0025522E" w:rsidP="0025522E">
            <w:pPr>
              <w:pStyle w:val="tabbielystyl"/>
            </w:pPr>
            <w:r w:rsidRPr="004C1013">
              <w:t>7.</w:t>
            </w:r>
          </w:p>
        </w:tc>
        <w:tc>
          <w:tcPr>
            <w:tcW w:w="1731" w:type="pct"/>
            <w:vAlign w:val="bottom"/>
            <w:hideMark/>
          </w:tcPr>
          <w:p w:rsidR="0025522E" w:rsidRPr="004C1013" w:rsidRDefault="0025522E" w:rsidP="0025522E">
            <w:pPr>
              <w:pStyle w:val="tabbielystyl"/>
            </w:pPr>
            <w:r w:rsidRPr="004C1013">
              <w:t>3 812</w:t>
            </w:r>
          </w:p>
        </w:tc>
        <w:tc>
          <w:tcPr>
            <w:tcW w:w="1672" w:type="pct"/>
            <w:vAlign w:val="bottom"/>
          </w:tcPr>
          <w:p w:rsidR="0025522E" w:rsidRPr="004C1013" w:rsidRDefault="0025522E" w:rsidP="0025522E">
            <w:pPr>
              <w:pStyle w:val="tabbielystyl"/>
            </w:pPr>
            <w:r w:rsidRPr="004C1013">
              <w:t>3 027</w:t>
            </w:r>
          </w:p>
        </w:tc>
      </w:tr>
      <w:tr w:rsidR="0025522E" w:rsidRPr="004C1013" w:rsidTr="00404B50">
        <w:trPr>
          <w:trHeight w:val="300"/>
        </w:trPr>
        <w:tc>
          <w:tcPr>
            <w:tcW w:w="769" w:type="pct"/>
            <w:hideMark/>
          </w:tcPr>
          <w:p w:rsidR="0025522E" w:rsidRPr="004C1013" w:rsidRDefault="0025522E" w:rsidP="0025522E">
            <w:pPr>
              <w:pStyle w:val="tabbielystyl"/>
            </w:pPr>
            <w:r w:rsidRPr="004C1013">
              <w:t>2011</w:t>
            </w:r>
          </w:p>
        </w:tc>
        <w:tc>
          <w:tcPr>
            <w:tcW w:w="828" w:type="pct"/>
            <w:hideMark/>
          </w:tcPr>
          <w:p w:rsidR="0025522E" w:rsidRPr="004C1013" w:rsidRDefault="0025522E" w:rsidP="0025522E">
            <w:pPr>
              <w:pStyle w:val="tabbielystyl"/>
            </w:pPr>
            <w:r w:rsidRPr="004C1013">
              <w:t>8.</w:t>
            </w:r>
          </w:p>
        </w:tc>
        <w:tc>
          <w:tcPr>
            <w:tcW w:w="1731" w:type="pct"/>
            <w:vAlign w:val="bottom"/>
            <w:hideMark/>
          </w:tcPr>
          <w:p w:rsidR="0025522E" w:rsidRPr="004C1013" w:rsidRDefault="0025522E" w:rsidP="0025522E">
            <w:pPr>
              <w:pStyle w:val="tabbielystyl"/>
            </w:pPr>
            <w:r w:rsidRPr="004C1013">
              <w:t>3 953</w:t>
            </w:r>
          </w:p>
        </w:tc>
        <w:tc>
          <w:tcPr>
            <w:tcW w:w="1672" w:type="pct"/>
            <w:vAlign w:val="bottom"/>
          </w:tcPr>
          <w:p w:rsidR="0025522E" w:rsidRPr="004C1013" w:rsidRDefault="0025522E" w:rsidP="0025522E">
            <w:pPr>
              <w:pStyle w:val="tabbielystyl"/>
            </w:pPr>
            <w:r w:rsidRPr="004C1013">
              <w:t>3 139</w:t>
            </w:r>
          </w:p>
        </w:tc>
      </w:tr>
      <w:tr w:rsidR="0025522E" w:rsidRPr="004C1013" w:rsidTr="00404B50">
        <w:trPr>
          <w:trHeight w:val="300"/>
        </w:trPr>
        <w:tc>
          <w:tcPr>
            <w:tcW w:w="769" w:type="pct"/>
            <w:hideMark/>
          </w:tcPr>
          <w:p w:rsidR="0025522E" w:rsidRPr="004C1013" w:rsidRDefault="0025522E" w:rsidP="0025522E">
            <w:pPr>
              <w:pStyle w:val="tabbielystyl"/>
            </w:pPr>
            <w:r w:rsidRPr="004C1013">
              <w:t>2012</w:t>
            </w:r>
          </w:p>
        </w:tc>
        <w:tc>
          <w:tcPr>
            <w:tcW w:w="828" w:type="pct"/>
            <w:hideMark/>
          </w:tcPr>
          <w:p w:rsidR="0025522E" w:rsidRPr="004C1013" w:rsidRDefault="0025522E" w:rsidP="0025522E">
            <w:pPr>
              <w:pStyle w:val="tabbielystyl"/>
            </w:pPr>
            <w:r w:rsidRPr="004C1013">
              <w:t>9.</w:t>
            </w:r>
          </w:p>
        </w:tc>
        <w:tc>
          <w:tcPr>
            <w:tcW w:w="1731" w:type="pct"/>
            <w:vAlign w:val="bottom"/>
            <w:hideMark/>
          </w:tcPr>
          <w:p w:rsidR="0025522E" w:rsidRPr="004C1013" w:rsidRDefault="0025522E" w:rsidP="0025522E">
            <w:pPr>
              <w:pStyle w:val="tabbielystyl"/>
            </w:pPr>
            <w:r w:rsidRPr="004C1013">
              <w:t>3 938</w:t>
            </w:r>
          </w:p>
        </w:tc>
        <w:tc>
          <w:tcPr>
            <w:tcW w:w="1672" w:type="pct"/>
            <w:vAlign w:val="bottom"/>
          </w:tcPr>
          <w:p w:rsidR="0025522E" w:rsidRPr="004C1013" w:rsidRDefault="0025522E" w:rsidP="0025522E">
            <w:pPr>
              <w:pStyle w:val="tabbielystyl"/>
            </w:pPr>
            <w:r w:rsidRPr="004C1013">
              <w:t>3 130</w:t>
            </w:r>
          </w:p>
        </w:tc>
      </w:tr>
      <w:tr w:rsidR="0025522E" w:rsidRPr="004C1013" w:rsidTr="00404B50">
        <w:trPr>
          <w:trHeight w:val="300"/>
        </w:trPr>
        <w:tc>
          <w:tcPr>
            <w:tcW w:w="769" w:type="pct"/>
            <w:hideMark/>
          </w:tcPr>
          <w:p w:rsidR="0025522E" w:rsidRPr="004C1013" w:rsidRDefault="0025522E" w:rsidP="0025522E">
            <w:pPr>
              <w:pStyle w:val="tabbielystyl"/>
            </w:pPr>
            <w:r w:rsidRPr="004C1013">
              <w:t>2013</w:t>
            </w:r>
          </w:p>
        </w:tc>
        <w:tc>
          <w:tcPr>
            <w:tcW w:w="828" w:type="pct"/>
            <w:hideMark/>
          </w:tcPr>
          <w:p w:rsidR="0025522E" w:rsidRPr="004C1013" w:rsidRDefault="0025522E" w:rsidP="0025522E">
            <w:pPr>
              <w:pStyle w:val="tabbielystyl"/>
            </w:pPr>
            <w:r w:rsidRPr="004C1013">
              <w:t>10.</w:t>
            </w:r>
          </w:p>
        </w:tc>
        <w:tc>
          <w:tcPr>
            <w:tcW w:w="1731" w:type="pct"/>
            <w:vAlign w:val="bottom"/>
            <w:hideMark/>
          </w:tcPr>
          <w:p w:rsidR="0025522E" w:rsidRPr="004C1013" w:rsidRDefault="0025522E" w:rsidP="0025522E">
            <w:pPr>
              <w:pStyle w:val="tabbielystyl"/>
            </w:pPr>
            <w:r w:rsidRPr="004C1013">
              <w:t>3 999</w:t>
            </w:r>
          </w:p>
        </w:tc>
        <w:tc>
          <w:tcPr>
            <w:tcW w:w="1672" w:type="pct"/>
            <w:vAlign w:val="bottom"/>
          </w:tcPr>
          <w:p w:rsidR="0025522E" w:rsidRPr="004C1013" w:rsidRDefault="0025522E" w:rsidP="0025522E">
            <w:pPr>
              <w:pStyle w:val="tabbielystyl"/>
            </w:pPr>
            <w:r w:rsidRPr="004C1013">
              <w:t>3 178</w:t>
            </w:r>
          </w:p>
        </w:tc>
      </w:tr>
      <w:tr w:rsidR="0025522E" w:rsidRPr="004C1013" w:rsidTr="00404B50">
        <w:trPr>
          <w:trHeight w:val="300"/>
        </w:trPr>
        <w:tc>
          <w:tcPr>
            <w:tcW w:w="769" w:type="pct"/>
            <w:hideMark/>
          </w:tcPr>
          <w:p w:rsidR="0025522E" w:rsidRPr="004C1013" w:rsidRDefault="0025522E" w:rsidP="0025522E">
            <w:pPr>
              <w:pStyle w:val="tabbielystyl"/>
            </w:pPr>
            <w:r w:rsidRPr="004C1013">
              <w:t>2014</w:t>
            </w:r>
          </w:p>
        </w:tc>
        <w:tc>
          <w:tcPr>
            <w:tcW w:w="828" w:type="pct"/>
            <w:hideMark/>
          </w:tcPr>
          <w:p w:rsidR="0025522E" w:rsidRPr="004C1013" w:rsidRDefault="0025522E" w:rsidP="0025522E">
            <w:pPr>
              <w:pStyle w:val="tabbielystyl"/>
            </w:pPr>
            <w:r w:rsidRPr="004C1013">
              <w:t>11.</w:t>
            </w:r>
          </w:p>
        </w:tc>
        <w:tc>
          <w:tcPr>
            <w:tcW w:w="1731" w:type="pct"/>
            <w:vAlign w:val="bottom"/>
            <w:hideMark/>
          </w:tcPr>
          <w:p w:rsidR="0025522E" w:rsidRPr="004C1013" w:rsidRDefault="0025522E" w:rsidP="0025522E">
            <w:pPr>
              <w:pStyle w:val="tabbielystyl"/>
            </w:pPr>
            <w:r w:rsidRPr="004C1013">
              <w:t>4 100</w:t>
            </w:r>
          </w:p>
        </w:tc>
        <w:tc>
          <w:tcPr>
            <w:tcW w:w="1672" w:type="pct"/>
            <w:vAlign w:val="bottom"/>
          </w:tcPr>
          <w:p w:rsidR="0025522E" w:rsidRPr="004C1013" w:rsidRDefault="0025522E" w:rsidP="0025522E">
            <w:pPr>
              <w:pStyle w:val="tabbielystyl"/>
            </w:pPr>
            <w:r w:rsidRPr="004C1013">
              <w:t>3 268</w:t>
            </w:r>
          </w:p>
        </w:tc>
      </w:tr>
      <w:tr w:rsidR="0025522E" w:rsidRPr="004C1013" w:rsidTr="00404B50">
        <w:trPr>
          <w:trHeight w:val="300"/>
        </w:trPr>
        <w:tc>
          <w:tcPr>
            <w:tcW w:w="769" w:type="pct"/>
            <w:hideMark/>
          </w:tcPr>
          <w:p w:rsidR="0025522E" w:rsidRPr="004C1013" w:rsidRDefault="0025522E" w:rsidP="0025522E">
            <w:pPr>
              <w:pStyle w:val="tabbielystyl"/>
            </w:pPr>
            <w:r w:rsidRPr="004C1013">
              <w:t>2015</w:t>
            </w:r>
          </w:p>
        </w:tc>
        <w:tc>
          <w:tcPr>
            <w:tcW w:w="828" w:type="pct"/>
            <w:hideMark/>
          </w:tcPr>
          <w:p w:rsidR="0025522E" w:rsidRPr="004C1013" w:rsidRDefault="0025522E" w:rsidP="0025522E">
            <w:pPr>
              <w:pStyle w:val="tabbielystyl"/>
            </w:pPr>
            <w:r w:rsidRPr="004C1013">
              <w:t>12.</w:t>
            </w:r>
          </w:p>
        </w:tc>
        <w:tc>
          <w:tcPr>
            <w:tcW w:w="1731" w:type="pct"/>
            <w:vAlign w:val="bottom"/>
            <w:hideMark/>
          </w:tcPr>
          <w:p w:rsidR="0025522E" w:rsidRPr="004C1013" w:rsidRDefault="0025522E" w:rsidP="0025522E">
            <w:pPr>
              <w:pStyle w:val="tabbielystyl"/>
            </w:pPr>
            <w:r w:rsidRPr="004C1013">
              <w:t>4 155</w:t>
            </w:r>
          </w:p>
        </w:tc>
        <w:tc>
          <w:tcPr>
            <w:tcW w:w="1672" w:type="pct"/>
            <w:vAlign w:val="bottom"/>
          </w:tcPr>
          <w:p w:rsidR="0025522E" w:rsidRPr="004C1013" w:rsidRDefault="0025522E" w:rsidP="0025522E">
            <w:pPr>
              <w:pStyle w:val="tabbielystyl"/>
            </w:pPr>
            <w:r w:rsidRPr="004C1013">
              <w:t>3 335</w:t>
            </w:r>
          </w:p>
        </w:tc>
      </w:tr>
      <w:tr w:rsidR="0025522E" w:rsidRPr="004C1013" w:rsidTr="00404B50">
        <w:trPr>
          <w:trHeight w:val="300"/>
        </w:trPr>
        <w:tc>
          <w:tcPr>
            <w:tcW w:w="769" w:type="pct"/>
            <w:hideMark/>
          </w:tcPr>
          <w:p w:rsidR="0025522E" w:rsidRPr="004C1013" w:rsidRDefault="0025522E" w:rsidP="0025522E">
            <w:pPr>
              <w:pStyle w:val="tabbielystyl"/>
            </w:pPr>
            <w:r w:rsidRPr="004C1013">
              <w:t>2016</w:t>
            </w:r>
          </w:p>
        </w:tc>
        <w:tc>
          <w:tcPr>
            <w:tcW w:w="828" w:type="pct"/>
            <w:hideMark/>
          </w:tcPr>
          <w:p w:rsidR="0025522E" w:rsidRPr="004C1013" w:rsidRDefault="0025522E" w:rsidP="0025522E">
            <w:pPr>
              <w:pStyle w:val="tabbielystyl"/>
            </w:pPr>
            <w:r w:rsidRPr="004C1013">
              <w:t>13.</w:t>
            </w:r>
          </w:p>
        </w:tc>
        <w:tc>
          <w:tcPr>
            <w:tcW w:w="1731" w:type="pct"/>
            <w:vAlign w:val="bottom"/>
            <w:hideMark/>
          </w:tcPr>
          <w:p w:rsidR="0025522E" w:rsidRPr="004C1013" w:rsidRDefault="0025522E" w:rsidP="0025522E">
            <w:pPr>
              <w:pStyle w:val="tabbielystyl"/>
            </w:pPr>
            <w:r w:rsidRPr="004C1013">
              <w:t>4 356</w:t>
            </w:r>
          </w:p>
        </w:tc>
        <w:tc>
          <w:tcPr>
            <w:tcW w:w="1672" w:type="pct"/>
            <w:vAlign w:val="bottom"/>
          </w:tcPr>
          <w:p w:rsidR="0025522E" w:rsidRPr="004C1013" w:rsidRDefault="0025522E" w:rsidP="0025522E">
            <w:pPr>
              <w:pStyle w:val="tabbielystyl"/>
            </w:pPr>
            <w:r w:rsidRPr="004C1013">
              <w:t>3 496</w:t>
            </w:r>
          </w:p>
        </w:tc>
      </w:tr>
      <w:tr w:rsidR="0025522E" w:rsidRPr="004C1013" w:rsidTr="00404B50">
        <w:trPr>
          <w:trHeight w:val="300"/>
        </w:trPr>
        <w:tc>
          <w:tcPr>
            <w:tcW w:w="769" w:type="pct"/>
            <w:hideMark/>
          </w:tcPr>
          <w:p w:rsidR="0025522E" w:rsidRPr="004C1013" w:rsidRDefault="0025522E" w:rsidP="0025522E">
            <w:pPr>
              <w:pStyle w:val="tabbielystyl"/>
            </w:pPr>
            <w:r w:rsidRPr="004C1013">
              <w:t>2017</w:t>
            </w:r>
          </w:p>
        </w:tc>
        <w:tc>
          <w:tcPr>
            <w:tcW w:w="828" w:type="pct"/>
            <w:hideMark/>
          </w:tcPr>
          <w:p w:rsidR="0025522E" w:rsidRPr="004C1013" w:rsidRDefault="0025522E" w:rsidP="0025522E">
            <w:pPr>
              <w:pStyle w:val="tabbielystyl"/>
            </w:pPr>
            <w:r w:rsidRPr="004C1013">
              <w:t>14.</w:t>
            </w:r>
          </w:p>
        </w:tc>
        <w:tc>
          <w:tcPr>
            <w:tcW w:w="1731" w:type="pct"/>
            <w:vAlign w:val="bottom"/>
            <w:hideMark/>
          </w:tcPr>
          <w:p w:rsidR="0025522E" w:rsidRPr="004C1013" w:rsidRDefault="0025522E" w:rsidP="0025522E">
            <w:pPr>
              <w:pStyle w:val="tabbielystyl"/>
            </w:pPr>
            <w:r w:rsidRPr="004C1013">
              <w:t>4 455</w:t>
            </w:r>
          </w:p>
        </w:tc>
        <w:tc>
          <w:tcPr>
            <w:tcW w:w="1672" w:type="pct"/>
            <w:vAlign w:val="bottom"/>
          </w:tcPr>
          <w:p w:rsidR="0025522E" w:rsidRPr="004C1013" w:rsidRDefault="0025522E" w:rsidP="0025522E">
            <w:pPr>
              <w:pStyle w:val="tabbielystyl"/>
            </w:pPr>
            <w:r w:rsidRPr="004C1013">
              <w:t>3 615</w:t>
            </w:r>
          </w:p>
        </w:tc>
      </w:tr>
      <w:tr w:rsidR="0025522E" w:rsidRPr="004C1013" w:rsidTr="00404B50">
        <w:trPr>
          <w:trHeight w:val="300"/>
        </w:trPr>
        <w:tc>
          <w:tcPr>
            <w:tcW w:w="769" w:type="pct"/>
            <w:hideMark/>
          </w:tcPr>
          <w:p w:rsidR="0025522E" w:rsidRPr="004C1013" w:rsidRDefault="0025522E" w:rsidP="0025522E">
            <w:pPr>
              <w:pStyle w:val="tabbielystyl"/>
            </w:pPr>
            <w:r w:rsidRPr="004C1013">
              <w:t>2018</w:t>
            </w:r>
          </w:p>
        </w:tc>
        <w:tc>
          <w:tcPr>
            <w:tcW w:w="828" w:type="pct"/>
            <w:hideMark/>
          </w:tcPr>
          <w:p w:rsidR="0025522E" w:rsidRPr="004C1013" w:rsidRDefault="0025522E" w:rsidP="0025522E">
            <w:pPr>
              <w:pStyle w:val="tabbielystyl"/>
            </w:pPr>
            <w:r w:rsidRPr="004C1013">
              <w:t>15.</w:t>
            </w:r>
          </w:p>
        </w:tc>
        <w:tc>
          <w:tcPr>
            <w:tcW w:w="1731" w:type="pct"/>
            <w:vAlign w:val="bottom"/>
            <w:hideMark/>
          </w:tcPr>
          <w:p w:rsidR="0025522E" w:rsidRPr="004C1013" w:rsidRDefault="0025522E" w:rsidP="0025522E">
            <w:pPr>
              <w:pStyle w:val="tabbielystyl"/>
            </w:pPr>
            <w:r w:rsidRPr="004C1013">
              <w:t>4 703</w:t>
            </w:r>
          </w:p>
        </w:tc>
        <w:tc>
          <w:tcPr>
            <w:tcW w:w="1672" w:type="pct"/>
          </w:tcPr>
          <w:p w:rsidR="0025522E" w:rsidRPr="004C1013" w:rsidRDefault="0025522E" w:rsidP="0025522E">
            <w:pPr>
              <w:pStyle w:val="tabbielystyl"/>
            </w:pPr>
            <w:r w:rsidRPr="004C1013">
              <w:t>3 816</w:t>
            </w:r>
          </w:p>
        </w:tc>
      </w:tr>
    </w:tbl>
    <w:p w:rsidR="0025522E" w:rsidRPr="004C1013" w:rsidRDefault="0025522E" w:rsidP="0025522E">
      <w:pPr>
        <w:pStyle w:val="Nadpis3"/>
        <w:rPr>
          <w:rFonts w:asciiTheme="minorHAnsi" w:hAnsiTheme="minorHAnsi" w:cstheme="minorHAnsi"/>
        </w:rPr>
      </w:pPr>
      <w:bookmarkStart w:id="92" w:name="_Toc20687932"/>
      <w:bookmarkStart w:id="93" w:name="_Toc36664375"/>
      <w:r w:rsidRPr="004C1013">
        <w:rPr>
          <w:rFonts w:asciiTheme="minorHAnsi" w:hAnsiTheme="minorHAnsi" w:cstheme="minorHAnsi"/>
        </w:rPr>
        <w:t>Výnosy a náklady systému ETC</w:t>
      </w:r>
      <w:bookmarkEnd w:id="92"/>
      <w:bookmarkEnd w:id="93"/>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Príjmy z elektronického výberu mýta pre nákladné vozidla nad 3,5 tony sú v dostu</w:t>
      </w:r>
      <w:r w:rsidR="00FC682F">
        <w:rPr>
          <w:rFonts w:asciiTheme="minorHAnsi" w:hAnsiTheme="minorHAnsi" w:cstheme="minorHAnsi"/>
        </w:rPr>
        <w:t>pnej literatúre (ASECAP, ASFINA</w:t>
      </w:r>
      <w:r w:rsidRPr="004C1013">
        <w:rPr>
          <w:rFonts w:asciiTheme="minorHAnsi" w:hAnsiTheme="minorHAnsi" w:cstheme="minorHAnsi"/>
        </w:rPr>
        <w:t xml:space="preserve">G, medzinárodné a národné štúdie) uvádzané prevažne na rovnakej úrovni. Ako najhodnovernejší zdroj pokladá riešiteľský kolektív údaje zverejnené vo výročných správach ASFINAG za roky 2006 až 2018 [24]. Tieto údaje sa zhodujú s údajmi uvedenými v odborných štúdiách [26]  a národných správach ASECAP [16]. V publikovaných štatistických bulletinoch ASECAP [15] sú uvádzané kumulované príjmy z mýta za roky 2005 – 2018 zahrňujúce aj príjmy za vozidlá do 3,5 tony a príjmy za špeciálne mýtne úseky ciest. Priemerný podiel príjmov za nákladné vozidlá nad 3,5 tony z celkových kumulovaných príjmov z mýta predstavuje približne 67,74%. </w:t>
      </w:r>
    </w:p>
    <w:p w:rsidR="0025522E" w:rsidRPr="004C1013" w:rsidRDefault="0025522E" w:rsidP="00EB0C9A">
      <w:pPr>
        <w:pStyle w:val="Popis"/>
        <w:jc w:val="left"/>
      </w:pPr>
      <w:bookmarkStart w:id="94" w:name="_Toc36664462"/>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20</w:t>
      </w:r>
      <w:r w:rsidR="00C40D3F">
        <w:rPr>
          <w:noProof/>
        </w:rPr>
        <w:fldChar w:fldCharType="end"/>
      </w:r>
      <w:r w:rsidRPr="004C1013">
        <w:tab/>
        <w:t>Rešerš dostupnej literatúry - výnosy systému ETC v Rakúsku</w:t>
      </w:r>
      <w:bookmarkEnd w:id="94"/>
      <w:r w:rsidRPr="004C1013">
        <w:t xml:space="preserve"> </w:t>
      </w:r>
    </w:p>
    <w:tbl>
      <w:tblPr>
        <w:tblStyle w:val="tabulkaVUD"/>
        <w:tblW w:w="5000" w:type="pct"/>
        <w:tblLook w:val="04A0" w:firstRow="1" w:lastRow="0" w:firstColumn="1" w:lastColumn="0" w:noHBand="0" w:noVBand="1"/>
      </w:tblPr>
      <w:tblGrid>
        <w:gridCol w:w="1002"/>
        <w:gridCol w:w="1096"/>
        <w:gridCol w:w="1464"/>
        <w:gridCol w:w="1464"/>
        <w:gridCol w:w="1464"/>
        <w:gridCol w:w="1464"/>
        <w:gridCol w:w="1457"/>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459"/>
          <w:tblHeader/>
        </w:trPr>
        <w:tc>
          <w:tcPr>
            <w:tcW w:w="532" w:type="pct"/>
            <w:hideMark/>
          </w:tcPr>
          <w:p w:rsidR="0025522E" w:rsidRPr="004C1013" w:rsidRDefault="0025522E" w:rsidP="009D58D5">
            <w:pPr>
              <w:pStyle w:val="zahltab"/>
            </w:pPr>
            <w:r w:rsidRPr="004C1013">
              <w:t>Kalendárny rok</w:t>
            </w:r>
          </w:p>
        </w:tc>
        <w:tc>
          <w:tcPr>
            <w:tcW w:w="581" w:type="pct"/>
            <w:hideMark/>
          </w:tcPr>
          <w:p w:rsidR="0025522E" w:rsidRPr="004C1013" w:rsidRDefault="0025522E" w:rsidP="009D58D5">
            <w:pPr>
              <w:pStyle w:val="zahltab"/>
            </w:pPr>
            <w:r w:rsidRPr="004C1013">
              <w:t>Rok prevádzky</w:t>
            </w:r>
          </w:p>
        </w:tc>
        <w:tc>
          <w:tcPr>
            <w:tcW w:w="778" w:type="pct"/>
          </w:tcPr>
          <w:p w:rsidR="0025522E" w:rsidRPr="004C1013" w:rsidRDefault="0025522E" w:rsidP="009D58D5">
            <w:pPr>
              <w:pStyle w:val="zahltab"/>
            </w:pPr>
            <w:r w:rsidRPr="004C1013">
              <w:t>ASECAP  [15]</w:t>
            </w:r>
          </w:p>
        </w:tc>
        <w:tc>
          <w:tcPr>
            <w:tcW w:w="778" w:type="pct"/>
            <w:hideMark/>
          </w:tcPr>
          <w:p w:rsidR="0025522E" w:rsidRPr="004C1013" w:rsidRDefault="0025522E" w:rsidP="009D58D5">
            <w:pPr>
              <w:pStyle w:val="zahltab"/>
            </w:pPr>
            <w:r w:rsidRPr="004C1013">
              <w:t>ASECAP  [16]</w:t>
            </w:r>
          </w:p>
        </w:tc>
        <w:tc>
          <w:tcPr>
            <w:tcW w:w="778" w:type="pct"/>
          </w:tcPr>
          <w:p w:rsidR="0025522E" w:rsidRPr="004C1013" w:rsidRDefault="0025522E" w:rsidP="009D58D5">
            <w:pPr>
              <w:pStyle w:val="zahltab"/>
            </w:pPr>
            <w:r w:rsidRPr="004C1013">
              <w:t>ASFINANG  [24]</w:t>
            </w:r>
          </w:p>
        </w:tc>
        <w:tc>
          <w:tcPr>
            <w:tcW w:w="778" w:type="pct"/>
          </w:tcPr>
          <w:p w:rsidR="0025522E" w:rsidRPr="004C1013" w:rsidRDefault="0025522E" w:rsidP="009D58D5">
            <w:pPr>
              <w:pStyle w:val="zahltab"/>
            </w:pPr>
            <w:r w:rsidRPr="004C1013">
              <w:t>ASFINANG  [23]</w:t>
            </w:r>
          </w:p>
        </w:tc>
        <w:tc>
          <w:tcPr>
            <w:tcW w:w="775" w:type="pct"/>
          </w:tcPr>
          <w:p w:rsidR="0025522E" w:rsidRPr="004C1013" w:rsidRDefault="0025522E" w:rsidP="009D58D5">
            <w:pPr>
              <w:pStyle w:val="zahltab"/>
            </w:pPr>
            <w:r w:rsidRPr="004C1013">
              <w:t>Odborné štúdie [26]</w:t>
            </w:r>
          </w:p>
        </w:tc>
      </w:tr>
      <w:tr w:rsidR="0025522E" w:rsidRPr="004C1013" w:rsidTr="00404B50">
        <w:trPr>
          <w:trHeight w:val="300"/>
        </w:trPr>
        <w:tc>
          <w:tcPr>
            <w:tcW w:w="532" w:type="pct"/>
            <w:hideMark/>
          </w:tcPr>
          <w:p w:rsidR="0025522E" w:rsidRPr="004C1013" w:rsidRDefault="0025522E" w:rsidP="0025522E">
            <w:pPr>
              <w:pStyle w:val="tabbielystyl"/>
            </w:pPr>
            <w:r w:rsidRPr="004C1013">
              <w:t>2004</w:t>
            </w:r>
          </w:p>
        </w:tc>
        <w:tc>
          <w:tcPr>
            <w:tcW w:w="581" w:type="pct"/>
            <w:hideMark/>
          </w:tcPr>
          <w:p w:rsidR="0025522E" w:rsidRPr="004C1013" w:rsidRDefault="0025522E" w:rsidP="0025522E">
            <w:pPr>
              <w:pStyle w:val="tabbielystyl"/>
            </w:pPr>
            <w:r w:rsidRPr="004C1013">
              <w:t>1.</w:t>
            </w:r>
          </w:p>
        </w:tc>
        <w:tc>
          <w:tcPr>
            <w:tcW w:w="778" w:type="pct"/>
          </w:tcPr>
          <w:p w:rsidR="0025522E" w:rsidRPr="004C1013" w:rsidRDefault="0025522E" w:rsidP="0025522E">
            <w:pPr>
              <w:pStyle w:val="tabbielystyl"/>
            </w:pPr>
            <w:r w:rsidRPr="004C1013">
              <w:t>1 159,00</w:t>
            </w:r>
          </w:p>
        </w:tc>
        <w:tc>
          <w:tcPr>
            <w:tcW w:w="778" w:type="pct"/>
            <w:hideMark/>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2005</w:t>
            </w:r>
          </w:p>
        </w:tc>
        <w:tc>
          <w:tcPr>
            <w:tcW w:w="581" w:type="pct"/>
            <w:hideMark/>
          </w:tcPr>
          <w:p w:rsidR="0025522E" w:rsidRPr="004C1013" w:rsidRDefault="0025522E" w:rsidP="0025522E">
            <w:pPr>
              <w:pStyle w:val="tabbielystyl"/>
            </w:pPr>
            <w:r w:rsidRPr="004C1013">
              <w:t>2.</w:t>
            </w:r>
          </w:p>
        </w:tc>
        <w:tc>
          <w:tcPr>
            <w:tcW w:w="778" w:type="pct"/>
          </w:tcPr>
          <w:p w:rsidR="0025522E" w:rsidRPr="004C1013" w:rsidRDefault="0025522E" w:rsidP="0025522E">
            <w:pPr>
              <w:pStyle w:val="tabbielystyl"/>
            </w:pPr>
            <w:r w:rsidRPr="004C1013">
              <w:t>1 192,00</w:t>
            </w:r>
          </w:p>
        </w:tc>
        <w:tc>
          <w:tcPr>
            <w:tcW w:w="778" w:type="pct"/>
            <w:hideMark/>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2006</w:t>
            </w:r>
          </w:p>
        </w:tc>
        <w:tc>
          <w:tcPr>
            <w:tcW w:w="581" w:type="pct"/>
            <w:hideMark/>
          </w:tcPr>
          <w:p w:rsidR="0025522E" w:rsidRPr="004C1013" w:rsidRDefault="0025522E" w:rsidP="0025522E">
            <w:pPr>
              <w:pStyle w:val="tabbielystyl"/>
            </w:pPr>
            <w:r w:rsidRPr="004C1013">
              <w:t>3.</w:t>
            </w:r>
          </w:p>
        </w:tc>
        <w:tc>
          <w:tcPr>
            <w:tcW w:w="778" w:type="pct"/>
          </w:tcPr>
          <w:p w:rsidR="0025522E" w:rsidRPr="004C1013" w:rsidRDefault="0025522E" w:rsidP="0025522E">
            <w:pPr>
              <w:pStyle w:val="tabbielystyl"/>
            </w:pPr>
            <w:r w:rsidRPr="004C1013">
              <w:t>1 250,28</w:t>
            </w:r>
          </w:p>
        </w:tc>
        <w:tc>
          <w:tcPr>
            <w:tcW w:w="778" w:type="pct"/>
            <w:hideMark/>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825,18</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825</w:t>
            </w:r>
          </w:p>
        </w:tc>
      </w:tr>
      <w:tr w:rsidR="0025522E" w:rsidRPr="004C1013" w:rsidTr="00404B50">
        <w:trPr>
          <w:trHeight w:val="300"/>
        </w:trPr>
        <w:tc>
          <w:tcPr>
            <w:tcW w:w="532" w:type="pct"/>
            <w:hideMark/>
          </w:tcPr>
          <w:p w:rsidR="0025522E" w:rsidRPr="004C1013" w:rsidRDefault="0025522E" w:rsidP="0025522E">
            <w:pPr>
              <w:pStyle w:val="tabbielystyl"/>
            </w:pPr>
            <w:r w:rsidRPr="004C1013">
              <w:t>2007</w:t>
            </w:r>
          </w:p>
        </w:tc>
        <w:tc>
          <w:tcPr>
            <w:tcW w:w="581" w:type="pct"/>
            <w:hideMark/>
          </w:tcPr>
          <w:p w:rsidR="0025522E" w:rsidRPr="004C1013" w:rsidRDefault="0025522E" w:rsidP="0025522E">
            <w:pPr>
              <w:pStyle w:val="tabbielystyl"/>
            </w:pPr>
            <w:r w:rsidRPr="004C1013">
              <w:t>4.</w:t>
            </w:r>
          </w:p>
        </w:tc>
        <w:tc>
          <w:tcPr>
            <w:tcW w:w="778" w:type="pct"/>
          </w:tcPr>
          <w:p w:rsidR="0025522E" w:rsidRPr="004C1013" w:rsidRDefault="0025522E" w:rsidP="0025522E">
            <w:pPr>
              <w:pStyle w:val="tabbielystyl"/>
            </w:pPr>
            <w:r w:rsidRPr="004C1013">
              <w:t>1 435,00</w:t>
            </w:r>
          </w:p>
        </w:tc>
        <w:tc>
          <w:tcPr>
            <w:tcW w:w="778" w:type="pct"/>
            <w:hideMark/>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983,67</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984</w:t>
            </w:r>
          </w:p>
        </w:tc>
      </w:tr>
      <w:tr w:rsidR="0025522E" w:rsidRPr="004C1013" w:rsidTr="00404B50">
        <w:trPr>
          <w:trHeight w:val="300"/>
        </w:trPr>
        <w:tc>
          <w:tcPr>
            <w:tcW w:w="532" w:type="pct"/>
            <w:hideMark/>
          </w:tcPr>
          <w:p w:rsidR="0025522E" w:rsidRPr="004C1013" w:rsidRDefault="0025522E" w:rsidP="0025522E">
            <w:pPr>
              <w:pStyle w:val="tabbielystyl"/>
            </w:pPr>
            <w:r w:rsidRPr="004C1013">
              <w:t>2008</w:t>
            </w:r>
          </w:p>
        </w:tc>
        <w:tc>
          <w:tcPr>
            <w:tcW w:w="581" w:type="pct"/>
            <w:hideMark/>
          </w:tcPr>
          <w:p w:rsidR="0025522E" w:rsidRPr="004C1013" w:rsidRDefault="0025522E" w:rsidP="0025522E">
            <w:pPr>
              <w:pStyle w:val="tabbielystyl"/>
            </w:pPr>
            <w:r w:rsidRPr="004C1013">
              <w:t>5.</w:t>
            </w:r>
          </w:p>
        </w:tc>
        <w:tc>
          <w:tcPr>
            <w:tcW w:w="778" w:type="pct"/>
          </w:tcPr>
          <w:p w:rsidR="0025522E" w:rsidRPr="004C1013" w:rsidRDefault="0025522E" w:rsidP="0025522E">
            <w:pPr>
              <w:pStyle w:val="tabbielystyl"/>
            </w:pPr>
            <w:r w:rsidRPr="004C1013">
              <w:t>1 516,00</w:t>
            </w:r>
          </w:p>
        </w:tc>
        <w:tc>
          <w:tcPr>
            <w:tcW w:w="778" w:type="pct"/>
            <w:hideMark/>
          </w:tcPr>
          <w:p w:rsidR="0025522E" w:rsidRPr="004C1013" w:rsidRDefault="0025522E" w:rsidP="0025522E">
            <w:pPr>
              <w:pStyle w:val="tabbielystyl"/>
            </w:pPr>
            <w:r w:rsidRPr="004C1013">
              <w:t>N/A</w:t>
            </w:r>
          </w:p>
        </w:tc>
        <w:tc>
          <w:tcPr>
            <w:tcW w:w="778" w:type="pct"/>
          </w:tcPr>
          <w:p w:rsidR="0025522E" w:rsidRPr="004C1013" w:rsidRDefault="0025522E" w:rsidP="0025522E">
            <w:pPr>
              <w:pStyle w:val="tabbielystyl"/>
            </w:pPr>
            <w:r w:rsidRPr="004C1013">
              <w:t>1062,011</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1062</w:t>
            </w:r>
          </w:p>
        </w:tc>
      </w:tr>
      <w:tr w:rsidR="0025522E" w:rsidRPr="004C1013" w:rsidTr="00404B50">
        <w:trPr>
          <w:trHeight w:val="300"/>
        </w:trPr>
        <w:tc>
          <w:tcPr>
            <w:tcW w:w="532" w:type="pct"/>
            <w:hideMark/>
          </w:tcPr>
          <w:p w:rsidR="0025522E" w:rsidRPr="004C1013" w:rsidRDefault="0025522E" w:rsidP="0025522E">
            <w:pPr>
              <w:pStyle w:val="tabbielystyl"/>
            </w:pPr>
            <w:r w:rsidRPr="004C1013">
              <w:t>2009</w:t>
            </w:r>
          </w:p>
        </w:tc>
        <w:tc>
          <w:tcPr>
            <w:tcW w:w="581" w:type="pct"/>
            <w:hideMark/>
          </w:tcPr>
          <w:p w:rsidR="0025522E" w:rsidRPr="004C1013" w:rsidRDefault="0025522E" w:rsidP="0025522E">
            <w:pPr>
              <w:pStyle w:val="tabbielystyl"/>
            </w:pPr>
            <w:r w:rsidRPr="004C1013">
              <w:t>6.</w:t>
            </w:r>
          </w:p>
        </w:tc>
        <w:tc>
          <w:tcPr>
            <w:tcW w:w="778" w:type="pct"/>
          </w:tcPr>
          <w:p w:rsidR="0025522E" w:rsidRPr="004C1013" w:rsidRDefault="0025522E" w:rsidP="0025522E">
            <w:pPr>
              <w:pStyle w:val="tabbielystyl"/>
            </w:pPr>
            <w:r w:rsidRPr="004C1013">
              <w:t>1 387,00</w:t>
            </w:r>
          </w:p>
        </w:tc>
        <w:tc>
          <w:tcPr>
            <w:tcW w:w="778" w:type="pct"/>
            <w:hideMark/>
          </w:tcPr>
          <w:p w:rsidR="0025522E" w:rsidRPr="004C1013" w:rsidRDefault="0025522E" w:rsidP="0025522E">
            <w:pPr>
              <w:pStyle w:val="tabbielystyl"/>
            </w:pPr>
            <w:r w:rsidRPr="004C1013">
              <w:t>926,00</w:t>
            </w:r>
          </w:p>
        </w:tc>
        <w:tc>
          <w:tcPr>
            <w:tcW w:w="778" w:type="pct"/>
          </w:tcPr>
          <w:p w:rsidR="0025522E" w:rsidRPr="004C1013" w:rsidRDefault="0025522E" w:rsidP="0025522E">
            <w:pPr>
              <w:pStyle w:val="tabbielystyl"/>
            </w:pPr>
            <w:r w:rsidRPr="004C1013">
              <w:t>926,168</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926</w:t>
            </w:r>
          </w:p>
        </w:tc>
      </w:tr>
      <w:tr w:rsidR="0025522E" w:rsidRPr="004C1013" w:rsidTr="00404B50">
        <w:trPr>
          <w:trHeight w:val="300"/>
        </w:trPr>
        <w:tc>
          <w:tcPr>
            <w:tcW w:w="532" w:type="pct"/>
            <w:hideMark/>
          </w:tcPr>
          <w:p w:rsidR="0025522E" w:rsidRPr="004C1013" w:rsidRDefault="0025522E" w:rsidP="0025522E">
            <w:pPr>
              <w:pStyle w:val="tabbielystyl"/>
            </w:pPr>
            <w:r w:rsidRPr="004C1013">
              <w:t>2010</w:t>
            </w:r>
          </w:p>
        </w:tc>
        <w:tc>
          <w:tcPr>
            <w:tcW w:w="581" w:type="pct"/>
            <w:hideMark/>
          </w:tcPr>
          <w:p w:rsidR="0025522E" w:rsidRPr="004C1013" w:rsidRDefault="0025522E" w:rsidP="0025522E">
            <w:pPr>
              <w:pStyle w:val="tabbielystyl"/>
            </w:pPr>
            <w:r w:rsidRPr="004C1013">
              <w:t>7.</w:t>
            </w:r>
          </w:p>
        </w:tc>
        <w:tc>
          <w:tcPr>
            <w:tcW w:w="778" w:type="pct"/>
          </w:tcPr>
          <w:p w:rsidR="0025522E" w:rsidRPr="004C1013" w:rsidRDefault="0025522E" w:rsidP="0025522E">
            <w:pPr>
              <w:pStyle w:val="tabbielystyl"/>
            </w:pPr>
            <w:r w:rsidRPr="004C1013">
              <w:t>1 535,50</w:t>
            </w:r>
          </w:p>
        </w:tc>
        <w:tc>
          <w:tcPr>
            <w:tcW w:w="778" w:type="pct"/>
            <w:hideMark/>
          </w:tcPr>
          <w:p w:rsidR="0025522E" w:rsidRPr="004C1013" w:rsidRDefault="0025522E" w:rsidP="0025522E">
            <w:pPr>
              <w:pStyle w:val="tabbielystyl"/>
            </w:pPr>
            <w:r w:rsidRPr="004C1013">
              <w:t>1 031,00</w:t>
            </w:r>
          </w:p>
        </w:tc>
        <w:tc>
          <w:tcPr>
            <w:tcW w:w="778" w:type="pct"/>
          </w:tcPr>
          <w:p w:rsidR="0025522E" w:rsidRPr="004C1013" w:rsidRDefault="0025522E" w:rsidP="0025522E">
            <w:pPr>
              <w:pStyle w:val="tabbielystyl"/>
            </w:pPr>
            <w:r w:rsidRPr="004C1013">
              <w:t>1031,01</w:t>
            </w:r>
          </w:p>
        </w:tc>
        <w:tc>
          <w:tcPr>
            <w:tcW w:w="778" w:type="pct"/>
          </w:tcPr>
          <w:p w:rsidR="0025522E" w:rsidRPr="004C1013" w:rsidRDefault="0025522E" w:rsidP="0025522E">
            <w:pPr>
              <w:pStyle w:val="tabbielystyl"/>
            </w:pPr>
            <w:r w:rsidRPr="004C1013">
              <w:t xml:space="preserve">1 031 </w:t>
            </w:r>
          </w:p>
        </w:tc>
        <w:tc>
          <w:tcPr>
            <w:tcW w:w="775" w:type="pct"/>
          </w:tcPr>
          <w:p w:rsidR="0025522E" w:rsidRPr="004C1013" w:rsidRDefault="0025522E" w:rsidP="0025522E">
            <w:pPr>
              <w:pStyle w:val="tabbielystyl"/>
            </w:pPr>
            <w:r w:rsidRPr="004C1013">
              <w:t>1031</w:t>
            </w:r>
          </w:p>
        </w:tc>
      </w:tr>
      <w:tr w:rsidR="0025522E" w:rsidRPr="004C1013" w:rsidTr="00404B50">
        <w:trPr>
          <w:trHeight w:val="300"/>
        </w:trPr>
        <w:tc>
          <w:tcPr>
            <w:tcW w:w="532" w:type="pct"/>
            <w:hideMark/>
          </w:tcPr>
          <w:p w:rsidR="0025522E" w:rsidRPr="004C1013" w:rsidRDefault="0025522E" w:rsidP="0025522E">
            <w:pPr>
              <w:pStyle w:val="tabbielystyl"/>
            </w:pPr>
            <w:r w:rsidRPr="004C1013">
              <w:t>2011</w:t>
            </w:r>
          </w:p>
        </w:tc>
        <w:tc>
          <w:tcPr>
            <w:tcW w:w="581" w:type="pct"/>
            <w:hideMark/>
          </w:tcPr>
          <w:p w:rsidR="0025522E" w:rsidRPr="004C1013" w:rsidRDefault="0025522E" w:rsidP="0025522E">
            <w:pPr>
              <w:pStyle w:val="tabbielystyl"/>
            </w:pPr>
            <w:r w:rsidRPr="004C1013">
              <w:t>8.</w:t>
            </w:r>
          </w:p>
        </w:tc>
        <w:tc>
          <w:tcPr>
            <w:tcW w:w="778" w:type="pct"/>
          </w:tcPr>
          <w:p w:rsidR="0025522E" w:rsidRPr="004C1013" w:rsidRDefault="0025522E" w:rsidP="0025522E">
            <w:pPr>
              <w:pStyle w:val="tabbielystyl"/>
            </w:pPr>
            <w:r w:rsidRPr="004C1013">
              <w:t>1 561,00</w:t>
            </w:r>
          </w:p>
        </w:tc>
        <w:tc>
          <w:tcPr>
            <w:tcW w:w="778" w:type="pct"/>
            <w:hideMark/>
          </w:tcPr>
          <w:p w:rsidR="0025522E" w:rsidRPr="004C1013" w:rsidRDefault="0025522E" w:rsidP="0025522E">
            <w:pPr>
              <w:pStyle w:val="tabbielystyl"/>
            </w:pPr>
            <w:r w:rsidRPr="004C1013">
              <w:t>1 062,00</w:t>
            </w:r>
          </w:p>
        </w:tc>
        <w:tc>
          <w:tcPr>
            <w:tcW w:w="778" w:type="pct"/>
          </w:tcPr>
          <w:p w:rsidR="0025522E" w:rsidRPr="004C1013" w:rsidRDefault="0025522E" w:rsidP="0025522E">
            <w:pPr>
              <w:pStyle w:val="tabbielystyl"/>
            </w:pPr>
            <w:r w:rsidRPr="004C1013">
              <w:t>1062,38</w:t>
            </w:r>
          </w:p>
        </w:tc>
        <w:tc>
          <w:tcPr>
            <w:tcW w:w="778" w:type="pct"/>
          </w:tcPr>
          <w:p w:rsidR="0025522E" w:rsidRPr="004C1013" w:rsidRDefault="0025522E" w:rsidP="0025522E">
            <w:pPr>
              <w:pStyle w:val="tabbielystyl"/>
            </w:pPr>
            <w:r w:rsidRPr="004C1013">
              <w:t>1 062</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2012</w:t>
            </w:r>
          </w:p>
        </w:tc>
        <w:tc>
          <w:tcPr>
            <w:tcW w:w="581" w:type="pct"/>
            <w:hideMark/>
          </w:tcPr>
          <w:p w:rsidR="0025522E" w:rsidRPr="004C1013" w:rsidRDefault="0025522E" w:rsidP="0025522E">
            <w:pPr>
              <w:pStyle w:val="tabbielystyl"/>
            </w:pPr>
            <w:r w:rsidRPr="004C1013">
              <w:t>9.</w:t>
            </w:r>
          </w:p>
        </w:tc>
        <w:tc>
          <w:tcPr>
            <w:tcW w:w="778" w:type="pct"/>
          </w:tcPr>
          <w:p w:rsidR="0025522E" w:rsidRPr="004C1013" w:rsidRDefault="0025522E" w:rsidP="0025522E">
            <w:pPr>
              <w:pStyle w:val="tabbielystyl"/>
            </w:pPr>
            <w:r w:rsidRPr="004C1013">
              <w:t>1 622,10</w:t>
            </w:r>
          </w:p>
        </w:tc>
        <w:tc>
          <w:tcPr>
            <w:tcW w:w="778" w:type="pct"/>
            <w:hideMark/>
          </w:tcPr>
          <w:p w:rsidR="0025522E" w:rsidRPr="004C1013" w:rsidRDefault="0025522E" w:rsidP="0025522E">
            <w:pPr>
              <w:pStyle w:val="tabbielystyl"/>
            </w:pPr>
            <w:r w:rsidRPr="004C1013">
              <w:t>1 103,00</w:t>
            </w:r>
          </w:p>
        </w:tc>
        <w:tc>
          <w:tcPr>
            <w:tcW w:w="778" w:type="pct"/>
          </w:tcPr>
          <w:p w:rsidR="0025522E" w:rsidRPr="004C1013" w:rsidRDefault="0025522E" w:rsidP="0025522E">
            <w:pPr>
              <w:pStyle w:val="tabbielystyl"/>
            </w:pPr>
            <w:r w:rsidRPr="004C1013">
              <w:t>1102,76</w:t>
            </w:r>
          </w:p>
        </w:tc>
        <w:tc>
          <w:tcPr>
            <w:tcW w:w="778" w:type="pct"/>
          </w:tcPr>
          <w:p w:rsidR="0025522E" w:rsidRPr="004C1013" w:rsidRDefault="0025522E" w:rsidP="0025522E">
            <w:pPr>
              <w:pStyle w:val="tabbielystyl"/>
            </w:pPr>
            <w:r w:rsidRPr="004C1013">
              <w:t>1 103</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2013</w:t>
            </w:r>
          </w:p>
        </w:tc>
        <w:tc>
          <w:tcPr>
            <w:tcW w:w="581" w:type="pct"/>
            <w:hideMark/>
          </w:tcPr>
          <w:p w:rsidR="0025522E" w:rsidRPr="004C1013" w:rsidRDefault="0025522E" w:rsidP="0025522E">
            <w:pPr>
              <w:pStyle w:val="tabbielystyl"/>
            </w:pPr>
            <w:r w:rsidRPr="004C1013">
              <w:t>10.</w:t>
            </w:r>
          </w:p>
        </w:tc>
        <w:tc>
          <w:tcPr>
            <w:tcW w:w="778" w:type="pct"/>
          </w:tcPr>
          <w:p w:rsidR="0025522E" w:rsidRPr="004C1013" w:rsidRDefault="0025522E" w:rsidP="0025522E">
            <w:pPr>
              <w:pStyle w:val="tabbielystyl"/>
            </w:pPr>
            <w:r w:rsidRPr="004C1013">
              <w:t>1 687,00</w:t>
            </w:r>
          </w:p>
        </w:tc>
        <w:tc>
          <w:tcPr>
            <w:tcW w:w="778" w:type="pct"/>
            <w:hideMark/>
          </w:tcPr>
          <w:p w:rsidR="0025522E" w:rsidRPr="004C1013" w:rsidRDefault="0025522E" w:rsidP="0025522E">
            <w:pPr>
              <w:pStyle w:val="tabbielystyl"/>
            </w:pPr>
            <w:r w:rsidRPr="004C1013">
              <w:t>1 134,00</w:t>
            </w:r>
          </w:p>
        </w:tc>
        <w:tc>
          <w:tcPr>
            <w:tcW w:w="778" w:type="pct"/>
          </w:tcPr>
          <w:p w:rsidR="0025522E" w:rsidRPr="004C1013" w:rsidRDefault="0025522E" w:rsidP="0025522E">
            <w:pPr>
              <w:pStyle w:val="tabbielystyl"/>
            </w:pPr>
            <w:r w:rsidRPr="004C1013">
              <w:t>1134,53</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2014</w:t>
            </w:r>
          </w:p>
        </w:tc>
        <w:tc>
          <w:tcPr>
            <w:tcW w:w="581" w:type="pct"/>
            <w:hideMark/>
          </w:tcPr>
          <w:p w:rsidR="0025522E" w:rsidRPr="004C1013" w:rsidRDefault="0025522E" w:rsidP="0025522E">
            <w:pPr>
              <w:pStyle w:val="tabbielystyl"/>
            </w:pPr>
            <w:r w:rsidRPr="004C1013">
              <w:t>11.</w:t>
            </w:r>
          </w:p>
        </w:tc>
        <w:tc>
          <w:tcPr>
            <w:tcW w:w="778" w:type="pct"/>
          </w:tcPr>
          <w:p w:rsidR="0025522E" w:rsidRPr="004C1013" w:rsidRDefault="0025522E" w:rsidP="0025522E">
            <w:pPr>
              <w:pStyle w:val="tabbielystyl"/>
            </w:pPr>
            <w:r w:rsidRPr="004C1013">
              <w:t>1 826,00</w:t>
            </w:r>
          </w:p>
        </w:tc>
        <w:tc>
          <w:tcPr>
            <w:tcW w:w="778" w:type="pct"/>
            <w:hideMark/>
          </w:tcPr>
          <w:p w:rsidR="0025522E" w:rsidRPr="004C1013" w:rsidRDefault="0025522E" w:rsidP="0025522E">
            <w:pPr>
              <w:pStyle w:val="tabbielystyl"/>
            </w:pPr>
            <w:r w:rsidRPr="004C1013">
              <w:t>1 242,00</w:t>
            </w:r>
          </w:p>
        </w:tc>
        <w:tc>
          <w:tcPr>
            <w:tcW w:w="778" w:type="pct"/>
          </w:tcPr>
          <w:p w:rsidR="0025522E" w:rsidRPr="004C1013" w:rsidRDefault="0025522E" w:rsidP="0025522E">
            <w:pPr>
              <w:pStyle w:val="tabbielystyl"/>
            </w:pPr>
            <w:r w:rsidRPr="004C1013">
              <w:t>1241,62</w:t>
            </w:r>
          </w:p>
        </w:tc>
        <w:tc>
          <w:tcPr>
            <w:tcW w:w="778" w:type="pct"/>
          </w:tcPr>
          <w:p w:rsidR="0025522E" w:rsidRPr="004C1013" w:rsidRDefault="0025522E" w:rsidP="0025522E">
            <w:pPr>
              <w:pStyle w:val="tabbielystyl"/>
            </w:pPr>
            <w:r w:rsidRPr="004C1013">
              <w:t>1 242</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2015</w:t>
            </w:r>
          </w:p>
        </w:tc>
        <w:tc>
          <w:tcPr>
            <w:tcW w:w="581" w:type="pct"/>
            <w:hideMark/>
          </w:tcPr>
          <w:p w:rsidR="0025522E" w:rsidRPr="004C1013" w:rsidRDefault="0025522E" w:rsidP="0025522E">
            <w:pPr>
              <w:pStyle w:val="tabbielystyl"/>
            </w:pPr>
            <w:r w:rsidRPr="004C1013">
              <w:t>12.</w:t>
            </w:r>
          </w:p>
        </w:tc>
        <w:tc>
          <w:tcPr>
            <w:tcW w:w="778" w:type="pct"/>
          </w:tcPr>
          <w:p w:rsidR="0025522E" w:rsidRPr="004C1013" w:rsidRDefault="0025522E" w:rsidP="0025522E">
            <w:pPr>
              <w:pStyle w:val="tabbielystyl"/>
            </w:pPr>
            <w:r w:rsidRPr="004C1013">
              <w:t>1 840,00</w:t>
            </w:r>
          </w:p>
        </w:tc>
        <w:tc>
          <w:tcPr>
            <w:tcW w:w="778" w:type="pct"/>
            <w:hideMark/>
          </w:tcPr>
          <w:p w:rsidR="0025522E" w:rsidRPr="004C1013" w:rsidRDefault="0025522E" w:rsidP="0025522E">
            <w:pPr>
              <w:pStyle w:val="tabbielystyl"/>
            </w:pPr>
            <w:r w:rsidRPr="004C1013">
              <w:t>1 253,00</w:t>
            </w:r>
          </w:p>
        </w:tc>
        <w:tc>
          <w:tcPr>
            <w:tcW w:w="778" w:type="pct"/>
          </w:tcPr>
          <w:p w:rsidR="0025522E" w:rsidRPr="004C1013" w:rsidRDefault="0025522E" w:rsidP="0025522E">
            <w:pPr>
              <w:pStyle w:val="tabbielystyl"/>
            </w:pPr>
            <w:r w:rsidRPr="004C1013">
              <w:t>1252,53</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2016</w:t>
            </w:r>
          </w:p>
        </w:tc>
        <w:tc>
          <w:tcPr>
            <w:tcW w:w="581" w:type="pct"/>
            <w:hideMark/>
          </w:tcPr>
          <w:p w:rsidR="0025522E" w:rsidRPr="004C1013" w:rsidRDefault="0025522E" w:rsidP="0025522E">
            <w:pPr>
              <w:pStyle w:val="tabbielystyl"/>
            </w:pPr>
            <w:r w:rsidRPr="004C1013">
              <w:t>13.</w:t>
            </w:r>
          </w:p>
        </w:tc>
        <w:tc>
          <w:tcPr>
            <w:tcW w:w="778" w:type="pct"/>
          </w:tcPr>
          <w:p w:rsidR="0025522E" w:rsidRPr="004C1013" w:rsidRDefault="0025522E" w:rsidP="0025522E">
            <w:pPr>
              <w:pStyle w:val="tabbielystyl"/>
            </w:pPr>
            <w:r w:rsidRPr="004C1013">
              <w:t>1 902,00</w:t>
            </w:r>
          </w:p>
        </w:tc>
        <w:tc>
          <w:tcPr>
            <w:tcW w:w="778" w:type="pct"/>
            <w:hideMark/>
          </w:tcPr>
          <w:p w:rsidR="0025522E" w:rsidRPr="004C1013" w:rsidRDefault="0025522E" w:rsidP="0025522E">
            <w:pPr>
              <w:pStyle w:val="tabbielystyl"/>
            </w:pPr>
            <w:r w:rsidRPr="004C1013">
              <w:t>1 257,00</w:t>
            </w:r>
          </w:p>
        </w:tc>
        <w:tc>
          <w:tcPr>
            <w:tcW w:w="778" w:type="pct"/>
          </w:tcPr>
          <w:p w:rsidR="0025522E" w:rsidRPr="004C1013" w:rsidRDefault="0025522E" w:rsidP="0025522E">
            <w:pPr>
              <w:pStyle w:val="tabbielystyl"/>
            </w:pPr>
            <w:r w:rsidRPr="004C1013">
              <w:t>1273,57</w:t>
            </w:r>
          </w:p>
        </w:tc>
        <w:tc>
          <w:tcPr>
            <w:tcW w:w="778" w:type="pct"/>
          </w:tcPr>
          <w:p w:rsidR="0025522E" w:rsidRPr="004C1013" w:rsidRDefault="0025522E" w:rsidP="0025522E">
            <w:pPr>
              <w:pStyle w:val="tabbielystyl"/>
            </w:pPr>
            <w:r w:rsidRPr="004C1013">
              <w:t>1,274</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2017</w:t>
            </w:r>
          </w:p>
        </w:tc>
        <w:tc>
          <w:tcPr>
            <w:tcW w:w="581" w:type="pct"/>
            <w:hideMark/>
          </w:tcPr>
          <w:p w:rsidR="0025522E" w:rsidRPr="004C1013" w:rsidRDefault="0025522E" w:rsidP="0025522E">
            <w:pPr>
              <w:pStyle w:val="tabbielystyl"/>
            </w:pPr>
            <w:r w:rsidRPr="004C1013">
              <w:t>14.</w:t>
            </w:r>
          </w:p>
        </w:tc>
        <w:tc>
          <w:tcPr>
            <w:tcW w:w="778" w:type="pct"/>
          </w:tcPr>
          <w:p w:rsidR="0025522E" w:rsidRPr="004C1013" w:rsidRDefault="0025522E" w:rsidP="0025522E">
            <w:pPr>
              <w:pStyle w:val="tabbielystyl"/>
            </w:pPr>
            <w:r w:rsidRPr="004C1013">
              <w:t>2 019,00</w:t>
            </w:r>
          </w:p>
        </w:tc>
        <w:tc>
          <w:tcPr>
            <w:tcW w:w="778" w:type="pct"/>
            <w:hideMark/>
          </w:tcPr>
          <w:p w:rsidR="0025522E" w:rsidRPr="004C1013" w:rsidRDefault="0025522E" w:rsidP="0025522E">
            <w:pPr>
              <w:pStyle w:val="tabbielystyl"/>
            </w:pPr>
            <w:r w:rsidRPr="004C1013">
              <w:t>1 370,00</w:t>
            </w:r>
          </w:p>
        </w:tc>
        <w:tc>
          <w:tcPr>
            <w:tcW w:w="778" w:type="pct"/>
          </w:tcPr>
          <w:p w:rsidR="0025522E" w:rsidRPr="004C1013" w:rsidRDefault="0025522E" w:rsidP="0025522E">
            <w:pPr>
              <w:pStyle w:val="tabbielystyl"/>
            </w:pPr>
            <w:r w:rsidRPr="004C1013">
              <w:t xml:space="preserve">1370,01 </w:t>
            </w:r>
          </w:p>
        </w:tc>
        <w:tc>
          <w:tcPr>
            <w:tcW w:w="778" w:type="pct"/>
          </w:tcPr>
          <w:p w:rsidR="0025522E" w:rsidRPr="004C1013" w:rsidRDefault="0025522E" w:rsidP="0025522E">
            <w:pPr>
              <w:pStyle w:val="tabbielystyl"/>
            </w:pPr>
            <w:r w:rsidRPr="004C1013">
              <w:t>N/A</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532" w:type="pct"/>
            <w:hideMark/>
          </w:tcPr>
          <w:p w:rsidR="0025522E" w:rsidRPr="004C1013" w:rsidRDefault="0025522E" w:rsidP="0025522E">
            <w:pPr>
              <w:pStyle w:val="tabbielystyl"/>
            </w:pPr>
            <w:r w:rsidRPr="004C1013">
              <w:t>2018</w:t>
            </w:r>
          </w:p>
        </w:tc>
        <w:tc>
          <w:tcPr>
            <w:tcW w:w="581" w:type="pct"/>
            <w:hideMark/>
          </w:tcPr>
          <w:p w:rsidR="0025522E" w:rsidRPr="004C1013" w:rsidRDefault="0025522E" w:rsidP="0025522E">
            <w:pPr>
              <w:pStyle w:val="tabbielystyl"/>
            </w:pPr>
            <w:r w:rsidRPr="004C1013">
              <w:t>15.</w:t>
            </w:r>
          </w:p>
        </w:tc>
        <w:tc>
          <w:tcPr>
            <w:tcW w:w="778" w:type="pct"/>
          </w:tcPr>
          <w:p w:rsidR="0025522E" w:rsidRPr="004C1013" w:rsidRDefault="0025522E" w:rsidP="0025522E">
            <w:pPr>
              <w:pStyle w:val="tabbielystyl"/>
            </w:pPr>
            <w:r w:rsidRPr="004C1013">
              <w:t>2 156,00</w:t>
            </w:r>
          </w:p>
        </w:tc>
        <w:tc>
          <w:tcPr>
            <w:tcW w:w="778" w:type="pct"/>
            <w:hideMark/>
          </w:tcPr>
          <w:p w:rsidR="0025522E" w:rsidRPr="004C1013" w:rsidRDefault="0025522E" w:rsidP="0025522E">
            <w:pPr>
              <w:pStyle w:val="tabbielystyl"/>
            </w:pPr>
            <w:r w:rsidRPr="004C1013">
              <w:t>1 468,00</w:t>
            </w:r>
          </w:p>
        </w:tc>
        <w:tc>
          <w:tcPr>
            <w:tcW w:w="778" w:type="pct"/>
          </w:tcPr>
          <w:p w:rsidR="0025522E" w:rsidRPr="004C1013" w:rsidRDefault="0025522E" w:rsidP="0025522E">
            <w:pPr>
              <w:pStyle w:val="tabbielystyl"/>
            </w:pPr>
            <w:r w:rsidRPr="004C1013">
              <w:t>1464,84</w:t>
            </w:r>
          </w:p>
        </w:tc>
        <w:tc>
          <w:tcPr>
            <w:tcW w:w="778" w:type="pct"/>
          </w:tcPr>
          <w:p w:rsidR="0025522E" w:rsidRPr="004C1013" w:rsidRDefault="0025522E" w:rsidP="0025522E">
            <w:pPr>
              <w:pStyle w:val="tabbielystyl"/>
            </w:pPr>
            <w:r w:rsidRPr="004C1013">
              <w:t xml:space="preserve">1465 </w:t>
            </w:r>
          </w:p>
        </w:tc>
        <w:tc>
          <w:tcPr>
            <w:tcW w:w="775" w:type="pct"/>
          </w:tcPr>
          <w:p w:rsidR="0025522E" w:rsidRPr="004C1013" w:rsidRDefault="0025522E" w:rsidP="0025522E">
            <w:pPr>
              <w:pStyle w:val="tabbielystyl"/>
            </w:pPr>
            <w:r w:rsidRPr="004C1013">
              <w:t>N/A</w:t>
            </w:r>
          </w:p>
        </w:tc>
      </w:tr>
      <w:tr w:rsidR="0025522E" w:rsidRPr="004C1013" w:rsidTr="00404B50">
        <w:trPr>
          <w:trHeight w:val="300"/>
        </w:trPr>
        <w:tc>
          <w:tcPr>
            <w:tcW w:w="1114"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778" w:type="pct"/>
            <w:shd w:val="clear" w:color="auto" w:fill="7F7F7F" w:themeFill="text1" w:themeFillTint="80"/>
            <w:vAlign w:val="bottom"/>
          </w:tcPr>
          <w:p w:rsidR="0025522E" w:rsidRPr="004C1013" w:rsidRDefault="0025522E" w:rsidP="0025522E">
            <w:pPr>
              <w:pStyle w:val="tabukasivystyl"/>
            </w:pPr>
            <w:r w:rsidRPr="004C1013">
              <w:t>1185</w:t>
            </w:r>
          </w:p>
        </w:tc>
        <w:tc>
          <w:tcPr>
            <w:tcW w:w="778" w:type="pct"/>
            <w:shd w:val="clear" w:color="auto" w:fill="7F7F7F" w:themeFill="text1" w:themeFillTint="80"/>
            <w:vAlign w:val="bottom"/>
            <w:hideMark/>
          </w:tcPr>
          <w:p w:rsidR="0025522E" w:rsidRPr="004C1013" w:rsidRDefault="0025522E" w:rsidP="0025522E">
            <w:pPr>
              <w:pStyle w:val="tabukasivystyl"/>
            </w:pPr>
            <w:r w:rsidRPr="004C1013">
              <w:t>1133</w:t>
            </w:r>
          </w:p>
        </w:tc>
        <w:tc>
          <w:tcPr>
            <w:tcW w:w="778" w:type="pct"/>
            <w:shd w:val="clear" w:color="auto" w:fill="7F7F7F" w:themeFill="text1" w:themeFillTint="80"/>
            <w:vAlign w:val="bottom"/>
          </w:tcPr>
          <w:p w:rsidR="0025522E" w:rsidRPr="004C1013" w:rsidRDefault="0025522E" w:rsidP="0025522E">
            <w:pPr>
              <w:pStyle w:val="tabukasivystyl"/>
            </w:pPr>
            <w:r w:rsidRPr="004C1013">
              <w:t>1024</w:t>
            </w:r>
          </w:p>
        </w:tc>
        <w:tc>
          <w:tcPr>
            <w:tcW w:w="778" w:type="pct"/>
            <w:shd w:val="clear" w:color="auto" w:fill="7F7F7F" w:themeFill="text1" w:themeFillTint="80"/>
            <w:vAlign w:val="bottom"/>
          </w:tcPr>
          <w:p w:rsidR="0025522E" w:rsidRPr="004C1013" w:rsidRDefault="0025522E" w:rsidP="0025522E">
            <w:pPr>
              <w:pStyle w:val="tabukasivystyl"/>
            </w:pPr>
            <w:r w:rsidRPr="004C1013">
              <w:t>966</w:t>
            </w:r>
          </w:p>
        </w:tc>
        <w:tc>
          <w:tcPr>
            <w:tcW w:w="775" w:type="pct"/>
            <w:shd w:val="clear" w:color="auto" w:fill="7F7F7F" w:themeFill="text1" w:themeFillTint="80"/>
            <w:vAlign w:val="bottom"/>
          </w:tcPr>
          <w:p w:rsidR="0025522E" w:rsidRPr="004C1013" w:rsidRDefault="0025522E" w:rsidP="0025522E">
            <w:pPr>
              <w:pStyle w:val="tabukasivystyl"/>
            </w:pPr>
            <w:r w:rsidRPr="004C1013">
              <w:t>1185</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Pre účely získania kompletného súboru údajov o výnosoch ETC od začiatku prevádzky systému boli ako reprezentatívne údaje použité údaje uvádzané v zdroji [24] a chýbajúce príjmy za roky 2004 a 2005 boli vypočítané ako priemerný podiel (67,74%) kumulovaných príjmov uvádzaných v štatistických bulletinoch ASECAP [15], (</w:t>
      </w:r>
      <w:r w:rsidR="00C40D3F">
        <w:fldChar w:fldCharType="begin"/>
      </w:r>
      <w:r w:rsidR="00C40D3F">
        <w:instrText xml:space="preserve"> REF _Ref19744453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14</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95" w:name="_Toc36664463"/>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21</w:t>
      </w:r>
      <w:r w:rsidR="00C40D3F">
        <w:rPr>
          <w:noProof/>
        </w:rPr>
        <w:fldChar w:fldCharType="end"/>
      </w:r>
      <w:r w:rsidRPr="004C1013">
        <w:t xml:space="preserve"> </w:t>
      </w:r>
      <w:r w:rsidRPr="004C1013">
        <w:tab/>
        <w:t>Rakúsko: ETC indikátor 3. Výnosy</w:t>
      </w:r>
      <w:bookmarkEnd w:id="95"/>
      <w:r w:rsidRPr="004C1013">
        <w:t xml:space="preserve"> </w:t>
      </w:r>
    </w:p>
    <w:tbl>
      <w:tblPr>
        <w:tblStyle w:val="tabulkaVUD"/>
        <w:tblW w:w="5000" w:type="pct"/>
        <w:tblLook w:val="04A0" w:firstRow="1" w:lastRow="0" w:firstColumn="1" w:lastColumn="0" w:noHBand="0" w:noVBand="1"/>
      </w:tblPr>
      <w:tblGrid>
        <w:gridCol w:w="3005"/>
        <w:gridCol w:w="2916"/>
        <w:gridCol w:w="3490"/>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375"/>
          <w:tblHeader/>
        </w:trPr>
        <w:tc>
          <w:tcPr>
            <w:tcW w:w="1597" w:type="pct"/>
            <w:shd w:val="clear" w:color="auto" w:fill="7F7F7F" w:themeFill="text1" w:themeFillTint="80"/>
            <w:hideMark/>
          </w:tcPr>
          <w:p w:rsidR="0025522E" w:rsidRPr="004C1013" w:rsidRDefault="0025522E" w:rsidP="009D58D5">
            <w:pPr>
              <w:pStyle w:val="zahltab"/>
            </w:pPr>
            <w:r w:rsidRPr="004C1013">
              <w:t>Kalendárny rok</w:t>
            </w:r>
          </w:p>
        </w:tc>
        <w:tc>
          <w:tcPr>
            <w:tcW w:w="1549" w:type="pct"/>
            <w:hideMark/>
          </w:tcPr>
          <w:p w:rsidR="0025522E" w:rsidRPr="004C1013" w:rsidRDefault="0025522E" w:rsidP="009D58D5">
            <w:pPr>
              <w:pStyle w:val="zahltab"/>
            </w:pPr>
            <w:r w:rsidRPr="004C1013">
              <w:t>Rok prevádzky</w:t>
            </w:r>
          </w:p>
        </w:tc>
        <w:tc>
          <w:tcPr>
            <w:tcW w:w="1854" w:type="pct"/>
          </w:tcPr>
          <w:p w:rsidR="00CE625A" w:rsidRDefault="0025522E" w:rsidP="009D58D5">
            <w:pPr>
              <w:pStyle w:val="zahltab"/>
            </w:pPr>
            <w:r w:rsidRPr="004C1013">
              <w:t>Výnosy</w:t>
            </w:r>
          </w:p>
          <w:p w:rsidR="0025522E" w:rsidRPr="004C1013" w:rsidRDefault="0025522E" w:rsidP="009D58D5">
            <w:pPr>
              <w:pStyle w:val="zahltab"/>
            </w:pPr>
            <w:r w:rsidRPr="004C1013">
              <w:t xml:space="preserve"> (mil. €)</w:t>
            </w:r>
          </w:p>
        </w:tc>
      </w:tr>
      <w:tr w:rsidR="0025522E" w:rsidRPr="004C1013" w:rsidTr="00404B50">
        <w:trPr>
          <w:trHeight w:val="283"/>
        </w:trPr>
        <w:tc>
          <w:tcPr>
            <w:tcW w:w="1597" w:type="pct"/>
            <w:hideMark/>
          </w:tcPr>
          <w:p w:rsidR="0025522E" w:rsidRPr="004C1013" w:rsidRDefault="0025522E" w:rsidP="0025522E">
            <w:pPr>
              <w:pStyle w:val="tabbielystyl"/>
            </w:pPr>
            <w:r w:rsidRPr="004C1013">
              <w:t>2004</w:t>
            </w:r>
          </w:p>
        </w:tc>
        <w:tc>
          <w:tcPr>
            <w:tcW w:w="1549" w:type="pct"/>
            <w:hideMark/>
          </w:tcPr>
          <w:p w:rsidR="0025522E" w:rsidRPr="004C1013" w:rsidRDefault="0025522E" w:rsidP="0025522E">
            <w:pPr>
              <w:pStyle w:val="tabbielystyl"/>
            </w:pPr>
            <w:r w:rsidRPr="004C1013">
              <w:t>1.</w:t>
            </w:r>
          </w:p>
        </w:tc>
        <w:tc>
          <w:tcPr>
            <w:tcW w:w="1854" w:type="pct"/>
            <w:vAlign w:val="bottom"/>
          </w:tcPr>
          <w:p w:rsidR="0025522E" w:rsidRPr="004C1013" w:rsidRDefault="0025522E" w:rsidP="0025522E">
            <w:pPr>
              <w:pStyle w:val="tabbielystyl"/>
            </w:pPr>
            <w:r w:rsidRPr="004C1013">
              <w:t>785,12</w:t>
            </w:r>
          </w:p>
        </w:tc>
      </w:tr>
      <w:tr w:rsidR="0025522E" w:rsidRPr="004C1013" w:rsidTr="00404B50">
        <w:trPr>
          <w:trHeight w:val="283"/>
        </w:trPr>
        <w:tc>
          <w:tcPr>
            <w:tcW w:w="1597" w:type="pct"/>
            <w:hideMark/>
          </w:tcPr>
          <w:p w:rsidR="0025522E" w:rsidRPr="004C1013" w:rsidRDefault="0025522E" w:rsidP="0025522E">
            <w:pPr>
              <w:pStyle w:val="tabbielystyl"/>
            </w:pPr>
            <w:r w:rsidRPr="004C1013">
              <w:t>2005</w:t>
            </w:r>
          </w:p>
        </w:tc>
        <w:tc>
          <w:tcPr>
            <w:tcW w:w="1549" w:type="pct"/>
            <w:hideMark/>
          </w:tcPr>
          <w:p w:rsidR="0025522E" w:rsidRPr="004C1013" w:rsidRDefault="0025522E" w:rsidP="0025522E">
            <w:pPr>
              <w:pStyle w:val="tabbielystyl"/>
            </w:pPr>
            <w:r w:rsidRPr="004C1013">
              <w:t>2.</w:t>
            </w:r>
          </w:p>
        </w:tc>
        <w:tc>
          <w:tcPr>
            <w:tcW w:w="1854" w:type="pct"/>
            <w:vAlign w:val="bottom"/>
          </w:tcPr>
          <w:p w:rsidR="0025522E" w:rsidRPr="004C1013" w:rsidRDefault="0025522E" w:rsidP="0025522E">
            <w:pPr>
              <w:pStyle w:val="tabbielystyl"/>
            </w:pPr>
            <w:r w:rsidRPr="004C1013">
              <w:t>807,47</w:t>
            </w:r>
          </w:p>
        </w:tc>
      </w:tr>
      <w:tr w:rsidR="0025522E" w:rsidRPr="004C1013" w:rsidTr="00404B50">
        <w:trPr>
          <w:trHeight w:val="283"/>
        </w:trPr>
        <w:tc>
          <w:tcPr>
            <w:tcW w:w="1597" w:type="pct"/>
            <w:hideMark/>
          </w:tcPr>
          <w:p w:rsidR="0025522E" w:rsidRPr="004C1013" w:rsidRDefault="0025522E" w:rsidP="0025522E">
            <w:pPr>
              <w:pStyle w:val="tabbielystyl"/>
            </w:pPr>
            <w:r w:rsidRPr="004C1013">
              <w:t>2006</w:t>
            </w:r>
          </w:p>
        </w:tc>
        <w:tc>
          <w:tcPr>
            <w:tcW w:w="1549" w:type="pct"/>
            <w:hideMark/>
          </w:tcPr>
          <w:p w:rsidR="0025522E" w:rsidRPr="004C1013" w:rsidRDefault="0025522E" w:rsidP="0025522E">
            <w:pPr>
              <w:pStyle w:val="tabbielystyl"/>
            </w:pPr>
            <w:r w:rsidRPr="004C1013">
              <w:t>3.</w:t>
            </w:r>
          </w:p>
        </w:tc>
        <w:tc>
          <w:tcPr>
            <w:tcW w:w="1854" w:type="pct"/>
          </w:tcPr>
          <w:p w:rsidR="0025522E" w:rsidRPr="004C1013" w:rsidRDefault="0025522E" w:rsidP="0025522E">
            <w:pPr>
              <w:pStyle w:val="tabbielystyl"/>
            </w:pPr>
            <w:r w:rsidRPr="004C1013">
              <w:t>825,18</w:t>
            </w:r>
          </w:p>
        </w:tc>
      </w:tr>
      <w:tr w:rsidR="0025522E" w:rsidRPr="004C1013" w:rsidTr="00404B50">
        <w:trPr>
          <w:trHeight w:val="283"/>
        </w:trPr>
        <w:tc>
          <w:tcPr>
            <w:tcW w:w="1597" w:type="pct"/>
            <w:hideMark/>
          </w:tcPr>
          <w:p w:rsidR="0025522E" w:rsidRPr="004C1013" w:rsidRDefault="0025522E" w:rsidP="0025522E">
            <w:pPr>
              <w:pStyle w:val="tabbielystyl"/>
            </w:pPr>
            <w:r w:rsidRPr="004C1013">
              <w:t>2007</w:t>
            </w:r>
          </w:p>
        </w:tc>
        <w:tc>
          <w:tcPr>
            <w:tcW w:w="1549" w:type="pct"/>
            <w:hideMark/>
          </w:tcPr>
          <w:p w:rsidR="0025522E" w:rsidRPr="004C1013" w:rsidRDefault="0025522E" w:rsidP="0025522E">
            <w:pPr>
              <w:pStyle w:val="tabbielystyl"/>
            </w:pPr>
            <w:r w:rsidRPr="004C1013">
              <w:t>4.</w:t>
            </w:r>
          </w:p>
        </w:tc>
        <w:tc>
          <w:tcPr>
            <w:tcW w:w="1854" w:type="pct"/>
          </w:tcPr>
          <w:p w:rsidR="0025522E" w:rsidRPr="004C1013" w:rsidRDefault="0025522E" w:rsidP="0025522E">
            <w:pPr>
              <w:pStyle w:val="tabbielystyl"/>
            </w:pPr>
            <w:r w:rsidRPr="004C1013">
              <w:t>983,67</w:t>
            </w:r>
          </w:p>
        </w:tc>
      </w:tr>
      <w:tr w:rsidR="0025522E" w:rsidRPr="004C1013" w:rsidTr="00404B50">
        <w:trPr>
          <w:trHeight w:val="283"/>
        </w:trPr>
        <w:tc>
          <w:tcPr>
            <w:tcW w:w="1597" w:type="pct"/>
            <w:hideMark/>
          </w:tcPr>
          <w:p w:rsidR="0025522E" w:rsidRPr="004C1013" w:rsidRDefault="0025522E" w:rsidP="0025522E">
            <w:pPr>
              <w:pStyle w:val="tabbielystyl"/>
            </w:pPr>
            <w:r w:rsidRPr="004C1013">
              <w:t>2008</w:t>
            </w:r>
          </w:p>
        </w:tc>
        <w:tc>
          <w:tcPr>
            <w:tcW w:w="1549" w:type="pct"/>
            <w:hideMark/>
          </w:tcPr>
          <w:p w:rsidR="0025522E" w:rsidRPr="004C1013" w:rsidRDefault="0025522E" w:rsidP="0025522E">
            <w:pPr>
              <w:pStyle w:val="tabbielystyl"/>
            </w:pPr>
            <w:r w:rsidRPr="004C1013">
              <w:t>5.</w:t>
            </w:r>
          </w:p>
        </w:tc>
        <w:tc>
          <w:tcPr>
            <w:tcW w:w="1854" w:type="pct"/>
          </w:tcPr>
          <w:p w:rsidR="0025522E" w:rsidRPr="004C1013" w:rsidRDefault="0025522E" w:rsidP="0025522E">
            <w:pPr>
              <w:pStyle w:val="tabbielystyl"/>
            </w:pPr>
            <w:r w:rsidRPr="004C1013">
              <w:t>1062,011</w:t>
            </w:r>
          </w:p>
        </w:tc>
      </w:tr>
      <w:tr w:rsidR="0025522E" w:rsidRPr="004C1013" w:rsidTr="00404B50">
        <w:trPr>
          <w:trHeight w:val="283"/>
        </w:trPr>
        <w:tc>
          <w:tcPr>
            <w:tcW w:w="1597" w:type="pct"/>
            <w:hideMark/>
          </w:tcPr>
          <w:p w:rsidR="0025522E" w:rsidRPr="004C1013" w:rsidRDefault="0025522E" w:rsidP="0025522E">
            <w:pPr>
              <w:pStyle w:val="tabbielystyl"/>
            </w:pPr>
            <w:r w:rsidRPr="004C1013">
              <w:t>2009</w:t>
            </w:r>
          </w:p>
        </w:tc>
        <w:tc>
          <w:tcPr>
            <w:tcW w:w="1549" w:type="pct"/>
            <w:hideMark/>
          </w:tcPr>
          <w:p w:rsidR="0025522E" w:rsidRPr="004C1013" w:rsidRDefault="0025522E" w:rsidP="0025522E">
            <w:pPr>
              <w:pStyle w:val="tabbielystyl"/>
            </w:pPr>
            <w:r w:rsidRPr="004C1013">
              <w:t>6.</w:t>
            </w:r>
          </w:p>
        </w:tc>
        <w:tc>
          <w:tcPr>
            <w:tcW w:w="1854" w:type="pct"/>
          </w:tcPr>
          <w:p w:rsidR="0025522E" w:rsidRPr="004C1013" w:rsidRDefault="0025522E" w:rsidP="0025522E">
            <w:pPr>
              <w:pStyle w:val="tabbielystyl"/>
            </w:pPr>
            <w:r w:rsidRPr="004C1013">
              <w:t>926,168</w:t>
            </w:r>
          </w:p>
        </w:tc>
      </w:tr>
      <w:tr w:rsidR="0025522E" w:rsidRPr="004C1013" w:rsidTr="00404B50">
        <w:trPr>
          <w:trHeight w:val="283"/>
        </w:trPr>
        <w:tc>
          <w:tcPr>
            <w:tcW w:w="1597" w:type="pct"/>
            <w:hideMark/>
          </w:tcPr>
          <w:p w:rsidR="0025522E" w:rsidRPr="004C1013" w:rsidRDefault="0025522E" w:rsidP="0025522E">
            <w:pPr>
              <w:pStyle w:val="tabbielystyl"/>
            </w:pPr>
            <w:r w:rsidRPr="004C1013">
              <w:t>2010</w:t>
            </w:r>
          </w:p>
        </w:tc>
        <w:tc>
          <w:tcPr>
            <w:tcW w:w="1549" w:type="pct"/>
            <w:hideMark/>
          </w:tcPr>
          <w:p w:rsidR="0025522E" w:rsidRPr="004C1013" w:rsidRDefault="0025522E" w:rsidP="0025522E">
            <w:pPr>
              <w:pStyle w:val="tabbielystyl"/>
            </w:pPr>
            <w:r w:rsidRPr="004C1013">
              <w:t>7.</w:t>
            </w:r>
          </w:p>
        </w:tc>
        <w:tc>
          <w:tcPr>
            <w:tcW w:w="1854" w:type="pct"/>
          </w:tcPr>
          <w:p w:rsidR="0025522E" w:rsidRPr="004C1013" w:rsidRDefault="0025522E" w:rsidP="0025522E">
            <w:pPr>
              <w:pStyle w:val="tabbielystyl"/>
            </w:pPr>
            <w:r w:rsidRPr="004C1013">
              <w:t>1031,01</w:t>
            </w:r>
          </w:p>
        </w:tc>
      </w:tr>
      <w:tr w:rsidR="0025522E" w:rsidRPr="004C1013" w:rsidTr="00404B50">
        <w:trPr>
          <w:trHeight w:val="283"/>
        </w:trPr>
        <w:tc>
          <w:tcPr>
            <w:tcW w:w="1597" w:type="pct"/>
            <w:hideMark/>
          </w:tcPr>
          <w:p w:rsidR="0025522E" w:rsidRPr="004C1013" w:rsidRDefault="0025522E" w:rsidP="0025522E">
            <w:pPr>
              <w:pStyle w:val="tabbielystyl"/>
            </w:pPr>
            <w:r w:rsidRPr="004C1013">
              <w:t>2011</w:t>
            </w:r>
          </w:p>
        </w:tc>
        <w:tc>
          <w:tcPr>
            <w:tcW w:w="1549" w:type="pct"/>
            <w:hideMark/>
          </w:tcPr>
          <w:p w:rsidR="0025522E" w:rsidRPr="004C1013" w:rsidRDefault="0025522E" w:rsidP="0025522E">
            <w:pPr>
              <w:pStyle w:val="tabbielystyl"/>
            </w:pPr>
            <w:r w:rsidRPr="004C1013">
              <w:t>8.</w:t>
            </w:r>
          </w:p>
        </w:tc>
        <w:tc>
          <w:tcPr>
            <w:tcW w:w="1854" w:type="pct"/>
          </w:tcPr>
          <w:p w:rsidR="0025522E" w:rsidRPr="004C1013" w:rsidRDefault="0025522E" w:rsidP="0025522E">
            <w:pPr>
              <w:pStyle w:val="tabbielystyl"/>
            </w:pPr>
            <w:r w:rsidRPr="004C1013">
              <w:t>1062,38</w:t>
            </w:r>
          </w:p>
        </w:tc>
      </w:tr>
      <w:tr w:rsidR="0025522E" w:rsidRPr="004C1013" w:rsidTr="00404B50">
        <w:trPr>
          <w:trHeight w:val="283"/>
        </w:trPr>
        <w:tc>
          <w:tcPr>
            <w:tcW w:w="1597" w:type="pct"/>
            <w:hideMark/>
          </w:tcPr>
          <w:p w:rsidR="0025522E" w:rsidRPr="004C1013" w:rsidRDefault="0025522E" w:rsidP="0025522E">
            <w:pPr>
              <w:pStyle w:val="tabbielystyl"/>
            </w:pPr>
            <w:r w:rsidRPr="004C1013">
              <w:t>2012</w:t>
            </w:r>
          </w:p>
        </w:tc>
        <w:tc>
          <w:tcPr>
            <w:tcW w:w="1549" w:type="pct"/>
            <w:hideMark/>
          </w:tcPr>
          <w:p w:rsidR="0025522E" w:rsidRPr="004C1013" w:rsidRDefault="0025522E" w:rsidP="0025522E">
            <w:pPr>
              <w:pStyle w:val="tabbielystyl"/>
            </w:pPr>
            <w:r w:rsidRPr="004C1013">
              <w:t>9.</w:t>
            </w:r>
          </w:p>
        </w:tc>
        <w:tc>
          <w:tcPr>
            <w:tcW w:w="1854" w:type="pct"/>
          </w:tcPr>
          <w:p w:rsidR="0025522E" w:rsidRPr="004C1013" w:rsidRDefault="0025522E" w:rsidP="0025522E">
            <w:pPr>
              <w:pStyle w:val="tabbielystyl"/>
            </w:pPr>
            <w:r w:rsidRPr="004C1013">
              <w:t>1102,76</w:t>
            </w:r>
          </w:p>
        </w:tc>
      </w:tr>
      <w:tr w:rsidR="0025522E" w:rsidRPr="004C1013" w:rsidTr="00404B50">
        <w:trPr>
          <w:trHeight w:val="283"/>
        </w:trPr>
        <w:tc>
          <w:tcPr>
            <w:tcW w:w="1597" w:type="pct"/>
            <w:hideMark/>
          </w:tcPr>
          <w:p w:rsidR="0025522E" w:rsidRPr="004C1013" w:rsidRDefault="0025522E" w:rsidP="0025522E">
            <w:pPr>
              <w:pStyle w:val="tabbielystyl"/>
            </w:pPr>
            <w:r w:rsidRPr="004C1013">
              <w:t>2013</w:t>
            </w:r>
          </w:p>
        </w:tc>
        <w:tc>
          <w:tcPr>
            <w:tcW w:w="1549" w:type="pct"/>
            <w:hideMark/>
          </w:tcPr>
          <w:p w:rsidR="0025522E" w:rsidRPr="004C1013" w:rsidRDefault="0025522E" w:rsidP="0025522E">
            <w:pPr>
              <w:pStyle w:val="tabbielystyl"/>
            </w:pPr>
            <w:r w:rsidRPr="004C1013">
              <w:t>10.</w:t>
            </w:r>
          </w:p>
        </w:tc>
        <w:tc>
          <w:tcPr>
            <w:tcW w:w="1854" w:type="pct"/>
          </w:tcPr>
          <w:p w:rsidR="0025522E" w:rsidRPr="004C1013" w:rsidRDefault="0025522E" w:rsidP="0025522E">
            <w:pPr>
              <w:pStyle w:val="tabbielystyl"/>
            </w:pPr>
            <w:r w:rsidRPr="004C1013">
              <w:t>1134,53</w:t>
            </w:r>
          </w:p>
        </w:tc>
      </w:tr>
      <w:tr w:rsidR="0025522E" w:rsidRPr="004C1013" w:rsidTr="00404B50">
        <w:trPr>
          <w:trHeight w:val="283"/>
        </w:trPr>
        <w:tc>
          <w:tcPr>
            <w:tcW w:w="1597" w:type="pct"/>
            <w:hideMark/>
          </w:tcPr>
          <w:p w:rsidR="0025522E" w:rsidRPr="004C1013" w:rsidRDefault="0025522E" w:rsidP="0025522E">
            <w:pPr>
              <w:pStyle w:val="tabbielystyl"/>
            </w:pPr>
            <w:r w:rsidRPr="004C1013">
              <w:t>2014</w:t>
            </w:r>
          </w:p>
        </w:tc>
        <w:tc>
          <w:tcPr>
            <w:tcW w:w="1549" w:type="pct"/>
            <w:hideMark/>
          </w:tcPr>
          <w:p w:rsidR="0025522E" w:rsidRPr="004C1013" w:rsidRDefault="0025522E" w:rsidP="0025522E">
            <w:pPr>
              <w:pStyle w:val="tabbielystyl"/>
            </w:pPr>
            <w:r w:rsidRPr="004C1013">
              <w:t>11.</w:t>
            </w:r>
          </w:p>
        </w:tc>
        <w:tc>
          <w:tcPr>
            <w:tcW w:w="1854" w:type="pct"/>
          </w:tcPr>
          <w:p w:rsidR="0025522E" w:rsidRPr="004C1013" w:rsidRDefault="0025522E" w:rsidP="0025522E">
            <w:pPr>
              <w:pStyle w:val="tabbielystyl"/>
            </w:pPr>
            <w:r w:rsidRPr="004C1013">
              <w:t>1241,62</w:t>
            </w:r>
          </w:p>
        </w:tc>
      </w:tr>
      <w:tr w:rsidR="0025522E" w:rsidRPr="004C1013" w:rsidTr="00404B50">
        <w:trPr>
          <w:trHeight w:val="283"/>
        </w:trPr>
        <w:tc>
          <w:tcPr>
            <w:tcW w:w="1597" w:type="pct"/>
            <w:hideMark/>
          </w:tcPr>
          <w:p w:rsidR="0025522E" w:rsidRPr="004C1013" w:rsidRDefault="0025522E" w:rsidP="0025522E">
            <w:pPr>
              <w:pStyle w:val="tabbielystyl"/>
            </w:pPr>
            <w:r w:rsidRPr="004C1013">
              <w:t>2015</w:t>
            </w:r>
          </w:p>
        </w:tc>
        <w:tc>
          <w:tcPr>
            <w:tcW w:w="1549" w:type="pct"/>
            <w:hideMark/>
          </w:tcPr>
          <w:p w:rsidR="0025522E" w:rsidRPr="004C1013" w:rsidRDefault="0025522E" w:rsidP="0025522E">
            <w:pPr>
              <w:pStyle w:val="tabbielystyl"/>
            </w:pPr>
            <w:r w:rsidRPr="004C1013">
              <w:t>12.</w:t>
            </w:r>
          </w:p>
        </w:tc>
        <w:tc>
          <w:tcPr>
            <w:tcW w:w="1854" w:type="pct"/>
          </w:tcPr>
          <w:p w:rsidR="0025522E" w:rsidRPr="004C1013" w:rsidRDefault="0025522E" w:rsidP="0025522E">
            <w:pPr>
              <w:pStyle w:val="tabbielystyl"/>
            </w:pPr>
            <w:r w:rsidRPr="004C1013">
              <w:t>1252,53</w:t>
            </w:r>
          </w:p>
        </w:tc>
      </w:tr>
      <w:tr w:rsidR="0025522E" w:rsidRPr="004C1013" w:rsidTr="00404B50">
        <w:trPr>
          <w:trHeight w:val="283"/>
        </w:trPr>
        <w:tc>
          <w:tcPr>
            <w:tcW w:w="1597" w:type="pct"/>
            <w:hideMark/>
          </w:tcPr>
          <w:p w:rsidR="0025522E" w:rsidRPr="004C1013" w:rsidRDefault="0025522E" w:rsidP="0025522E">
            <w:pPr>
              <w:pStyle w:val="tabbielystyl"/>
            </w:pPr>
            <w:r w:rsidRPr="004C1013">
              <w:t>2016</w:t>
            </w:r>
          </w:p>
        </w:tc>
        <w:tc>
          <w:tcPr>
            <w:tcW w:w="1549" w:type="pct"/>
            <w:hideMark/>
          </w:tcPr>
          <w:p w:rsidR="0025522E" w:rsidRPr="004C1013" w:rsidRDefault="0025522E" w:rsidP="0025522E">
            <w:pPr>
              <w:pStyle w:val="tabbielystyl"/>
            </w:pPr>
            <w:r w:rsidRPr="004C1013">
              <w:t>13.</w:t>
            </w:r>
          </w:p>
        </w:tc>
        <w:tc>
          <w:tcPr>
            <w:tcW w:w="1854" w:type="pct"/>
          </w:tcPr>
          <w:p w:rsidR="0025522E" w:rsidRPr="004C1013" w:rsidRDefault="0025522E" w:rsidP="0025522E">
            <w:pPr>
              <w:pStyle w:val="tabbielystyl"/>
            </w:pPr>
            <w:r w:rsidRPr="004C1013">
              <w:t>1273,57</w:t>
            </w:r>
          </w:p>
        </w:tc>
      </w:tr>
      <w:tr w:rsidR="0025522E" w:rsidRPr="004C1013" w:rsidTr="00404B50">
        <w:trPr>
          <w:trHeight w:val="283"/>
        </w:trPr>
        <w:tc>
          <w:tcPr>
            <w:tcW w:w="1597" w:type="pct"/>
            <w:hideMark/>
          </w:tcPr>
          <w:p w:rsidR="0025522E" w:rsidRPr="004C1013" w:rsidRDefault="0025522E" w:rsidP="0025522E">
            <w:pPr>
              <w:pStyle w:val="tabbielystyl"/>
            </w:pPr>
            <w:r w:rsidRPr="004C1013">
              <w:t>2017</w:t>
            </w:r>
          </w:p>
        </w:tc>
        <w:tc>
          <w:tcPr>
            <w:tcW w:w="1549" w:type="pct"/>
            <w:hideMark/>
          </w:tcPr>
          <w:p w:rsidR="0025522E" w:rsidRPr="004C1013" w:rsidRDefault="0025522E" w:rsidP="0025522E">
            <w:pPr>
              <w:pStyle w:val="tabbielystyl"/>
            </w:pPr>
            <w:r w:rsidRPr="004C1013">
              <w:t>14.</w:t>
            </w:r>
          </w:p>
        </w:tc>
        <w:tc>
          <w:tcPr>
            <w:tcW w:w="1854" w:type="pct"/>
          </w:tcPr>
          <w:p w:rsidR="0025522E" w:rsidRPr="004C1013" w:rsidRDefault="0025522E" w:rsidP="0025522E">
            <w:pPr>
              <w:pStyle w:val="tabbielystyl"/>
            </w:pPr>
            <w:r w:rsidRPr="004C1013">
              <w:t xml:space="preserve">1370,01 </w:t>
            </w:r>
          </w:p>
        </w:tc>
      </w:tr>
      <w:tr w:rsidR="0025522E" w:rsidRPr="004C1013" w:rsidTr="00404B50">
        <w:trPr>
          <w:trHeight w:val="283"/>
        </w:trPr>
        <w:tc>
          <w:tcPr>
            <w:tcW w:w="1597" w:type="pct"/>
            <w:hideMark/>
          </w:tcPr>
          <w:p w:rsidR="0025522E" w:rsidRPr="004C1013" w:rsidRDefault="0025522E" w:rsidP="0025522E">
            <w:pPr>
              <w:pStyle w:val="tabbielystyl"/>
            </w:pPr>
            <w:r w:rsidRPr="004C1013">
              <w:t>2018</w:t>
            </w:r>
          </w:p>
        </w:tc>
        <w:tc>
          <w:tcPr>
            <w:tcW w:w="1549" w:type="pct"/>
            <w:hideMark/>
          </w:tcPr>
          <w:p w:rsidR="0025522E" w:rsidRPr="004C1013" w:rsidRDefault="0025522E" w:rsidP="0025522E">
            <w:pPr>
              <w:pStyle w:val="tabbielystyl"/>
            </w:pPr>
            <w:r w:rsidRPr="004C1013">
              <w:t>15.</w:t>
            </w:r>
          </w:p>
        </w:tc>
        <w:tc>
          <w:tcPr>
            <w:tcW w:w="1854" w:type="pct"/>
          </w:tcPr>
          <w:p w:rsidR="0025522E" w:rsidRPr="004C1013" w:rsidRDefault="0025522E" w:rsidP="0025522E">
            <w:pPr>
              <w:pStyle w:val="tabbielystyl"/>
            </w:pPr>
            <w:r w:rsidRPr="004C1013">
              <w:t>1464,84</w:t>
            </w:r>
          </w:p>
        </w:tc>
      </w:tr>
      <w:tr w:rsidR="0025522E" w:rsidRPr="004C1013" w:rsidTr="00404B50">
        <w:trPr>
          <w:trHeight w:val="283"/>
        </w:trPr>
        <w:tc>
          <w:tcPr>
            <w:tcW w:w="3146"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54" w:type="pct"/>
            <w:shd w:val="clear" w:color="auto" w:fill="7F7F7F" w:themeFill="text1" w:themeFillTint="80"/>
            <w:vAlign w:val="bottom"/>
          </w:tcPr>
          <w:p w:rsidR="0025522E" w:rsidRPr="004C1013" w:rsidRDefault="0025522E" w:rsidP="0025522E">
            <w:pPr>
              <w:pStyle w:val="tabukasivystyl"/>
            </w:pPr>
            <w:r w:rsidRPr="004C1013">
              <w:t>16 322,87</w:t>
            </w:r>
          </w:p>
        </w:tc>
      </w:tr>
      <w:tr w:rsidR="0025522E" w:rsidRPr="004C1013" w:rsidTr="00404B50">
        <w:trPr>
          <w:trHeight w:val="283"/>
        </w:trPr>
        <w:tc>
          <w:tcPr>
            <w:tcW w:w="3146" w:type="pct"/>
            <w:gridSpan w:val="2"/>
            <w:shd w:val="clear" w:color="auto" w:fill="7F7F7F" w:themeFill="text1" w:themeFillTint="80"/>
            <w:hideMark/>
          </w:tcPr>
          <w:p w:rsidR="0025522E" w:rsidRPr="004C1013" w:rsidRDefault="0025522E" w:rsidP="0025522E">
            <w:pPr>
              <w:pStyle w:val="tabukasivystyl"/>
            </w:pPr>
            <w:r w:rsidRPr="004C1013">
              <w:t>Priemer</w:t>
            </w:r>
          </w:p>
        </w:tc>
        <w:tc>
          <w:tcPr>
            <w:tcW w:w="1854" w:type="pct"/>
            <w:shd w:val="clear" w:color="auto" w:fill="7F7F7F" w:themeFill="text1" w:themeFillTint="80"/>
            <w:vAlign w:val="bottom"/>
          </w:tcPr>
          <w:p w:rsidR="0025522E" w:rsidRPr="004C1013" w:rsidRDefault="0025522E" w:rsidP="0025522E">
            <w:pPr>
              <w:pStyle w:val="tabukasivystyl"/>
            </w:pPr>
            <w:r w:rsidRPr="004C1013">
              <w:t>1 088,19</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Náklady na vybudovanie a prevádzku systému ETC v Rakúsku nie sú v dostupnej literatúre podrobne uvádzané za jednotlivé roky prevádzky. Prevažne sa uvádzajú len prvotné investičné náklady, priemerné prevádzkové náklady a celkové náklady na systém ako percentuálny podiel z príjmov, poprípade sú dostupné len údaje za vybrané roky prevádzky. Z výročných správ ASFINAG nie je možné jednoznačne identifikovať náklady systému ETC. Dostupné zdroje uvádzajú nasledujúce údaje o nákladoch systému:</w:t>
      </w:r>
    </w:p>
    <w:p w:rsidR="0025522E" w:rsidRPr="004C1013" w:rsidRDefault="0025522E" w:rsidP="002812CC">
      <w:pPr>
        <w:pStyle w:val="Normaltext"/>
        <w:numPr>
          <w:ilvl w:val="0"/>
          <w:numId w:val="23"/>
        </w:numPr>
        <w:spacing w:line="276" w:lineRule="auto"/>
        <w:rPr>
          <w:rFonts w:asciiTheme="minorHAnsi" w:hAnsiTheme="minorHAnsi" w:cstheme="minorHAnsi"/>
        </w:rPr>
      </w:pPr>
      <w:r w:rsidRPr="004C1013">
        <w:rPr>
          <w:rFonts w:asciiTheme="minorHAnsi" w:hAnsiTheme="minorHAnsi" w:cstheme="minorHAnsi"/>
        </w:rPr>
        <w:t xml:space="preserve">Investičné náklady: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750 mil. € v roku 2004 [25],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800 mil. € [22],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370 mil. € v roku 2005 </w:t>
      </w:r>
      <w:r w:rsidRPr="004C1013">
        <w:rPr>
          <w:rFonts w:asciiTheme="minorHAnsi" w:hAnsiTheme="minorHAnsi" w:cstheme="minorHAnsi"/>
          <w:lang w:val="en-US"/>
        </w:rPr>
        <w:t>[27]</w:t>
      </w:r>
      <w:r w:rsidRPr="004C1013">
        <w:rPr>
          <w:rFonts w:asciiTheme="minorHAnsi" w:hAnsiTheme="minorHAnsi" w:cstheme="minorHAnsi"/>
        </w:rPr>
        <w:t xml:space="preserve">,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250 – 370 mil.€ v roku 2005 </w:t>
      </w:r>
      <w:r w:rsidRPr="004C1013">
        <w:rPr>
          <w:rFonts w:asciiTheme="minorHAnsi" w:hAnsiTheme="minorHAnsi" w:cstheme="minorHAnsi"/>
          <w:lang w:val="en-US"/>
        </w:rPr>
        <w:t>[29]</w:t>
      </w:r>
      <w:r w:rsidRPr="004C1013">
        <w:rPr>
          <w:rFonts w:asciiTheme="minorHAnsi" w:hAnsiTheme="minorHAnsi" w:cstheme="minorHAnsi"/>
        </w:rPr>
        <w:t>,</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3% z príjmov v roku 2005 </w:t>
      </w:r>
      <w:r w:rsidRPr="004C1013">
        <w:rPr>
          <w:rFonts w:asciiTheme="minorHAnsi" w:hAnsiTheme="minorHAnsi" w:cstheme="minorHAnsi"/>
          <w:lang w:val="en-US"/>
        </w:rPr>
        <w:t>[27].</w:t>
      </w:r>
    </w:p>
    <w:p w:rsidR="0025522E" w:rsidRPr="004C1013" w:rsidRDefault="0025522E" w:rsidP="002812CC">
      <w:pPr>
        <w:pStyle w:val="Normaltext"/>
        <w:numPr>
          <w:ilvl w:val="0"/>
          <w:numId w:val="23"/>
        </w:numPr>
        <w:spacing w:line="276" w:lineRule="auto"/>
        <w:rPr>
          <w:rFonts w:asciiTheme="minorHAnsi" w:hAnsiTheme="minorHAnsi" w:cstheme="minorHAnsi"/>
        </w:rPr>
      </w:pPr>
      <w:r w:rsidRPr="004C1013">
        <w:rPr>
          <w:rFonts w:asciiTheme="minorHAnsi" w:hAnsiTheme="minorHAnsi" w:cstheme="minorHAnsi"/>
        </w:rPr>
        <w:t xml:space="preserve">Prevádzkové náklady: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35 mil. € v roku 2005 – po prepočítaní 4,3% z príjmov </w:t>
      </w:r>
      <w:r w:rsidRPr="00E442EA">
        <w:rPr>
          <w:rFonts w:asciiTheme="minorHAnsi" w:hAnsiTheme="minorHAnsi" w:cstheme="minorHAnsi"/>
        </w:rPr>
        <w:t>[27]</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4% z príjmov v roku 2005 </w:t>
      </w:r>
      <w:r w:rsidRPr="004C1013">
        <w:rPr>
          <w:rFonts w:asciiTheme="minorHAnsi" w:hAnsiTheme="minorHAnsi" w:cstheme="minorHAnsi"/>
          <w:lang w:val="en-US"/>
        </w:rPr>
        <w:t>[29],</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9% príjmov v roku 2005 [27] – po prepočítaní 69,3 mil. €,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90 mil. € v roku 2008 [25] - po prepočítaní 8,5 % z príjmov.</w:t>
      </w:r>
    </w:p>
    <w:p w:rsidR="0025522E" w:rsidRPr="004C1013" w:rsidRDefault="0025522E" w:rsidP="002812CC">
      <w:pPr>
        <w:pStyle w:val="Normaltext"/>
        <w:numPr>
          <w:ilvl w:val="0"/>
          <w:numId w:val="23"/>
        </w:numPr>
        <w:spacing w:line="276" w:lineRule="auto"/>
        <w:rPr>
          <w:rFonts w:asciiTheme="minorHAnsi" w:hAnsiTheme="minorHAnsi" w:cstheme="minorHAnsi"/>
        </w:rPr>
      </w:pPr>
      <w:r w:rsidRPr="004C1013">
        <w:rPr>
          <w:rFonts w:asciiTheme="minorHAnsi" w:hAnsiTheme="minorHAnsi" w:cstheme="minorHAnsi"/>
        </w:rPr>
        <w:t xml:space="preserve">Celkové náklady: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10-11% z príjmov v roku 2011 [25],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12% v roku 2013 [22],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20% v prvých rokoch prevádzky systému [22],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7-12% [25], </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11% [28],</w:t>
      </w:r>
    </w:p>
    <w:p w:rsidR="0025522E" w:rsidRPr="004C1013" w:rsidRDefault="0025522E" w:rsidP="002812CC">
      <w:pPr>
        <w:pStyle w:val="Normaltext"/>
        <w:numPr>
          <w:ilvl w:val="1"/>
          <w:numId w:val="23"/>
        </w:numPr>
        <w:spacing w:line="276" w:lineRule="auto"/>
        <w:rPr>
          <w:rFonts w:asciiTheme="minorHAnsi" w:hAnsiTheme="minorHAnsi" w:cstheme="minorHAnsi"/>
        </w:rPr>
      </w:pPr>
      <w:r w:rsidRPr="004C1013">
        <w:rPr>
          <w:rFonts w:asciiTheme="minorHAnsi" w:hAnsiTheme="minorHAnsi" w:cstheme="minorHAnsi"/>
        </w:rPr>
        <w:t xml:space="preserve">12% </w:t>
      </w:r>
      <w:r w:rsidRPr="004C1013">
        <w:rPr>
          <w:rFonts w:asciiTheme="minorHAnsi" w:hAnsiTheme="minorHAnsi" w:cstheme="minorHAnsi"/>
          <w:lang w:val="en-US"/>
        </w:rPr>
        <w:t>[29].</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Vzhľadom na významné disproporcie v uvádzaných zdrojoch realizoval riešiteľský kolektív viacero variantných vzájomných výpočtov, pričom dospel k záveru, že z uvedených údajov nie je možné vyskladať reprezentatívnu sumu nákladov za jednotlivé roky prevádzky systému. Z uvedeného dôvodu riešiteľský kolektív uprednostnil najčastejšie uvádzanú výšku nákladov, a to 12% z výnosov (</w:t>
      </w:r>
      <w:r w:rsidR="00C40D3F">
        <w:fldChar w:fldCharType="begin"/>
      </w:r>
      <w:r w:rsidR="00C40D3F">
        <w:instrText xml:space="preserve"> REF _Ref20642865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22</w:t>
      </w:r>
      <w:r w:rsidR="00C40D3F">
        <w:fldChar w:fldCharType="end"/>
      </w:r>
      <w:r w:rsidRPr="004C1013">
        <w:rPr>
          <w:rFonts w:asciiTheme="minorHAnsi" w:hAnsiTheme="minorHAnsi" w:cstheme="minorHAnsi"/>
        </w:rPr>
        <w:t>). V tomto význame a vo vzťahu ku komparatívnej analýze systémov ETC je však potrebné zdôrazniť, že výška nákladov bola v prvých rokoch prevádzky systému s veľkou pravdepodobnosťou vyššia [22] a v tejto súvislosti je rakúsky systém ETC z hľadiska jeho celkovej efektívnosti zvýhodnený oproti ostatným porovnávaným systémom.</w:t>
      </w:r>
    </w:p>
    <w:p w:rsidR="0025522E" w:rsidRPr="004C1013" w:rsidRDefault="0025522E" w:rsidP="006B1C25">
      <w:pPr>
        <w:pStyle w:val="tabstyl"/>
      </w:pPr>
      <w:bookmarkStart w:id="96" w:name="_Ref20642865"/>
      <w:bookmarkStart w:id="97" w:name="_Toc36664464"/>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22</w:t>
      </w:r>
      <w:r w:rsidR="00C40D3F">
        <w:rPr>
          <w:noProof/>
        </w:rPr>
        <w:fldChar w:fldCharType="end"/>
      </w:r>
      <w:bookmarkEnd w:id="96"/>
      <w:r w:rsidRPr="004C1013">
        <w:t xml:space="preserve"> </w:t>
      </w:r>
      <w:r w:rsidRPr="004C1013">
        <w:tab/>
        <w:t>Rakúsko: ETC indikátor 3. Náklady</w:t>
      </w:r>
      <w:bookmarkEnd w:id="97"/>
    </w:p>
    <w:tbl>
      <w:tblPr>
        <w:tblStyle w:val="tabulkaVUD"/>
        <w:tblW w:w="5000" w:type="pct"/>
        <w:tblLook w:val="04A0" w:firstRow="1" w:lastRow="0" w:firstColumn="1" w:lastColumn="0" w:noHBand="0" w:noVBand="1"/>
      </w:tblPr>
      <w:tblGrid>
        <w:gridCol w:w="3173"/>
        <w:gridCol w:w="2876"/>
        <w:gridCol w:w="3362"/>
      </w:tblGrid>
      <w:tr w:rsidR="0025522E" w:rsidRPr="004C1013" w:rsidTr="0025522E">
        <w:trPr>
          <w:cnfStyle w:val="100000000000" w:firstRow="1" w:lastRow="0" w:firstColumn="0" w:lastColumn="0" w:oddVBand="0" w:evenVBand="0" w:oddHBand="0" w:evenHBand="0" w:firstRowFirstColumn="0" w:firstRowLastColumn="0" w:lastRowFirstColumn="0" w:lastRowLastColumn="0"/>
          <w:trHeight w:val="824"/>
          <w:tblHeader/>
        </w:trPr>
        <w:tc>
          <w:tcPr>
            <w:tcW w:w="1686" w:type="pct"/>
            <w:noWrap/>
            <w:hideMark/>
          </w:tcPr>
          <w:p w:rsidR="0025522E" w:rsidRPr="004C1013" w:rsidRDefault="0025522E" w:rsidP="009D58D5">
            <w:pPr>
              <w:pStyle w:val="zahltab"/>
            </w:pPr>
            <w:r w:rsidRPr="004C1013">
              <w:t>Kalendárny</w:t>
            </w:r>
          </w:p>
          <w:p w:rsidR="0025522E" w:rsidRPr="004C1013" w:rsidRDefault="0025522E" w:rsidP="009D58D5">
            <w:pPr>
              <w:pStyle w:val="zahltab"/>
              <w:rPr>
                <w:color w:val="000000"/>
              </w:rPr>
            </w:pPr>
            <w:r w:rsidRPr="004C1013">
              <w:t>rok</w:t>
            </w:r>
          </w:p>
        </w:tc>
        <w:tc>
          <w:tcPr>
            <w:tcW w:w="1528" w:type="pct"/>
          </w:tcPr>
          <w:p w:rsidR="0025522E" w:rsidRPr="004C1013" w:rsidRDefault="0025522E" w:rsidP="009D58D5">
            <w:pPr>
              <w:pStyle w:val="zahltab"/>
            </w:pPr>
            <w:r w:rsidRPr="004C1013">
              <w:t>Rok prevádzky</w:t>
            </w:r>
          </w:p>
        </w:tc>
        <w:tc>
          <w:tcPr>
            <w:tcW w:w="1786" w:type="pct"/>
          </w:tcPr>
          <w:p w:rsidR="0025522E" w:rsidRPr="004C1013" w:rsidRDefault="0025522E" w:rsidP="009D58D5">
            <w:pPr>
              <w:pStyle w:val="zahltab"/>
            </w:pPr>
            <w:r w:rsidRPr="004C1013">
              <w:t>Náklady</w:t>
            </w:r>
          </w:p>
          <w:p w:rsidR="0025522E" w:rsidRPr="004C1013" w:rsidRDefault="0025522E" w:rsidP="009D58D5">
            <w:pPr>
              <w:pStyle w:val="zahltab"/>
            </w:pPr>
            <w:r w:rsidRPr="004C1013">
              <w:t>(mil. €)</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2004</w:t>
            </w:r>
          </w:p>
        </w:tc>
        <w:tc>
          <w:tcPr>
            <w:tcW w:w="1528" w:type="pct"/>
          </w:tcPr>
          <w:p w:rsidR="0025522E" w:rsidRPr="004C1013" w:rsidRDefault="0025522E" w:rsidP="0025522E">
            <w:pPr>
              <w:pStyle w:val="tabbielystyl"/>
            </w:pPr>
            <w:r w:rsidRPr="004C1013">
              <w:t>1.</w:t>
            </w:r>
          </w:p>
        </w:tc>
        <w:tc>
          <w:tcPr>
            <w:tcW w:w="1786" w:type="pct"/>
            <w:noWrap/>
            <w:vAlign w:val="bottom"/>
            <w:hideMark/>
          </w:tcPr>
          <w:p w:rsidR="0025522E" w:rsidRPr="004C1013" w:rsidRDefault="0025522E" w:rsidP="0025522E">
            <w:pPr>
              <w:pStyle w:val="tabbielystyl"/>
            </w:pPr>
            <w:r w:rsidRPr="004C1013">
              <w:t>94,21</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2005</w:t>
            </w:r>
          </w:p>
        </w:tc>
        <w:tc>
          <w:tcPr>
            <w:tcW w:w="1528" w:type="pct"/>
          </w:tcPr>
          <w:p w:rsidR="0025522E" w:rsidRPr="004C1013" w:rsidRDefault="0025522E" w:rsidP="0025522E">
            <w:pPr>
              <w:pStyle w:val="tabbielystyl"/>
            </w:pPr>
            <w:r w:rsidRPr="004C1013">
              <w:t>2.</w:t>
            </w:r>
          </w:p>
        </w:tc>
        <w:tc>
          <w:tcPr>
            <w:tcW w:w="1786" w:type="pct"/>
            <w:noWrap/>
            <w:vAlign w:val="bottom"/>
            <w:hideMark/>
          </w:tcPr>
          <w:p w:rsidR="0025522E" w:rsidRPr="004C1013" w:rsidRDefault="0025522E" w:rsidP="0025522E">
            <w:pPr>
              <w:pStyle w:val="tabbielystyl"/>
            </w:pPr>
            <w:r w:rsidRPr="004C1013">
              <w:t>96,90</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2006</w:t>
            </w:r>
          </w:p>
        </w:tc>
        <w:tc>
          <w:tcPr>
            <w:tcW w:w="1528" w:type="pct"/>
          </w:tcPr>
          <w:p w:rsidR="0025522E" w:rsidRPr="004C1013" w:rsidRDefault="0025522E" w:rsidP="0025522E">
            <w:pPr>
              <w:pStyle w:val="tabbielystyl"/>
            </w:pPr>
            <w:r w:rsidRPr="004C1013">
              <w:t>3.</w:t>
            </w:r>
          </w:p>
        </w:tc>
        <w:tc>
          <w:tcPr>
            <w:tcW w:w="1786" w:type="pct"/>
            <w:noWrap/>
            <w:vAlign w:val="bottom"/>
            <w:hideMark/>
          </w:tcPr>
          <w:p w:rsidR="0025522E" w:rsidRPr="004C1013" w:rsidRDefault="0025522E" w:rsidP="0025522E">
            <w:pPr>
              <w:pStyle w:val="tabbielystyl"/>
            </w:pPr>
            <w:r w:rsidRPr="004C1013">
              <w:t>99,02</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2007</w:t>
            </w:r>
          </w:p>
        </w:tc>
        <w:tc>
          <w:tcPr>
            <w:tcW w:w="1528" w:type="pct"/>
          </w:tcPr>
          <w:p w:rsidR="0025522E" w:rsidRPr="004C1013" w:rsidRDefault="0025522E" w:rsidP="0025522E">
            <w:pPr>
              <w:pStyle w:val="tabbielystyl"/>
            </w:pPr>
            <w:r w:rsidRPr="004C1013">
              <w:t>4.</w:t>
            </w:r>
          </w:p>
        </w:tc>
        <w:tc>
          <w:tcPr>
            <w:tcW w:w="1786" w:type="pct"/>
            <w:noWrap/>
            <w:vAlign w:val="bottom"/>
            <w:hideMark/>
          </w:tcPr>
          <w:p w:rsidR="0025522E" w:rsidRPr="004C1013" w:rsidRDefault="0025522E" w:rsidP="0025522E">
            <w:pPr>
              <w:pStyle w:val="tabbielystyl"/>
            </w:pPr>
            <w:r w:rsidRPr="004C1013">
              <w:t>118,04</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2008</w:t>
            </w:r>
          </w:p>
        </w:tc>
        <w:tc>
          <w:tcPr>
            <w:tcW w:w="1528" w:type="pct"/>
          </w:tcPr>
          <w:p w:rsidR="0025522E" w:rsidRPr="004C1013" w:rsidRDefault="0025522E" w:rsidP="0025522E">
            <w:pPr>
              <w:pStyle w:val="tabbielystyl"/>
            </w:pPr>
            <w:r w:rsidRPr="004C1013">
              <w:t>5.</w:t>
            </w:r>
          </w:p>
        </w:tc>
        <w:tc>
          <w:tcPr>
            <w:tcW w:w="1786" w:type="pct"/>
            <w:noWrap/>
            <w:vAlign w:val="bottom"/>
            <w:hideMark/>
          </w:tcPr>
          <w:p w:rsidR="0025522E" w:rsidRPr="004C1013" w:rsidRDefault="0025522E" w:rsidP="0025522E">
            <w:pPr>
              <w:pStyle w:val="tabbielystyl"/>
            </w:pPr>
            <w:r w:rsidRPr="004C1013">
              <w:t>127,44</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2009</w:t>
            </w:r>
          </w:p>
        </w:tc>
        <w:tc>
          <w:tcPr>
            <w:tcW w:w="1528" w:type="pct"/>
          </w:tcPr>
          <w:p w:rsidR="0025522E" w:rsidRPr="004C1013" w:rsidRDefault="0025522E" w:rsidP="0025522E">
            <w:pPr>
              <w:pStyle w:val="tabbielystyl"/>
            </w:pPr>
            <w:r w:rsidRPr="004C1013">
              <w:t>6.</w:t>
            </w:r>
          </w:p>
        </w:tc>
        <w:tc>
          <w:tcPr>
            <w:tcW w:w="1786" w:type="pct"/>
            <w:noWrap/>
            <w:vAlign w:val="bottom"/>
            <w:hideMark/>
          </w:tcPr>
          <w:p w:rsidR="0025522E" w:rsidRPr="004C1013" w:rsidRDefault="0025522E" w:rsidP="0025522E">
            <w:pPr>
              <w:pStyle w:val="tabbielystyl"/>
            </w:pPr>
            <w:r w:rsidRPr="004C1013">
              <w:t>111,14</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2010</w:t>
            </w:r>
          </w:p>
        </w:tc>
        <w:tc>
          <w:tcPr>
            <w:tcW w:w="1528" w:type="pct"/>
          </w:tcPr>
          <w:p w:rsidR="0025522E" w:rsidRPr="004C1013" w:rsidRDefault="0025522E" w:rsidP="0025522E">
            <w:pPr>
              <w:pStyle w:val="tabbielystyl"/>
            </w:pPr>
            <w:r w:rsidRPr="004C1013">
              <w:t>7.</w:t>
            </w:r>
          </w:p>
        </w:tc>
        <w:tc>
          <w:tcPr>
            <w:tcW w:w="1786" w:type="pct"/>
            <w:noWrap/>
            <w:vAlign w:val="bottom"/>
            <w:hideMark/>
          </w:tcPr>
          <w:p w:rsidR="0025522E" w:rsidRPr="004C1013" w:rsidRDefault="0025522E" w:rsidP="0025522E">
            <w:pPr>
              <w:pStyle w:val="tabbielystyl"/>
            </w:pPr>
            <w:r w:rsidRPr="004C1013">
              <w:t>123,72</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2011</w:t>
            </w:r>
          </w:p>
        </w:tc>
        <w:tc>
          <w:tcPr>
            <w:tcW w:w="1528" w:type="pct"/>
          </w:tcPr>
          <w:p w:rsidR="0025522E" w:rsidRPr="004C1013" w:rsidRDefault="0025522E" w:rsidP="0025522E">
            <w:pPr>
              <w:pStyle w:val="tabbielystyl"/>
            </w:pPr>
            <w:r w:rsidRPr="004C1013">
              <w:t>8.</w:t>
            </w:r>
          </w:p>
        </w:tc>
        <w:tc>
          <w:tcPr>
            <w:tcW w:w="1786" w:type="pct"/>
            <w:noWrap/>
            <w:vAlign w:val="bottom"/>
            <w:hideMark/>
          </w:tcPr>
          <w:p w:rsidR="0025522E" w:rsidRPr="004C1013" w:rsidRDefault="0025522E" w:rsidP="0025522E">
            <w:pPr>
              <w:pStyle w:val="tabbielystyl"/>
            </w:pPr>
            <w:r w:rsidRPr="004C1013">
              <w:t>127,49</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2012</w:t>
            </w:r>
          </w:p>
        </w:tc>
        <w:tc>
          <w:tcPr>
            <w:tcW w:w="1528" w:type="pct"/>
          </w:tcPr>
          <w:p w:rsidR="0025522E" w:rsidRPr="004C1013" w:rsidRDefault="0025522E" w:rsidP="0025522E">
            <w:pPr>
              <w:pStyle w:val="tabbielystyl"/>
            </w:pPr>
            <w:r w:rsidRPr="004C1013">
              <w:t>9.</w:t>
            </w:r>
          </w:p>
        </w:tc>
        <w:tc>
          <w:tcPr>
            <w:tcW w:w="1786" w:type="pct"/>
            <w:noWrap/>
            <w:vAlign w:val="bottom"/>
            <w:hideMark/>
          </w:tcPr>
          <w:p w:rsidR="0025522E" w:rsidRPr="004C1013" w:rsidRDefault="0025522E" w:rsidP="0025522E">
            <w:pPr>
              <w:pStyle w:val="tabbielystyl"/>
            </w:pPr>
            <w:r w:rsidRPr="004C1013">
              <w:t>132,33</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2013</w:t>
            </w:r>
          </w:p>
        </w:tc>
        <w:tc>
          <w:tcPr>
            <w:tcW w:w="1528" w:type="pct"/>
          </w:tcPr>
          <w:p w:rsidR="0025522E" w:rsidRPr="004C1013" w:rsidRDefault="0025522E" w:rsidP="0025522E">
            <w:pPr>
              <w:pStyle w:val="tabbielystyl"/>
            </w:pPr>
            <w:r w:rsidRPr="004C1013">
              <w:t>10.</w:t>
            </w:r>
          </w:p>
        </w:tc>
        <w:tc>
          <w:tcPr>
            <w:tcW w:w="1786" w:type="pct"/>
            <w:noWrap/>
            <w:vAlign w:val="bottom"/>
            <w:hideMark/>
          </w:tcPr>
          <w:p w:rsidR="0025522E" w:rsidRPr="004C1013" w:rsidRDefault="0025522E" w:rsidP="0025522E">
            <w:pPr>
              <w:pStyle w:val="tabbielystyl"/>
            </w:pPr>
            <w:r w:rsidRPr="004C1013">
              <w:t>136,14</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2014</w:t>
            </w:r>
          </w:p>
        </w:tc>
        <w:tc>
          <w:tcPr>
            <w:tcW w:w="1528" w:type="pct"/>
          </w:tcPr>
          <w:p w:rsidR="0025522E" w:rsidRPr="004C1013" w:rsidRDefault="0025522E" w:rsidP="0025522E">
            <w:pPr>
              <w:pStyle w:val="tabbielystyl"/>
            </w:pPr>
            <w:r w:rsidRPr="004C1013">
              <w:t>11.</w:t>
            </w:r>
          </w:p>
        </w:tc>
        <w:tc>
          <w:tcPr>
            <w:tcW w:w="1786" w:type="pct"/>
            <w:noWrap/>
            <w:vAlign w:val="bottom"/>
            <w:hideMark/>
          </w:tcPr>
          <w:p w:rsidR="0025522E" w:rsidRPr="004C1013" w:rsidRDefault="0025522E" w:rsidP="0025522E">
            <w:pPr>
              <w:pStyle w:val="tabbielystyl"/>
            </w:pPr>
            <w:r w:rsidRPr="004C1013">
              <w:t>148,99</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2015</w:t>
            </w:r>
          </w:p>
        </w:tc>
        <w:tc>
          <w:tcPr>
            <w:tcW w:w="1528" w:type="pct"/>
          </w:tcPr>
          <w:p w:rsidR="0025522E" w:rsidRPr="004C1013" w:rsidRDefault="0025522E" w:rsidP="0025522E">
            <w:pPr>
              <w:pStyle w:val="tabbielystyl"/>
            </w:pPr>
            <w:r w:rsidRPr="004C1013">
              <w:t>12.</w:t>
            </w:r>
          </w:p>
        </w:tc>
        <w:tc>
          <w:tcPr>
            <w:tcW w:w="1786" w:type="pct"/>
            <w:noWrap/>
            <w:vAlign w:val="bottom"/>
            <w:hideMark/>
          </w:tcPr>
          <w:p w:rsidR="0025522E" w:rsidRPr="004C1013" w:rsidRDefault="0025522E" w:rsidP="0025522E">
            <w:pPr>
              <w:pStyle w:val="tabbielystyl"/>
            </w:pPr>
            <w:r w:rsidRPr="004C1013">
              <w:t>150,30</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2016</w:t>
            </w:r>
          </w:p>
        </w:tc>
        <w:tc>
          <w:tcPr>
            <w:tcW w:w="1528" w:type="pct"/>
          </w:tcPr>
          <w:p w:rsidR="0025522E" w:rsidRPr="004C1013" w:rsidRDefault="0025522E" w:rsidP="0025522E">
            <w:pPr>
              <w:pStyle w:val="tabbielystyl"/>
            </w:pPr>
            <w:r w:rsidRPr="004C1013">
              <w:t>13.</w:t>
            </w:r>
          </w:p>
        </w:tc>
        <w:tc>
          <w:tcPr>
            <w:tcW w:w="1786" w:type="pct"/>
            <w:noWrap/>
            <w:vAlign w:val="bottom"/>
            <w:hideMark/>
          </w:tcPr>
          <w:p w:rsidR="0025522E" w:rsidRPr="004C1013" w:rsidRDefault="0025522E" w:rsidP="0025522E">
            <w:pPr>
              <w:pStyle w:val="tabbielystyl"/>
            </w:pPr>
            <w:r w:rsidRPr="004C1013">
              <w:t>152,83</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2017</w:t>
            </w:r>
          </w:p>
        </w:tc>
        <w:tc>
          <w:tcPr>
            <w:tcW w:w="1528" w:type="pct"/>
          </w:tcPr>
          <w:p w:rsidR="0025522E" w:rsidRPr="004C1013" w:rsidRDefault="0025522E" w:rsidP="0025522E">
            <w:pPr>
              <w:pStyle w:val="tabbielystyl"/>
            </w:pPr>
            <w:r w:rsidRPr="004C1013">
              <w:t>14.</w:t>
            </w:r>
          </w:p>
        </w:tc>
        <w:tc>
          <w:tcPr>
            <w:tcW w:w="1786" w:type="pct"/>
            <w:noWrap/>
            <w:vAlign w:val="bottom"/>
            <w:hideMark/>
          </w:tcPr>
          <w:p w:rsidR="0025522E" w:rsidRPr="004C1013" w:rsidRDefault="0025522E" w:rsidP="0025522E">
            <w:pPr>
              <w:pStyle w:val="tabbielystyl"/>
            </w:pPr>
            <w:r w:rsidRPr="004C1013">
              <w:t>164,40</w:t>
            </w:r>
          </w:p>
        </w:tc>
      </w:tr>
      <w:tr w:rsidR="0025522E" w:rsidRPr="004C1013" w:rsidTr="00404B50">
        <w:trPr>
          <w:trHeight w:val="300"/>
        </w:trPr>
        <w:tc>
          <w:tcPr>
            <w:tcW w:w="1686" w:type="pct"/>
            <w:noWrap/>
            <w:hideMark/>
          </w:tcPr>
          <w:p w:rsidR="0025522E" w:rsidRPr="004C1013" w:rsidRDefault="0025522E" w:rsidP="0025522E">
            <w:pPr>
              <w:pStyle w:val="tabbielystyl"/>
            </w:pPr>
            <w:r w:rsidRPr="004C1013">
              <w:t>2018</w:t>
            </w:r>
          </w:p>
        </w:tc>
        <w:tc>
          <w:tcPr>
            <w:tcW w:w="1528" w:type="pct"/>
          </w:tcPr>
          <w:p w:rsidR="0025522E" w:rsidRPr="004C1013" w:rsidRDefault="0025522E" w:rsidP="0025522E">
            <w:pPr>
              <w:pStyle w:val="tabbielystyl"/>
            </w:pPr>
            <w:r w:rsidRPr="004C1013">
              <w:t>15.</w:t>
            </w:r>
          </w:p>
        </w:tc>
        <w:tc>
          <w:tcPr>
            <w:tcW w:w="1786" w:type="pct"/>
            <w:noWrap/>
            <w:vAlign w:val="bottom"/>
            <w:hideMark/>
          </w:tcPr>
          <w:p w:rsidR="0025522E" w:rsidRPr="004C1013" w:rsidRDefault="0025522E" w:rsidP="0025522E">
            <w:pPr>
              <w:pStyle w:val="tabbielystyl"/>
            </w:pPr>
            <w:r w:rsidRPr="004C1013">
              <w:t>175,78</w:t>
            </w:r>
          </w:p>
        </w:tc>
      </w:tr>
      <w:tr w:rsidR="0025522E" w:rsidRPr="004C1013" w:rsidTr="00404B50">
        <w:trPr>
          <w:trHeight w:val="317"/>
        </w:trPr>
        <w:tc>
          <w:tcPr>
            <w:tcW w:w="3214" w:type="pct"/>
            <w:gridSpan w:val="2"/>
            <w:shd w:val="clear" w:color="auto" w:fill="7F7F7F" w:themeFill="text1" w:themeFillTint="80"/>
            <w:noWrap/>
            <w:hideMark/>
          </w:tcPr>
          <w:p w:rsidR="0025522E" w:rsidRPr="004C1013" w:rsidRDefault="0025522E" w:rsidP="0025522E">
            <w:pPr>
              <w:pStyle w:val="tabukasivystyl"/>
            </w:pPr>
            <w:r w:rsidRPr="004C1013">
              <w:t xml:space="preserve">Spolu </w:t>
            </w:r>
          </w:p>
        </w:tc>
        <w:tc>
          <w:tcPr>
            <w:tcW w:w="1786" w:type="pct"/>
            <w:shd w:val="clear" w:color="auto" w:fill="7F7F7F" w:themeFill="text1" w:themeFillTint="80"/>
            <w:noWrap/>
            <w:vAlign w:val="bottom"/>
            <w:hideMark/>
          </w:tcPr>
          <w:p w:rsidR="0025522E" w:rsidRPr="004C1013" w:rsidRDefault="0025522E" w:rsidP="0025522E">
            <w:pPr>
              <w:pStyle w:val="tabukasivystyl"/>
            </w:pPr>
            <w:r w:rsidRPr="004C1013">
              <w:t>1958,74</w:t>
            </w:r>
          </w:p>
        </w:tc>
      </w:tr>
      <w:tr w:rsidR="0025522E" w:rsidRPr="004C1013" w:rsidTr="00404B50">
        <w:trPr>
          <w:trHeight w:val="265"/>
        </w:trPr>
        <w:tc>
          <w:tcPr>
            <w:tcW w:w="3214" w:type="pct"/>
            <w:gridSpan w:val="2"/>
            <w:shd w:val="clear" w:color="auto" w:fill="7F7F7F" w:themeFill="text1" w:themeFillTint="80"/>
            <w:noWrap/>
            <w:hideMark/>
          </w:tcPr>
          <w:p w:rsidR="0025522E" w:rsidRPr="004C1013" w:rsidRDefault="0025522E" w:rsidP="0025522E">
            <w:pPr>
              <w:pStyle w:val="tabukasivystyl"/>
            </w:pPr>
            <w:r w:rsidRPr="004C1013">
              <w:t xml:space="preserve">Ročný priemer </w:t>
            </w:r>
          </w:p>
        </w:tc>
        <w:tc>
          <w:tcPr>
            <w:tcW w:w="1786" w:type="pct"/>
            <w:shd w:val="clear" w:color="auto" w:fill="7F7F7F" w:themeFill="text1" w:themeFillTint="80"/>
            <w:noWrap/>
            <w:vAlign w:val="bottom"/>
            <w:hideMark/>
          </w:tcPr>
          <w:p w:rsidR="0025522E" w:rsidRPr="004C1013" w:rsidRDefault="0025522E" w:rsidP="0025522E">
            <w:pPr>
              <w:pStyle w:val="tabukasivystyl"/>
            </w:pPr>
            <w:r w:rsidRPr="004C1013">
              <w:t>130,58</w:t>
            </w:r>
          </w:p>
        </w:tc>
      </w:tr>
    </w:tbl>
    <w:p w:rsidR="0025522E" w:rsidRPr="004C1013" w:rsidRDefault="0025522E" w:rsidP="0025522E">
      <w:pPr>
        <w:pStyle w:val="Nadpis2"/>
        <w:rPr>
          <w:rFonts w:asciiTheme="minorHAnsi" w:hAnsiTheme="minorHAnsi" w:cstheme="minorHAnsi"/>
        </w:rPr>
      </w:pPr>
      <w:bookmarkStart w:id="98" w:name="_Toc20687933"/>
      <w:bookmarkStart w:id="99" w:name="_Toc36664376"/>
      <w:r w:rsidRPr="004C1013">
        <w:rPr>
          <w:rFonts w:asciiTheme="minorHAnsi" w:hAnsiTheme="minorHAnsi" w:cstheme="minorHAnsi"/>
        </w:rPr>
        <w:t>Česká republika</w:t>
      </w:r>
      <w:bookmarkEnd w:id="98"/>
      <w:bookmarkEnd w:id="99"/>
    </w:p>
    <w:p w:rsidR="0025522E" w:rsidRPr="004C1013" w:rsidRDefault="0025522E" w:rsidP="0025522E">
      <w:pPr>
        <w:pStyle w:val="Nadpis3"/>
        <w:rPr>
          <w:rFonts w:asciiTheme="minorHAnsi" w:hAnsiTheme="minorHAnsi" w:cstheme="minorHAnsi"/>
        </w:rPr>
      </w:pPr>
      <w:bookmarkStart w:id="100" w:name="_Toc20687934"/>
      <w:bookmarkStart w:id="101" w:name="_Toc36664377"/>
      <w:r w:rsidRPr="004C1013">
        <w:rPr>
          <w:rFonts w:asciiTheme="minorHAnsi" w:hAnsiTheme="minorHAnsi" w:cstheme="minorHAnsi"/>
        </w:rPr>
        <w:t>Základné charakteristiky systému ETC</w:t>
      </w:r>
      <w:bookmarkEnd w:id="100"/>
      <w:bookmarkEnd w:id="101"/>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Systém elektronického výberu mýta je v Českej republike prevádzkovaný od 1. januára 2007 nadobudnutím účinnosti novely Zákona o pozemních komunikacích (13/1997 Sb.). Správcom systému ETC je Ředitelství silnic a dálnic ČR (ŘSD), ktoré je štátnou príspevkov</w:t>
      </w:r>
      <w:r w:rsidR="003202AC">
        <w:rPr>
          <w:rFonts w:asciiTheme="minorHAnsi" w:hAnsiTheme="minorHAnsi" w:cstheme="minorHAnsi"/>
        </w:rPr>
        <w:t>ou</w:t>
      </w:r>
      <w:r w:rsidRPr="004C1013">
        <w:rPr>
          <w:rFonts w:asciiTheme="minorHAnsi" w:hAnsiTheme="minorHAnsi" w:cstheme="minorHAnsi"/>
        </w:rPr>
        <w:t xml:space="preserve"> organizáciou zriadenou Ministerstvom dopravy ČR (MD ČR). Prevádzkovateľom systému k 31.12.2018 bolo konzorcium Kapsch.  Zmluvná doba prevádzky systému bola stanovená na 10 rokov, 28. augusta 2016 podpísalo MD ČR jej predĺženie na maximálne 3 roky. </w:t>
      </w:r>
    </w:p>
    <w:p w:rsidR="0025522E" w:rsidRPr="004C1013" w:rsidRDefault="003202AC" w:rsidP="0025522E">
      <w:pPr>
        <w:pStyle w:val="Normaltext"/>
        <w:spacing w:line="276" w:lineRule="auto"/>
        <w:rPr>
          <w:rFonts w:asciiTheme="minorHAnsi" w:hAnsiTheme="minorHAnsi" w:cstheme="minorHAnsi"/>
        </w:rPr>
      </w:pPr>
      <w:r>
        <w:rPr>
          <w:rFonts w:asciiTheme="minorHAnsi" w:hAnsiTheme="minorHAnsi" w:cstheme="minorHAnsi"/>
        </w:rPr>
        <w:t>V súčasnosti</w:t>
      </w:r>
      <w:r w:rsidR="0025522E" w:rsidRPr="004C1013">
        <w:rPr>
          <w:rFonts w:asciiTheme="minorHAnsi" w:hAnsiTheme="minorHAnsi" w:cstheme="minorHAnsi"/>
        </w:rPr>
        <w:t xml:space="preserve"> fung</w:t>
      </w:r>
      <w:r>
        <w:rPr>
          <w:rFonts w:asciiTheme="minorHAnsi" w:hAnsiTheme="minorHAnsi" w:cstheme="minorHAnsi"/>
        </w:rPr>
        <w:t>uje</w:t>
      </w:r>
      <w:r w:rsidR="0025522E" w:rsidRPr="004C1013">
        <w:rPr>
          <w:rFonts w:asciiTheme="minorHAnsi" w:hAnsiTheme="minorHAnsi" w:cstheme="minorHAnsi"/>
        </w:rPr>
        <w:t xml:space="preserve"> systém elektronického výberu mýta na báze mikrovlnnej technológie DSRC</w:t>
      </w:r>
      <w:r>
        <w:rPr>
          <w:rFonts w:asciiTheme="minorHAnsi" w:hAnsiTheme="minorHAnsi" w:cstheme="minorHAnsi"/>
        </w:rPr>
        <w:t>. Od 1. decembra</w:t>
      </w:r>
      <w:r w:rsidR="0025522E" w:rsidRPr="004C1013">
        <w:rPr>
          <w:rFonts w:asciiTheme="minorHAnsi" w:hAnsiTheme="minorHAnsi" w:cstheme="minorHAnsi"/>
        </w:rPr>
        <w:t xml:space="preserve"> 2019 </w:t>
      </w:r>
      <w:r>
        <w:rPr>
          <w:rFonts w:asciiTheme="minorHAnsi" w:hAnsiTheme="minorHAnsi" w:cstheme="minorHAnsi"/>
        </w:rPr>
        <w:t xml:space="preserve">bude </w:t>
      </w:r>
      <w:r w:rsidR="0025522E" w:rsidRPr="004C1013">
        <w:rPr>
          <w:rFonts w:asciiTheme="minorHAnsi" w:hAnsiTheme="minorHAnsi" w:cstheme="minorHAnsi"/>
        </w:rPr>
        <w:t>elektronický mýtny systém</w:t>
      </w:r>
      <w:r>
        <w:rPr>
          <w:rFonts w:asciiTheme="minorHAnsi" w:hAnsiTheme="minorHAnsi" w:cstheme="minorHAnsi"/>
        </w:rPr>
        <w:t xml:space="preserve"> </w:t>
      </w:r>
      <w:r w:rsidRPr="004C1013">
        <w:rPr>
          <w:rFonts w:asciiTheme="minorHAnsi" w:hAnsiTheme="minorHAnsi" w:cstheme="minorHAnsi"/>
        </w:rPr>
        <w:t>využíva</w:t>
      </w:r>
      <w:r>
        <w:rPr>
          <w:rFonts w:asciiTheme="minorHAnsi" w:hAnsiTheme="minorHAnsi" w:cstheme="minorHAnsi"/>
        </w:rPr>
        <w:t>ť</w:t>
      </w:r>
      <w:r w:rsidR="0025522E" w:rsidRPr="004C1013">
        <w:rPr>
          <w:rFonts w:asciiTheme="minorHAnsi" w:hAnsiTheme="minorHAnsi" w:cstheme="minorHAnsi"/>
        </w:rPr>
        <w:t xml:space="preserve"> satelitnú (GPS) technológiu</w:t>
      </w:r>
      <w:r>
        <w:rPr>
          <w:rFonts w:asciiTheme="minorHAnsi" w:hAnsiTheme="minorHAnsi" w:cstheme="minorHAnsi"/>
        </w:rPr>
        <w:t>.</w:t>
      </w:r>
      <w:r w:rsidR="0025522E" w:rsidRPr="004C1013">
        <w:rPr>
          <w:rFonts w:asciiTheme="minorHAnsi" w:hAnsiTheme="minorHAnsi" w:cstheme="minorHAnsi"/>
        </w:rPr>
        <w:t xml:space="preserve">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Vozidlami povinnými platiť mýto za prejazd po spoplatnených úsekoch ciest sú od r. 2011 nákladné vozidlá na</w:t>
      </w:r>
      <w:r w:rsidR="003202AC">
        <w:rPr>
          <w:rFonts w:asciiTheme="minorHAnsi" w:hAnsiTheme="minorHAnsi" w:cstheme="minorHAnsi"/>
        </w:rPr>
        <w:t>d</w:t>
      </w:r>
      <w:r w:rsidRPr="004C1013">
        <w:rPr>
          <w:rFonts w:asciiTheme="minorHAnsi" w:hAnsiTheme="minorHAnsi" w:cstheme="minorHAnsi"/>
        </w:rPr>
        <w:t xml:space="preserve"> 3,5 tony. Výška mýta je závislá od prejazdených kilometrov po spoplatnených komunikáciách a je odstupňovaná v závislosti emisnej triedy vozidla, počtu náprav a kategórie spoplatnenej komunikácie. Zvýšené sadzby mýta sú účtované počas piatkov od 15:00 do 20:00. Mýto v Českej republike nepodlieha DPH.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Základné charakteristiky systému k 31.12.2018 sú uvedené v nasledujúcej tabuľke (</w:t>
      </w:r>
      <w:r w:rsidR="00C40D3F">
        <w:fldChar w:fldCharType="begin"/>
      </w:r>
      <w:r w:rsidR="00C40D3F">
        <w:instrText xml:space="preserve"> REF _Ref20212688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23</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102" w:name="_Ref20212688"/>
      <w:bookmarkStart w:id="103" w:name="_Toc20141114"/>
      <w:bookmarkStart w:id="104" w:name="_Ref20212682"/>
      <w:bookmarkStart w:id="105" w:name="_Toc36664465"/>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23</w:t>
      </w:r>
      <w:r w:rsidR="00C40D3F">
        <w:rPr>
          <w:noProof/>
        </w:rPr>
        <w:fldChar w:fldCharType="end"/>
      </w:r>
      <w:bookmarkEnd w:id="102"/>
      <w:r w:rsidRPr="004C1013">
        <w:tab/>
        <w:t>Prehľad základných charakteristík systému ETC v </w:t>
      </w:r>
      <w:bookmarkEnd w:id="103"/>
      <w:bookmarkEnd w:id="104"/>
      <w:r w:rsidRPr="004C1013">
        <w:t>Českej republike</w:t>
      </w:r>
      <w:bookmarkEnd w:id="105"/>
    </w:p>
    <w:tbl>
      <w:tblPr>
        <w:tblStyle w:val="tabulkaVUD"/>
        <w:tblW w:w="5000" w:type="pct"/>
        <w:tblLook w:val="04A0" w:firstRow="1" w:lastRow="0" w:firstColumn="1" w:lastColumn="0" w:noHBand="0" w:noVBand="1"/>
      </w:tblPr>
      <w:tblGrid>
        <w:gridCol w:w="3288"/>
        <w:gridCol w:w="6123"/>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rPr>
        <w:tc>
          <w:tcPr>
            <w:tcW w:w="1747" w:type="pct"/>
            <w:shd w:val="clear" w:color="auto" w:fill="7F7F7F" w:themeFill="text1" w:themeFillTint="80"/>
            <w:hideMark/>
          </w:tcPr>
          <w:p w:rsidR="0025522E" w:rsidRPr="004C1013" w:rsidRDefault="0025522E" w:rsidP="0025522E">
            <w:pPr>
              <w:pStyle w:val="tabukasivystyl"/>
            </w:pPr>
            <w:r w:rsidRPr="004C1013">
              <w:t>Technológia</w:t>
            </w:r>
          </w:p>
        </w:tc>
        <w:tc>
          <w:tcPr>
            <w:tcW w:w="3253" w:type="pct"/>
            <w:shd w:val="clear" w:color="auto" w:fill="auto"/>
            <w:hideMark/>
          </w:tcPr>
          <w:p w:rsidR="0025522E" w:rsidRPr="004C1013" w:rsidRDefault="0025522E" w:rsidP="0025522E">
            <w:pPr>
              <w:pStyle w:val="tabbielystyl"/>
            </w:pPr>
            <w:r w:rsidRPr="004C1013">
              <w:t>DSRC</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Správca systému</w:t>
            </w:r>
          </w:p>
        </w:tc>
        <w:tc>
          <w:tcPr>
            <w:tcW w:w="3253" w:type="pct"/>
            <w:hideMark/>
          </w:tcPr>
          <w:p w:rsidR="0025522E" w:rsidRPr="004C1013" w:rsidRDefault="0025522E" w:rsidP="0025522E">
            <w:pPr>
              <w:pStyle w:val="tabbielystyl"/>
            </w:pPr>
            <w:r w:rsidRPr="004C1013">
              <w:t>Ředitelství silnic a dálnic ČR</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Prevádzkovateľ systému</w:t>
            </w:r>
          </w:p>
        </w:tc>
        <w:tc>
          <w:tcPr>
            <w:tcW w:w="3253" w:type="pct"/>
            <w:hideMark/>
          </w:tcPr>
          <w:p w:rsidR="0025522E" w:rsidRPr="004C1013" w:rsidRDefault="0025522E" w:rsidP="0025522E">
            <w:pPr>
              <w:pStyle w:val="tabbielystyl"/>
            </w:pPr>
            <w:r w:rsidRPr="004C1013">
              <w:t>konzorcium Kapsch </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Uvedenie do prevádzky</w:t>
            </w:r>
          </w:p>
        </w:tc>
        <w:tc>
          <w:tcPr>
            <w:tcW w:w="3253" w:type="pct"/>
            <w:hideMark/>
          </w:tcPr>
          <w:p w:rsidR="0025522E" w:rsidRPr="004C1013" w:rsidRDefault="0025522E" w:rsidP="0025522E">
            <w:pPr>
              <w:pStyle w:val="tabbielystyl"/>
            </w:pPr>
            <w:r w:rsidRPr="004C1013">
              <w:t>1.1.2007</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Zmluvná doba prevádzky</w:t>
            </w:r>
          </w:p>
        </w:tc>
        <w:tc>
          <w:tcPr>
            <w:tcW w:w="3253" w:type="pct"/>
            <w:hideMark/>
          </w:tcPr>
          <w:p w:rsidR="0025522E" w:rsidRPr="004C1013" w:rsidRDefault="0025522E" w:rsidP="0025522E">
            <w:pPr>
              <w:pStyle w:val="tabbielystyl"/>
            </w:pPr>
            <w:r w:rsidRPr="004C1013">
              <w:t>10</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Doba prevádzky k 31.12.2018  (roky)</w:t>
            </w:r>
          </w:p>
        </w:tc>
        <w:tc>
          <w:tcPr>
            <w:tcW w:w="3253" w:type="pct"/>
            <w:hideMark/>
          </w:tcPr>
          <w:p w:rsidR="0025522E" w:rsidRPr="004C1013" w:rsidRDefault="0025522E" w:rsidP="0025522E">
            <w:pPr>
              <w:pStyle w:val="tabbielystyl"/>
            </w:pPr>
            <w:r w:rsidRPr="004C1013">
              <w:t>12</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Spoplatnené vozidlá (kategória)</w:t>
            </w:r>
          </w:p>
        </w:tc>
        <w:tc>
          <w:tcPr>
            <w:tcW w:w="3253" w:type="pct"/>
            <w:hideMark/>
          </w:tcPr>
          <w:p w:rsidR="0025522E" w:rsidRPr="004C1013" w:rsidRDefault="0025522E" w:rsidP="0025522E">
            <w:pPr>
              <w:pStyle w:val="tabbielystyl"/>
            </w:pPr>
            <w:r w:rsidRPr="004C1013">
              <w:t>nákladné vozidlá &gt;12t, od r. 2011 &gt;3,5t, od r. 2016 autobusy</w:t>
            </w:r>
          </w:p>
        </w:tc>
      </w:tr>
    </w:tbl>
    <w:p w:rsidR="0025522E" w:rsidRPr="004C1013" w:rsidRDefault="0025522E" w:rsidP="0025522E">
      <w:pPr>
        <w:pStyle w:val="Nadpis3"/>
        <w:rPr>
          <w:rFonts w:asciiTheme="minorHAnsi" w:hAnsiTheme="minorHAnsi" w:cstheme="minorHAnsi"/>
        </w:rPr>
      </w:pPr>
      <w:bookmarkStart w:id="106" w:name="_Toc20687935"/>
      <w:bookmarkStart w:id="107" w:name="_Toc36664378"/>
      <w:r w:rsidRPr="004C1013">
        <w:rPr>
          <w:rFonts w:asciiTheme="minorHAnsi" w:hAnsiTheme="minorHAnsi" w:cstheme="minorHAnsi"/>
        </w:rPr>
        <w:t>Sieť vymedzených úsekov ciest</w:t>
      </w:r>
      <w:bookmarkEnd w:id="106"/>
      <w:bookmarkEnd w:id="107"/>
    </w:p>
    <w:p w:rsidR="0025522E" w:rsidRPr="004C1013" w:rsidRDefault="0025522E" w:rsidP="0025522E">
      <w:r w:rsidRPr="004C1013">
        <w:t xml:space="preserve">Údaje o dĺžke vymedzených úsekov ciest v jednotlivých rokoch prevádzky systému ETC v Českej republike boli získané z publikovaných dokumentov ASECAP [15], [16] a odbornej štúdie spoločnosti IODA, z. s. [30] zhromažďujúcej oficiálne údaje a štatistiky ŘSD a MD ČR týkajúce sa systému ETC. </w:t>
      </w:r>
    </w:p>
    <w:p w:rsidR="0025522E" w:rsidRPr="004C1013" w:rsidRDefault="0025522E" w:rsidP="0025522E">
      <w:r w:rsidRPr="004C1013">
        <w:t>Vymedzené úseky ciest tvoria diaľnice, rýchlostné cesty (od 1. januára 2016 premenované na diaľnice 2. triedy) a vybrané úseky ciest I. triedy. Prehľad ich dĺžok podľa vyhlášok MD ČR a záznamov ŘSD [30] v jednotlivých rokoch prevádzky je znázornený v nasledujúcej tabuľke (</w:t>
      </w:r>
      <w:r w:rsidR="00C40D3F">
        <w:fldChar w:fldCharType="begin"/>
      </w:r>
      <w:r w:rsidR="00C40D3F">
        <w:instrText xml:space="preserve"> REF _Ref20217839 \h  \* MERGEFORMAT </w:instrText>
      </w:r>
      <w:r w:rsidR="00C40D3F">
        <w:fldChar w:fldCharType="separate"/>
      </w:r>
      <w:r w:rsidR="001E4C1C" w:rsidRPr="004C1013">
        <w:t xml:space="preserve">Tab.  </w:t>
      </w:r>
      <w:r w:rsidR="001E4C1C">
        <w:rPr>
          <w:noProof/>
        </w:rPr>
        <w:t>1</w:t>
      </w:r>
      <w:r w:rsidR="001E4C1C">
        <w:rPr>
          <w:noProof/>
        </w:rPr>
        <w:noBreakHyphen/>
        <w:t>25</w:t>
      </w:r>
      <w:r w:rsidR="00C40D3F">
        <w:fldChar w:fldCharType="end"/>
      </w:r>
      <w:r w:rsidRPr="004C1013">
        <w:t>). Graficky je sieť spoplatnených úsekoch ciest znázornená na obrázku (</w:t>
      </w:r>
      <w:r w:rsidR="00C40D3F">
        <w:fldChar w:fldCharType="begin"/>
      </w:r>
      <w:r w:rsidR="00C40D3F">
        <w:instrText xml:space="preserve"> REF _</w:instrText>
      </w:r>
      <w:r w:rsidR="00C40D3F">
        <w:instrText xml:space="preserve">Ref20217943 \h  \* MERGEFORMAT </w:instrText>
      </w:r>
      <w:r w:rsidR="00C40D3F">
        <w:fldChar w:fldCharType="separate"/>
      </w:r>
      <w:r w:rsidR="001E4C1C" w:rsidRPr="004C1013">
        <w:t xml:space="preserve">Obr. </w:t>
      </w:r>
      <w:r w:rsidR="001E4C1C">
        <w:rPr>
          <w:noProof/>
        </w:rPr>
        <w:t>1</w:t>
      </w:r>
      <w:r w:rsidR="001E4C1C">
        <w:rPr>
          <w:noProof/>
        </w:rPr>
        <w:noBreakHyphen/>
        <w:t>4</w:t>
      </w:r>
      <w:r w:rsidR="00C40D3F">
        <w:fldChar w:fldCharType="end"/>
      </w:r>
      <w:r w:rsidRPr="004C1013">
        <w:t>).</w:t>
      </w:r>
    </w:p>
    <w:p w:rsidR="0025522E" w:rsidRPr="004C1013" w:rsidRDefault="0025522E" w:rsidP="0025522E"/>
    <w:p w:rsidR="0025522E" w:rsidRPr="004C1013" w:rsidRDefault="0025522E" w:rsidP="0025522E">
      <w:r w:rsidRPr="004C1013">
        <w:rPr>
          <w:noProof/>
          <w:lang w:eastAsia="sk-SK"/>
        </w:rPr>
        <w:drawing>
          <wp:inline distT="0" distB="0" distL="0" distR="0">
            <wp:extent cx="5756910" cy="3538220"/>
            <wp:effectExtent l="0" t="0" r="0" b="5080"/>
            <wp:docPr id="45"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3538220"/>
                    </a:xfrm>
                    <a:prstGeom prst="rect">
                      <a:avLst/>
                    </a:prstGeom>
                    <a:noFill/>
                    <a:ln>
                      <a:noFill/>
                    </a:ln>
                  </pic:spPr>
                </pic:pic>
              </a:graphicData>
            </a:graphic>
          </wp:inline>
        </w:drawing>
      </w:r>
    </w:p>
    <w:p w:rsidR="0025522E" w:rsidRPr="004C1013" w:rsidRDefault="0025522E" w:rsidP="006B1C25">
      <w:pPr>
        <w:pStyle w:val="Popis"/>
      </w:pPr>
      <w:bookmarkStart w:id="108" w:name="_Ref20217943"/>
      <w:bookmarkStart w:id="109" w:name="_Toc36664508"/>
      <w:r w:rsidRPr="004C1013">
        <w:t xml:space="preserve">Obr. </w:t>
      </w:r>
      <w:r w:rsidR="00C40D3F">
        <w:fldChar w:fldCharType="begin"/>
      </w:r>
      <w:r w:rsidR="00C40D3F">
        <w:instrText xml:space="preserve"> STYLEREF 1 \s </w:instrText>
      </w:r>
      <w:r w:rsidR="00C40D3F">
        <w:fldChar w:fldCharType="separate"/>
      </w:r>
      <w:r w:rsidR="00D61B89">
        <w:rPr>
          <w:noProof/>
        </w:rPr>
        <w:t>1</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4</w:t>
      </w:r>
      <w:r w:rsidR="00C40D3F">
        <w:rPr>
          <w:noProof/>
        </w:rPr>
        <w:fldChar w:fldCharType="end"/>
      </w:r>
      <w:bookmarkEnd w:id="108"/>
      <w:r w:rsidRPr="004C1013">
        <w:tab/>
        <w:t>Sieť vymedzených úsekov ciest v ČR</w:t>
      </w:r>
      <w:bookmarkEnd w:id="109"/>
    </w:p>
    <w:p w:rsidR="0025522E" w:rsidRPr="004C1013" w:rsidRDefault="0025522E" w:rsidP="0025522E"/>
    <w:p w:rsidR="0025522E" w:rsidRPr="004C1013" w:rsidRDefault="0025522E" w:rsidP="006B1C25">
      <w:pPr>
        <w:pStyle w:val="tabstyl"/>
      </w:pPr>
      <w:bookmarkStart w:id="110" w:name="_Toc20081952"/>
      <w:bookmarkStart w:id="111" w:name="_Toc36664466"/>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24</w:t>
      </w:r>
      <w:r w:rsidR="00C40D3F">
        <w:rPr>
          <w:noProof/>
        </w:rPr>
        <w:fldChar w:fldCharType="end"/>
      </w:r>
      <w:r w:rsidRPr="004C1013">
        <w:tab/>
        <w:t>Prehľad rozšírení siete vymedzených úsekov ciest počas prevádzky systému ETC v </w:t>
      </w:r>
      <w:bookmarkEnd w:id="110"/>
      <w:r w:rsidRPr="004C1013">
        <w:t>ČR [30]</w:t>
      </w:r>
      <w:bookmarkEnd w:id="111"/>
      <w:r w:rsidRPr="004C1013">
        <w:t xml:space="preserve"> </w:t>
      </w:r>
    </w:p>
    <w:tbl>
      <w:tblPr>
        <w:tblStyle w:val="tabulkaVUD"/>
        <w:tblW w:w="5000" w:type="pct"/>
        <w:tblLook w:val="04A0" w:firstRow="1" w:lastRow="0" w:firstColumn="1" w:lastColumn="0" w:noHBand="0" w:noVBand="1"/>
      </w:tblPr>
      <w:tblGrid>
        <w:gridCol w:w="1571"/>
        <w:gridCol w:w="1568"/>
        <w:gridCol w:w="1568"/>
        <w:gridCol w:w="1568"/>
        <w:gridCol w:w="1568"/>
        <w:gridCol w:w="1568"/>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540"/>
          <w:tblHeader/>
        </w:trPr>
        <w:tc>
          <w:tcPr>
            <w:tcW w:w="835" w:type="pct"/>
            <w:noWrap/>
            <w:hideMark/>
          </w:tcPr>
          <w:p w:rsidR="0025522E" w:rsidRPr="004C1013" w:rsidRDefault="0025522E" w:rsidP="009D58D5">
            <w:pPr>
              <w:pStyle w:val="zahltab"/>
            </w:pPr>
            <w:r w:rsidRPr="004C1013">
              <w:t>Kalendárny rok</w:t>
            </w:r>
          </w:p>
        </w:tc>
        <w:tc>
          <w:tcPr>
            <w:tcW w:w="833" w:type="pct"/>
          </w:tcPr>
          <w:p w:rsidR="0025522E" w:rsidRPr="004C1013" w:rsidRDefault="0025522E" w:rsidP="009D58D5">
            <w:pPr>
              <w:pStyle w:val="zahltab"/>
            </w:pPr>
            <w:r w:rsidRPr="004C1013">
              <w:t>Rok prevádzky</w:t>
            </w:r>
          </w:p>
        </w:tc>
        <w:tc>
          <w:tcPr>
            <w:tcW w:w="833" w:type="pct"/>
            <w:noWrap/>
            <w:hideMark/>
          </w:tcPr>
          <w:p w:rsidR="0025522E" w:rsidRPr="004C1013" w:rsidRDefault="0025522E" w:rsidP="009D58D5">
            <w:pPr>
              <w:pStyle w:val="zahltab"/>
            </w:pPr>
            <w:r w:rsidRPr="004C1013">
              <w:t>Diaľnice</w:t>
            </w:r>
          </w:p>
        </w:tc>
        <w:tc>
          <w:tcPr>
            <w:tcW w:w="833" w:type="pct"/>
            <w:noWrap/>
            <w:hideMark/>
          </w:tcPr>
          <w:p w:rsidR="0025522E" w:rsidRPr="004C1013" w:rsidRDefault="0025522E" w:rsidP="009D58D5">
            <w:pPr>
              <w:pStyle w:val="zahltab"/>
            </w:pPr>
            <w:r w:rsidRPr="004C1013">
              <w:t>Rýchlostné cesty</w:t>
            </w:r>
          </w:p>
        </w:tc>
        <w:tc>
          <w:tcPr>
            <w:tcW w:w="833" w:type="pct"/>
            <w:noWrap/>
            <w:hideMark/>
          </w:tcPr>
          <w:p w:rsidR="0025522E" w:rsidRPr="004C1013" w:rsidRDefault="0025522E" w:rsidP="009D58D5">
            <w:pPr>
              <w:pStyle w:val="zahltab"/>
            </w:pPr>
            <w:r w:rsidRPr="004C1013">
              <w:t>Cesty 1. triedy</w:t>
            </w:r>
          </w:p>
        </w:tc>
        <w:tc>
          <w:tcPr>
            <w:tcW w:w="833" w:type="pct"/>
            <w:noWrap/>
            <w:hideMark/>
          </w:tcPr>
          <w:p w:rsidR="0025522E" w:rsidRPr="004C1013" w:rsidRDefault="0025522E" w:rsidP="009D58D5">
            <w:pPr>
              <w:pStyle w:val="zahltab"/>
            </w:pPr>
            <w:r w:rsidRPr="004C1013">
              <w:t>Spolu</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2007</w:t>
            </w:r>
          </w:p>
        </w:tc>
        <w:tc>
          <w:tcPr>
            <w:tcW w:w="833" w:type="pct"/>
          </w:tcPr>
          <w:p w:rsidR="0025522E" w:rsidRPr="004C1013" w:rsidRDefault="0025522E" w:rsidP="0025522E">
            <w:pPr>
              <w:pStyle w:val="tabbielystyl"/>
            </w:pPr>
            <w:r w:rsidRPr="004C1013">
              <w:t>1.</w:t>
            </w:r>
          </w:p>
        </w:tc>
        <w:tc>
          <w:tcPr>
            <w:tcW w:w="833" w:type="pct"/>
            <w:noWrap/>
            <w:hideMark/>
          </w:tcPr>
          <w:p w:rsidR="0025522E" w:rsidRPr="004C1013" w:rsidRDefault="0025522E" w:rsidP="0025522E">
            <w:pPr>
              <w:pStyle w:val="tabbielystyl"/>
            </w:pPr>
            <w:r w:rsidRPr="004C1013">
              <w:t>615,4</w:t>
            </w:r>
          </w:p>
        </w:tc>
        <w:tc>
          <w:tcPr>
            <w:tcW w:w="833" w:type="pct"/>
            <w:noWrap/>
            <w:hideMark/>
          </w:tcPr>
          <w:p w:rsidR="0025522E" w:rsidRPr="004C1013" w:rsidRDefault="0025522E" w:rsidP="0025522E">
            <w:pPr>
              <w:pStyle w:val="tabbielystyl"/>
            </w:pPr>
            <w:r w:rsidRPr="004C1013">
              <w:t>334,5</w:t>
            </w:r>
          </w:p>
        </w:tc>
        <w:tc>
          <w:tcPr>
            <w:tcW w:w="833" w:type="pct"/>
            <w:noWrap/>
            <w:hideMark/>
          </w:tcPr>
          <w:p w:rsidR="0025522E" w:rsidRPr="004C1013" w:rsidRDefault="0025522E" w:rsidP="0025522E">
            <w:pPr>
              <w:pStyle w:val="tabbielystyl"/>
            </w:pPr>
            <w:r w:rsidRPr="004C1013">
              <w:t>0</w:t>
            </w:r>
          </w:p>
        </w:tc>
        <w:tc>
          <w:tcPr>
            <w:tcW w:w="833" w:type="pct"/>
            <w:noWrap/>
            <w:hideMark/>
          </w:tcPr>
          <w:p w:rsidR="0025522E" w:rsidRPr="004C1013" w:rsidRDefault="0025522E" w:rsidP="0025522E">
            <w:pPr>
              <w:pStyle w:val="tabbielystyl"/>
            </w:pPr>
            <w:r w:rsidRPr="004C1013">
              <w:t>949,9</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2008</w:t>
            </w:r>
          </w:p>
        </w:tc>
        <w:tc>
          <w:tcPr>
            <w:tcW w:w="833" w:type="pct"/>
          </w:tcPr>
          <w:p w:rsidR="0025522E" w:rsidRPr="004C1013" w:rsidRDefault="0025522E" w:rsidP="0025522E">
            <w:pPr>
              <w:pStyle w:val="tabbielystyl"/>
            </w:pPr>
            <w:r w:rsidRPr="004C1013">
              <w:t>2.</w:t>
            </w:r>
          </w:p>
        </w:tc>
        <w:tc>
          <w:tcPr>
            <w:tcW w:w="833" w:type="pct"/>
            <w:noWrap/>
            <w:hideMark/>
          </w:tcPr>
          <w:p w:rsidR="0025522E" w:rsidRPr="004C1013" w:rsidRDefault="0025522E" w:rsidP="0025522E">
            <w:pPr>
              <w:pStyle w:val="tabbielystyl"/>
            </w:pPr>
            <w:r w:rsidRPr="004C1013">
              <w:t>645,6</w:t>
            </w:r>
          </w:p>
        </w:tc>
        <w:tc>
          <w:tcPr>
            <w:tcW w:w="833" w:type="pct"/>
            <w:noWrap/>
            <w:hideMark/>
          </w:tcPr>
          <w:p w:rsidR="0025522E" w:rsidRPr="004C1013" w:rsidRDefault="0025522E" w:rsidP="0025522E">
            <w:pPr>
              <w:pStyle w:val="tabbielystyl"/>
            </w:pPr>
            <w:r w:rsidRPr="004C1013">
              <w:t>353,3</w:t>
            </w:r>
          </w:p>
        </w:tc>
        <w:tc>
          <w:tcPr>
            <w:tcW w:w="833" w:type="pct"/>
            <w:noWrap/>
            <w:hideMark/>
          </w:tcPr>
          <w:p w:rsidR="0025522E" w:rsidRPr="004C1013" w:rsidRDefault="0025522E" w:rsidP="0025522E">
            <w:pPr>
              <w:pStyle w:val="tabbielystyl"/>
            </w:pPr>
            <w:r w:rsidRPr="004C1013">
              <w:t>172</w:t>
            </w:r>
          </w:p>
        </w:tc>
        <w:tc>
          <w:tcPr>
            <w:tcW w:w="833" w:type="pct"/>
            <w:noWrap/>
            <w:hideMark/>
          </w:tcPr>
          <w:p w:rsidR="0025522E" w:rsidRPr="004C1013" w:rsidRDefault="0025522E" w:rsidP="0025522E">
            <w:pPr>
              <w:pStyle w:val="tabbielystyl"/>
            </w:pPr>
            <w:r w:rsidRPr="004C1013">
              <w:t>1 170,90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2009</w:t>
            </w:r>
          </w:p>
        </w:tc>
        <w:tc>
          <w:tcPr>
            <w:tcW w:w="833" w:type="pct"/>
          </w:tcPr>
          <w:p w:rsidR="0025522E" w:rsidRPr="004C1013" w:rsidRDefault="0025522E" w:rsidP="0025522E">
            <w:pPr>
              <w:pStyle w:val="tabbielystyl"/>
            </w:pPr>
            <w:r w:rsidRPr="004C1013">
              <w:t>3.</w:t>
            </w:r>
          </w:p>
        </w:tc>
        <w:tc>
          <w:tcPr>
            <w:tcW w:w="833" w:type="pct"/>
            <w:noWrap/>
            <w:hideMark/>
          </w:tcPr>
          <w:p w:rsidR="0025522E" w:rsidRPr="004C1013" w:rsidRDefault="0025522E" w:rsidP="0025522E">
            <w:pPr>
              <w:pStyle w:val="tabbielystyl"/>
            </w:pPr>
            <w:r w:rsidRPr="004C1013">
              <w:t>720,6</w:t>
            </w:r>
          </w:p>
        </w:tc>
        <w:tc>
          <w:tcPr>
            <w:tcW w:w="833" w:type="pct"/>
            <w:noWrap/>
            <w:hideMark/>
          </w:tcPr>
          <w:p w:rsidR="0025522E" w:rsidRPr="004C1013" w:rsidRDefault="0025522E" w:rsidP="0025522E">
            <w:pPr>
              <w:pStyle w:val="tabbielystyl"/>
            </w:pPr>
            <w:r w:rsidRPr="004C1013">
              <w:t>368,9</w:t>
            </w:r>
          </w:p>
        </w:tc>
        <w:tc>
          <w:tcPr>
            <w:tcW w:w="833" w:type="pct"/>
            <w:noWrap/>
            <w:hideMark/>
          </w:tcPr>
          <w:p w:rsidR="0025522E" w:rsidRPr="004C1013" w:rsidRDefault="0025522E" w:rsidP="0025522E">
            <w:pPr>
              <w:pStyle w:val="tabbielystyl"/>
            </w:pPr>
            <w:r w:rsidRPr="004C1013">
              <w:t>172</w:t>
            </w:r>
          </w:p>
        </w:tc>
        <w:tc>
          <w:tcPr>
            <w:tcW w:w="833" w:type="pct"/>
            <w:noWrap/>
            <w:hideMark/>
          </w:tcPr>
          <w:p w:rsidR="0025522E" w:rsidRPr="004C1013" w:rsidRDefault="0025522E" w:rsidP="0025522E">
            <w:pPr>
              <w:pStyle w:val="tabbielystyl"/>
            </w:pPr>
            <w:r w:rsidRPr="004C1013">
              <w:t>1 261,50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2010</w:t>
            </w:r>
          </w:p>
        </w:tc>
        <w:tc>
          <w:tcPr>
            <w:tcW w:w="833" w:type="pct"/>
          </w:tcPr>
          <w:p w:rsidR="0025522E" w:rsidRPr="004C1013" w:rsidRDefault="0025522E" w:rsidP="0025522E">
            <w:pPr>
              <w:pStyle w:val="tabbielystyl"/>
            </w:pPr>
            <w:r w:rsidRPr="004C1013">
              <w:t>4.</w:t>
            </w:r>
          </w:p>
        </w:tc>
        <w:tc>
          <w:tcPr>
            <w:tcW w:w="833" w:type="pct"/>
            <w:noWrap/>
            <w:hideMark/>
          </w:tcPr>
          <w:p w:rsidR="0025522E" w:rsidRPr="004C1013" w:rsidRDefault="0025522E" w:rsidP="0025522E">
            <w:pPr>
              <w:pStyle w:val="tabbielystyl"/>
            </w:pPr>
            <w:r w:rsidRPr="004C1013">
              <w:t>758,4</w:t>
            </w:r>
          </w:p>
        </w:tc>
        <w:tc>
          <w:tcPr>
            <w:tcW w:w="833" w:type="pct"/>
            <w:noWrap/>
            <w:hideMark/>
          </w:tcPr>
          <w:p w:rsidR="0025522E" w:rsidRPr="004C1013" w:rsidRDefault="0025522E" w:rsidP="0025522E">
            <w:pPr>
              <w:pStyle w:val="tabbielystyl"/>
            </w:pPr>
            <w:r w:rsidRPr="004C1013">
              <w:t>425,8</w:t>
            </w:r>
          </w:p>
        </w:tc>
        <w:tc>
          <w:tcPr>
            <w:tcW w:w="833" w:type="pct"/>
            <w:noWrap/>
            <w:hideMark/>
          </w:tcPr>
          <w:p w:rsidR="0025522E" w:rsidRPr="004C1013" w:rsidRDefault="0025522E" w:rsidP="0025522E">
            <w:pPr>
              <w:pStyle w:val="tabbielystyl"/>
            </w:pPr>
            <w:r w:rsidRPr="004C1013">
              <w:t>193,4</w:t>
            </w:r>
          </w:p>
        </w:tc>
        <w:tc>
          <w:tcPr>
            <w:tcW w:w="833" w:type="pct"/>
            <w:noWrap/>
            <w:hideMark/>
          </w:tcPr>
          <w:p w:rsidR="0025522E" w:rsidRPr="004C1013" w:rsidRDefault="0025522E" w:rsidP="0025522E">
            <w:pPr>
              <w:pStyle w:val="tabbielystyl"/>
            </w:pPr>
            <w:r w:rsidRPr="004C1013">
              <w:t>1 377,60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2011</w:t>
            </w:r>
          </w:p>
        </w:tc>
        <w:tc>
          <w:tcPr>
            <w:tcW w:w="833" w:type="pct"/>
          </w:tcPr>
          <w:p w:rsidR="0025522E" w:rsidRPr="004C1013" w:rsidRDefault="0025522E" w:rsidP="0025522E">
            <w:pPr>
              <w:pStyle w:val="tabbielystyl"/>
            </w:pPr>
            <w:r w:rsidRPr="004C1013">
              <w:t>5.</w:t>
            </w:r>
          </w:p>
        </w:tc>
        <w:tc>
          <w:tcPr>
            <w:tcW w:w="833" w:type="pct"/>
            <w:noWrap/>
            <w:hideMark/>
          </w:tcPr>
          <w:p w:rsidR="0025522E" w:rsidRPr="004C1013" w:rsidRDefault="0025522E" w:rsidP="0025522E">
            <w:pPr>
              <w:pStyle w:val="tabbielystyl"/>
            </w:pPr>
            <w:r w:rsidRPr="004C1013">
              <w:t>758,3</w:t>
            </w:r>
          </w:p>
        </w:tc>
        <w:tc>
          <w:tcPr>
            <w:tcW w:w="833" w:type="pct"/>
            <w:noWrap/>
            <w:hideMark/>
          </w:tcPr>
          <w:p w:rsidR="0025522E" w:rsidRPr="004C1013" w:rsidRDefault="0025522E" w:rsidP="0025522E">
            <w:pPr>
              <w:pStyle w:val="tabbielystyl"/>
            </w:pPr>
            <w:r w:rsidRPr="004C1013">
              <w:t>435</w:t>
            </w:r>
          </w:p>
        </w:tc>
        <w:tc>
          <w:tcPr>
            <w:tcW w:w="833" w:type="pct"/>
            <w:noWrap/>
            <w:hideMark/>
          </w:tcPr>
          <w:p w:rsidR="0025522E" w:rsidRPr="004C1013" w:rsidRDefault="0025522E" w:rsidP="0025522E">
            <w:pPr>
              <w:pStyle w:val="tabbielystyl"/>
            </w:pPr>
            <w:r w:rsidRPr="004C1013">
              <w:t>195,9</w:t>
            </w:r>
          </w:p>
        </w:tc>
        <w:tc>
          <w:tcPr>
            <w:tcW w:w="833" w:type="pct"/>
            <w:noWrap/>
            <w:hideMark/>
          </w:tcPr>
          <w:p w:rsidR="0025522E" w:rsidRPr="004C1013" w:rsidRDefault="0025522E" w:rsidP="0025522E">
            <w:pPr>
              <w:pStyle w:val="tabbielystyl"/>
            </w:pPr>
            <w:r w:rsidRPr="004C1013">
              <w:t>1 389,20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2012</w:t>
            </w:r>
          </w:p>
        </w:tc>
        <w:tc>
          <w:tcPr>
            <w:tcW w:w="833" w:type="pct"/>
          </w:tcPr>
          <w:p w:rsidR="0025522E" w:rsidRPr="004C1013" w:rsidRDefault="0025522E" w:rsidP="0025522E">
            <w:pPr>
              <w:pStyle w:val="tabbielystyl"/>
            </w:pPr>
            <w:r w:rsidRPr="004C1013">
              <w:t>6.</w:t>
            </w:r>
          </w:p>
        </w:tc>
        <w:tc>
          <w:tcPr>
            <w:tcW w:w="833" w:type="pct"/>
            <w:noWrap/>
            <w:hideMark/>
          </w:tcPr>
          <w:p w:rsidR="0025522E" w:rsidRPr="004C1013" w:rsidRDefault="0025522E" w:rsidP="0025522E">
            <w:pPr>
              <w:pStyle w:val="tabbielystyl"/>
            </w:pPr>
            <w:r w:rsidRPr="004C1013">
              <w:t>757,8</w:t>
            </w:r>
          </w:p>
        </w:tc>
        <w:tc>
          <w:tcPr>
            <w:tcW w:w="833" w:type="pct"/>
            <w:noWrap/>
            <w:hideMark/>
          </w:tcPr>
          <w:p w:rsidR="0025522E" w:rsidRPr="004C1013" w:rsidRDefault="0025522E" w:rsidP="0025522E">
            <w:pPr>
              <w:pStyle w:val="tabbielystyl"/>
            </w:pPr>
            <w:r w:rsidRPr="004C1013">
              <w:t>441,2</w:t>
            </w:r>
          </w:p>
        </w:tc>
        <w:tc>
          <w:tcPr>
            <w:tcW w:w="833" w:type="pct"/>
            <w:noWrap/>
            <w:hideMark/>
          </w:tcPr>
          <w:p w:rsidR="0025522E" w:rsidRPr="004C1013" w:rsidRDefault="0025522E" w:rsidP="0025522E">
            <w:pPr>
              <w:pStyle w:val="tabbielystyl"/>
            </w:pPr>
            <w:r w:rsidRPr="004C1013">
              <w:t>201,9</w:t>
            </w:r>
          </w:p>
        </w:tc>
        <w:tc>
          <w:tcPr>
            <w:tcW w:w="833" w:type="pct"/>
            <w:noWrap/>
            <w:hideMark/>
          </w:tcPr>
          <w:p w:rsidR="0025522E" w:rsidRPr="004C1013" w:rsidRDefault="0025522E" w:rsidP="0025522E">
            <w:pPr>
              <w:pStyle w:val="tabbielystyl"/>
            </w:pPr>
            <w:r w:rsidRPr="004C1013">
              <w:t>1 400,90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2013</w:t>
            </w:r>
          </w:p>
        </w:tc>
        <w:tc>
          <w:tcPr>
            <w:tcW w:w="833" w:type="pct"/>
          </w:tcPr>
          <w:p w:rsidR="0025522E" w:rsidRPr="004C1013" w:rsidRDefault="0025522E" w:rsidP="0025522E">
            <w:pPr>
              <w:pStyle w:val="tabbielystyl"/>
            </w:pPr>
            <w:r w:rsidRPr="004C1013">
              <w:t>7.</w:t>
            </w:r>
          </w:p>
        </w:tc>
        <w:tc>
          <w:tcPr>
            <w:tcW w:w="833" w:type="pct"/>
            <w:noWrap/>
            <w:hideMark/>
          </w:tcPr>
          <w:p w:rsidR="0025522E" w:rsidRPr="004C1013" w:rsidRDefault="0025522E" w:rsidP="0025522E">
            <w:pPr>
              <w:pStyle w:val="tabbielystyl"/>
            </w:pPr>
            <w:r w:rsidRPr="004C1013">
              <w:t>785,6</w:t>
            </w:r>
          </w:p>
        </w:tc>
        <w:tc>
          <w:tcPr>
            <w:tcW w:w="833" w:type="pct"/>
            <w:noWrap/>
            <w:hideMark/>
          </w:tcPr>
          <w:p w:rsidR="0025522E" w:rsidRPr="004C1013" w:rsidRDefault="0025522E" w:rsidP="0025522E">
            <w:pPr>
              <w:pStyle w:val="tabbielystyl"/>
            </w:pPr>
            <w:r w:rsidRPr="004C1013">
              <w:t>458,7</w:t>
            </w:r>
          </w:p>
        </w:tc>
        <w:tc>
          <w:tcPr>
            <w:tcW w:w="833" w:type="pct"/>
            <w:noWrap/>
            <w:hideMark/>
          </w:tcPr>
          <w:p w:rsidR="0025522E" w:rsidRPr="004C1013" w:rsidRDefault="0025522E" w:rsidP="0025522E">
            <w:pPr>
              <w:pStyle w:val="tabbielystyl"/>
            </w:pPr>
            <w:r w:rsidRPr="004C1013">
              <w:t>201,9</w:t>
            </w:r>
          </w:p>
        </w:tc>
        <w:tc>
          <w:tcPr>
            <w:tcW w:w="833" w:type="pct"/>
            <w:noWrap/>
            <w:hideMark/>
          </w:tcPr>
          <w:p w:rsidR="0025522E" w:rsidRPr="004C1013" w:rsidRDefault="0025522E" w:rsidP="0025522E">
            <w:pPr>
              <w:pStyle w:val="tabbielystyl"/>
            </w:pPr>
            <w:r w:rsidRPr="004C1013">
              <w:t>1 446,20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2014</w:t>
            </w:r>
          </w:p>
        </w:tc>
        <w:tc>
          <w:tcPr>
            <w:tcW w:w="833" w:type="pct"/>
          </w:tcPr>
          <w:p w:rsidR="0025522E" w:rsidRPr="004C1013" w:rsidRDefault="0025522E" w:rsidP="0025522E">
            <w:pPr>
              <w:pStyle w:val="tabbielystyl"/>
            </w:pPr>
            <w:r w:rsidRPr="004C1013">
              <w:t>8.</w:t>
            </w:r>
          </w:p>
        </w:tc>
        <w:tc>
          <w:tcPr>
            <w:tcW w:w="833" w:type="pct"/>
            <w:noWrap/>
            <w:hideMark/>
          </w:tcPr>
          <w:p w:rsidR="0025522E" w:rsidRPr="004C1013" w:rsidRDefault="0025522E" w:rsidP="0025522E">
            <w:pPr>
              <w:pStyle w:val="tabbielystyl"/>
            </w:pPr>
            <w:r w:rsidRPr="004C1013">
              <w:t>785,6</w:t>
            </w:r>
          </w:p>
        </w:tc>
        <w:tc>
          <w:tcPr>
            <w:tcW w:w="833" w:type="pct"/>
            <w:noWrap/>
            <w:hideMark/>
          </w:tcPr>
          <w:p w:rsidR="0025522E" w:rsidRPr="004C1013" w:rsidRDefault="0025522E" w:rsidP="0025522E">
            <w:pPr>
              <w:pStyle w:val="tabbielystyl"/>
            </w:pPr>
            <w:r w:rsidRPr="004C1013">
              <w:t>458,7</w:t>
            </w:r>
          </w:p>
        </w:tc>
        <w:tc>
          <w:tcPr>
            <w:tcW w:w="833" w:type="pct"/>
            <w:noWrap/>
            <w:hideMark/>
          </w:tcPr>
          <w:p w:rsidR="0025522E" w:rsidRPr="004C1013" w:rsidRDefault="0025522E" w:rsidP="0025522E">
            <w:pPr>
              <w:pStyle w:val="tabbielystyl"/>
            </w:pPr>
            <w:r w:rsidRPr="004C1013">
              <w:t>201,9</w:t>
            </w:r>
          </w:p>
        </w:tc>
        <w:tc>
          <w:tcPr>
            <w:tcW w:w="833" w:type="pct"/>
            <w:noWrap/>
            <w:hideMark/>
          </w:tcPr>
          <w:p w:rsidR="0025522E" w:rsidRPr="004C1013" w:rsidRDefault="0025522E" w:rsidP="0025522E">
            <w:pPr>
              <w:pStyle w:val="tabbielystyl"/>
            </w:pPr>
            <w:r w:rsidRPr="004C1013">
              <w:t>1 446,20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2015</w:t>
            </w:r>
          </w:p>
        </w:tc>
        <w:tc>
          <w:tcPr>
            <w:tcW w:w="833" w:type="pct"/>
          </w:tcPr>
          <w:p w:rsidR="0025522E" w:rsidRPr="004C1013" w:rsidRDefault="0025522E" w:rsidP="0025522E">
            <w:pPr>
              <w:pStyle w:val="tabbielystyl"/>
            </w:pPr>
            <w:r w:rsidRPr="004C1013">
              <w:t>9.</w:t>
            </w:r>
          </w:p>
        </w:tc>
        <w:tc>
          <w:tcPr>
            <w:tcW w:w="833" w:type="pct"/>
            <w:noWrap/>
            <w:hideMark/>
          </w:tcPr>
          <w:p w:rsidR="0025522E" w:rsidRPr="004C1013" w:rsidRDefault="0025522E" w:rsidP="0025522E">
            <w:pPr>
              <w:pStyle w:val="tabbielystyl"/>
            </w:pPr>
            <w:r w:rsidRPr="004C1013">
              <w:t>785,6</w:t>
            </w:r>
          </w:p>
        </w:tc>
        <w:tc>
          <w:tcPr>
            <w:tcW w:w="833" w:type="pct"/>
            <w:noWrap/>
            <w:hideMark/>
          </w:tcPr>
          <w:p w:rsidR="0025522E" w:rsidRPr="004C1013" w:rsidRDefault="0025522E" w:rsidP="0025522E">
            <w:pPr>
              <w:pStyle w:val="tabbielystyl"/>
            </w:pPr>
            <w:r w:rsidRPr="004C1013">
              <w:t>458,7</w:t>
            </w:r>
          </w:p>
        </w:tc>
        <w:tc>
          <w:tcPr>
            <w:tcW w:w="833" w:type="pct"/>
            <w:noWrap/>
            <w:hideMark/>
          </w:tcPr>
          <w:p w:rsidR="0025522E" w:rsidRPr="004C1013" w:rsidRDefault="0025522E" w:rsidP="0025522E">
            <w:pPr>
              <w:pStyle w:val="tabbielystyl"/>
            </w:pPr>
            <w:r w:rsidRPr="004C1013">
              <w:t>201,9</w:t>
            </w:r>
          </w:p>
        </w:tc>
        <w:tc>
          <w:tcPr>
            <w:tcW w:w="833" w:type="pct"/>
            <w:noWrap/>
            <w:hideMark/>
          </w:tcPr>
          <w:p w:rsidR="0025522E" w:rsidRPr="004C1013" w:rsidRDefault="0025522E" w:rsidP="0025522E">
            <w:pPr>
              <w:pStyle w:val="tabbielystyl"/>
            </w:pPr>
            <w:r w:rsidRPr="004C1013">
              <w:t>1 446,20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2016</w:t>
            </w:r>
          </w:p>
        </w:tc>
        <w:tc>
          <w:tcPr>
            <w:tcW w:w="833" w:type="pct"/>
          </w:tcPr>
          <w:p w:rsidR="0025522E" w:rsidRPr="004C1013" w:rsidRDefault="0025522E" w:rsidP="0025522E">
            <w:pPr>
              <w:pStyle w:val="tabbielystyl"/>
            </w:pPr>
            <w:r w:rsidRPr="004C1013">
              <w:t>10.</w:t>
            </w:r>
          </w:p>
        </w:tc>
        <w:tc>
          <w:tcPr>
            <w:tcW w:w="833" w:type="pct"/>
            <w:noWrap/>
            <w:hideMark/>
          </w:tcPr>
          <w:p w:rsidR="0025522E" w:rsidRPr="004C1013" w:rsidRDefault="0025522E" w:rsidP="0025522E">
            <w:pPr>
              <w:pStyle w:val="tabbielystyl"/>
            </w:pPr>
            <w:r w:rsidRPr="004C1013">
              <w:t>1 220,20</w:t>
            </w:r>
          </w:p>
        </w:tc>
        <w:tc>
          <w:tcPr>
            <w:tcW w:w="833" w:type="pct"/>
            <w:noWrap/>
            <w:hideMark/>
          </w:tcPr>
          <w:p w:rsidR="0025522E" w:rsidRPr="004C1013" w:rsidRDefault="0025522E" w:rsidP="0025522E">
            <w:pPr>
              <w:pStyle w:val="tabbielystyl"/>
            </w:pPr>
            <w:r w:rsidRPr="004C1013">
              <w:t>0</w:t>
            </w:r>
          </w:p>
        </w:tc>
        <w:tc>
          <w:tcPr>
            <w:tcW w:w="833" w:type="pct"/>
            <w:noWrap/>
            <w:hideMark/>
          </w:tcPr>
          <w:p w:rsidR="0025522E" w:rsidRPr="004C1013" w:rsidRDefault="0025522E" w:rsidP="0025522E">
            <w:pPr>
              <w:pStyle w:val="tabbielystyl"/>
            </w:pPr>
            <w:r w:rsidRPr="004C1013">
              <w:t>229,7</w:t>
            </w:r>
          </w:p>
        </w:tc>
        <w:tc>
          <w:tcPr>
            <w:tcW w:w="833" w:type="pct"/>
            <w:noWrap/>
            <w:hideMark/>
          </w:tcPr>
          <w:p w:rsidR="0025522E" w:rsidRPr="004C1013" w:rsidRDefault="0025522E" w:rsidP="0025522E">
            <w:pPr>
              <w:pStyle w:val="tabbielystyl"/>
            </w:pPr>
            <w:r w:rsidRPr="004C1013">
              <w:t>1 449,90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2017</w:t>
            </w:r>
          </w:p>
        </w:tc>
        <w:tc>
          <w:tcPr>
            <w:tcW w:w="833" w:type="pct"/>
          </w:tcPr>
          <w:p w:rsidR="0025522E" w:rsidRPr="004C1013" w:rsidRDefault="0025522E" w:rsidP="0025522E">
            <w:pPr>
              <w:pStyle w:val="tabbielystyl"/>
            </w:pPr>
            <w:r w:rsidRPr="004C1013">
              <w:t>11.</w:t>
            </w:r>
          </w:p>
        </w:tc>
        <w:tc>
          <w:tcPr>
            <w:tcW w:w="833" w:type="pct"/>
            <w:noWrap/>
            <w:hideMark/>
          </w:tcPr>
          <w:p w:rsidR="0025522E" w:rsidRPr="004C1013" w:rsidRDefault="0025522E" w:rsidP="0025522E">
            <w:pPr>
              <w:pStyle w:val="tabbielystyl"/>
            </w:pPr>
            <w:r w:rsidRPr="004C1013">
              <w:t>1 236,10</w:t>
            </w:r>
          </w:p>
        </w:tc>
        <w:tc>
          <w:tcPr>
            <w:tcW w:w="833" w:type="pct"/>
            <w:noWrap/>
            <w:hideMark/>
          </w:tcPr>
          <w:p w:rsidR="0025522E" w:rsidRPr="004C1013" w:rsidRDefault="0025522E" w:rsidP="0025522E">
            <w:pPr>
              <w:pStyle w:val="tabbielystyl"/>
            </w:pPr>
            <w:r w:rsidRPr="004C1013">
              <w:t>0</w:t>
            </w:r>
          </w:p>
        </w:tc>
        <w:tc>
          <w:tcPr>
            <w:tcW w:w="833" w:type="pct"/>
            <w:noWrap/>
            <w:hideMark/>
          </w:tcPr>
          <w:p w:rsidR="0025522E" w:rsidRPr="004C1013" w:rsidRDefault="0025522E" w:rsidP="0025522E">
            <w:pPr>
              <w:pStyle w:val="tabbielystyl"/>
            </w:pPr>
            <w:r w:rsidRPr="004C1013">
              <w:t>236,1</w:t>
            </w:r>
          </w:p>
        </w:tc>
        <w:tc>
          <w:tcPr>
            <w:tcW w:w="833" w:type="pct"/>
            <w:noWrap/>
            <w:hideMark/>
          </w:tcPr>
          <w:p w:rsidR="0025522E" w:rsidRPr="004C1013" w:rsidRDefault="0025522E" w:rsidP="0025522E">
            <w:pPr>
              <w:pStyle w:val="tabbielystyl"/>
            </w:pPr>
            <w:r w:rsidRPr="004C1013">
              <w:t>1 472,20</w:t>
            </w:r>
          </w:p>
        </w:tc>
      </w:tr>
      <w:tr w:rsidR="0025522E" w:rsidRPr="004C1013" w:rsidTr="00404B50">
        <w:trPr>
          <w:trHeight w:val="315"/>
        </w:trPr>
        <w:tc>
          <w:tcPr>
            <w:tcW w:w="835" w:type="pct"/>
            <w:noWrap/>
            <w:hideMark/>
          </w:tcPr>
          <w:p w:rsidR="0025522E" w:rsidRPr="004C1013" w:rsidRDefault="0025522E" w:rsidP="0025522E">
            <w:pPr>
              <w:pStyle w:val="tabbielystyl"/>
            </w:pPr>
            <w:r w:rsidRPr="004C1013">
              <w:t>2018</w:t>
            </w:r>
          </w:p>
        </w:tc>
        <w:tc>
          <w:tcPr>
            <w:tcW w:w="833" w:type="pct"/>
          </w:tcPr>
          <w:p w:rsidR="0025522E" w:rsidRPr="004C1013" w:rsidRDefault="0025522E" w:rsidP="0025522E">
            <w:pPr>
              <w:pStyle w:val="tabbielystyl"/>
            </w:pPr>
            <w:r w:rsidRPr="004C1013">
              <w:t>12.</w:t>
            </w:r>
          </w:p>
        </w:tc>
        <w:tc>
          <w:tcPr>
            <w:tcW w:w="833" w:type="pct"/>
            <w:noWrap/>
            <w:hideMark/>
          </w:tcPr>
          <w:p w:rsidR="0025522E" w:rsidRPr="004C1013" w:rsidRDefault="0025522E" w:rsidP="0025522E">
            <w:pPr>
              <w:pStyle w:val="tabbielystyl"/>
            </w:pPr>
            <w:r w:rsidRPr="004C1013">
              <w:t>1 241,80</w:t>
            </w:r>
          </w:p>
        </w:tc>
        <w:tc>
          <w:tcPr>
            <w:tcW w:w="833" w:type="pct"/>
            <w:noWrap/>
            <w:hideMark/>
          </w:tcPr>
          <w:p w:rsidR="0025522E" w:rsidRPr="004C1013" w:rsidRDefault="0025522E" w:rsidP="0025522E">
            <w:pPr>
              <w:pStyle w:val="tabbielystyl"/>
            </w:pPr>
            <w:r w:rsidRPr="004C1013">
              <w:t> 0</w:t>
            </w:r>
          </w:p>
        </w:tc>
        <w:tc>
          <w:tcPr>
            <w:tcW w:w="833" w:type="pct"/>
            <w:noWrap/>
            <w:hideMark/>
          </w:tcPr>
          <w:p w:rsidR="0025522E" w:rsidRPr="004C1013" w:rsidRDefault="0025522E" w:rsidP="0025522E">
            <w:pPr>
              <w:pStyle w:val="tabbielystyl"/>
            </w:pPr>
            <w:r w:rsidRPr="004C1013">
              <w:t>234,4</w:t>
            </w:r>
          </w:p>
        </w:tc>
        <w:tc>
          <w:tcPr>
            <w:tcW w:w="833" w:type="pct"/>
            <w:noWrap/>
            <w:hideMark/>
          </w:tcPr>
          <w:p w:rsidR="0025522E" w:rsidRPr="004C1013" w:rsidRDefault="0025522E" w:rsidP="0025522E">
            <w:pPr>
              <w:pStyle w:val="tabbielystyl"/>
            </w:pPr>
            <w:r w:rsidRPr="004C1013">
              <w:t>1 476,20</w:t>
            </w:r>
          </w:p>
        </w:tc>
      </w:tr>
    </w:tbl>
    <w:p w:rsidR="0025522E" w:rsidRPr="004C1013" w:rsidRDefault="0025522E" w:rsidP="0025522E">
      <w:r w:rsidRPr="004C1013">
        <w:t>Údaje o dĺžke vymedzených úsekov ciest podliehajúcich mýtu zverejnené v zdrojoch [15], [16] a [30] sa na zanedbateľné rozdiely zhodujú. Nesúlad za prvý rok prevádzky systému možno odôvodniť nesprávnym uvedením dĺžky spoplatnených úsekov v štatistickom bulletine ASECAP [15] za rok 2007, ktorá je uvádzaná so stavom k 1.1.2008 (</w:t>
      </w:r>
      <w:r w:rsidR="00C40D3F">
        <w:fldChar w:fldCharType="begin"/>
      </w:r>
      <w:r w:rsidR="00C40D3F">
        <w:instrText xml:space="preserve"> REF _Ref20217839 \h  \* MERGEFORMAT </w:instrText>
      </w:r>
      <w:r w:rsidR="00C40D3F">
        <w:fldChar w:fldCharType="separate"/>
      </w:r>
      <w:r w:rsidR="001E4C1C" w:rsidRPr="004C1013">
        <w:t xml:space="preserve">Tab.  </w:t>
      </w:r>
      <w:r w:rsidR="001E4C1C">
        <w:rPr>
          <w:noProof/>
        </w:rPr>
        <w:t>1</w:t>
      </w:r>
      <w:r w:rsidR="001E4C1C">
        <w:rPr>
          <w:noProof/>
        </w:rPr>
        <w:noBreakHyphen/>
        <w:t>25</w:t>
      </w:r>
      <w:r w:rsidR="00C40D3F">
        <w:fldChar w:fldCharType="end"/>
      </w:r>
      <w:r w:rsidRPr="004C1013">
        <w:t xml:space="preserve">). Vzhľadom k uvedenému riešiteľský kolektív preferuje pre účely komplexnej komparatívnej analýzy údaje zverejnené štátnymi inštitúciami [30]. </w:t>
      </w:r>
    </w:p>
    <w:p w:rsidR="0025522E" w:rsidRPr="004C1013" w:rsidRDefault="0025522E" w:rsidP="006B1C25">
      <w:pPr>
        <w:pStyle w:val="tabstyl"/>
      </w:pPr>
      <w:bookmarkStart w:id="112" w:name="_Ref20217839"/>
      <w:bookmarkStart w:id="113" w:name="_Toc20141115"/>
      <w:bookmarkStart w:id="114" w:name="_Toc36664467"/>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25</w:t>
      </w:r>
      <w:r w:rsidR="00C40D3F">
        <w:rPr>
          <w:noProof/>
        </w:rPr>
        <w:fldChar w:fldCharType="end"/>
      </w:r>
      <w:bookmarkEnd w:id="112"/>
      <w:r w:rsidRPr="004C1013">
        <w:tab/>
        <w:t>Česká republika: ETC indikátor 1. Dĺžka siete</w:t>
      </w:r>
      <w:bookmarkEnd w:id="113"/>
      <w:bookmarkEnd w:id="114"/>
    </w:p>
    <w:tbl>
      <w:tblPr>
        <w:tblStyle w:val="tabulkaVUD"/>
        <w:tblW w:w="5000" w:type="pct"/>
        <w:tblLook w:val="04A0" w:firstRow="1" w:lastRow="0" w:firstColumn="1" w:lastColumn="0" w:noHBand="0" w:noVBand="1"/>
      </w:tblPr>
      <w:tblGrid>
        <w:gridCol w:w="1727"/>
        <w:gridCol w:w="1702"/>
        <w:gridCol w:w="2991"/>
        <w:gridCol w:w="2991"/>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427"/>
          <w:tblHeader/>
        </w:trPr>
        <w:tc>
          <w:tcPr>
            <w:tcW w:w="918"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904" w:type="pct"/>
            <w:vMerge w:val="restart"/>
            <w:hideMark/>
          </w:tcPr>
          <w:p w:rsidR="0025522E" w:rsidRPr="004C1013" w:rsidRDefault="0025522E" w:rsidP="009D58D5">
            <w:pPr>
              <w:pStyle w:val="zahltab"/>
            </w:pPr>
            <w:r w:rsidRPr="004C1013">
              <w:t>Rok prevádzky</w:t>
            </w:r>
          </w:p>
        </w:tc>
        <w:tc>
          <w:tcPr>
            <w:tcW w:w="3178" w:type="pct"/>
            <w:gridSpan w:val="2"/>
            <w:hideMark/>
          </w:tcPr>
          <w:p w:rsidR="0025522E" w:rsidRPr="004C1013" w:rsidRDefault="0025522E" w:rsidP="009D58D5">
            <w:pPr>
              <w:pStyle w:val="zahltab"/>
            </w:pPr>
            <w:r w:rsidRPr="004C1013">
              <w:t>Dĺžka spoplatnených úsekov ciest</w:t>
            </w:r>
            <w:r w:rsidR="00CE625A">
              <w:t xml:space="preserve"> (km)</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379"/>
          <w:tblHeader/>
        </w:trPr>
        <w:tc>
          <w:tcPr>
            <w:tcW w:w="918" w:type="pct"/>
            <w:vMerge/>
            <w:shd w:val="clear" w:color="auto" w:fill="7F7F7F" w:themeFill="text1" w:themeFillTint="80"/>
            <w:hideMark/>
          </w:tcPr>
          <w:p w:rsidR="0025522E" w:rsidRPr="004C1013" w:rsidRDefault="0025522E" w:rsidP="009D58D5">
            <w:pPr>
              <w:pStyle w:val="zahltab"/>
            </w:pPr>
          </w:p>
        </w:tc>
        <w:tc>
          <w:tcPr>
            <w:tcW w:w="904" w:type="pct"/>
            <w:vMerge/>
            <w:hideMark/>
          </w:tcPr>
          <w:p w:rsidR="0025522E" w:rsidRPr="004C1013" w:rsidRDefault="0025522E" w:rsidP="009D58D5">
            <w:pPr>
              <w:pStyle w:val="zahltab"/>
            </w:pPr>
          </w:p>
        </w:tc>
        <w:tc>
          <w:tcPr>
            <w:tcW w:w="1589" w:type="pct"/>
            <w:hideMark/>
          </w:tcPr>
          <w:p w:rsidR="0025522E" w:rsidRPr="004C1013" w:rsidRDefault="0025522E" w:rsidP="009D58D5">
            <w:pPr>
              <w:pStyle w:val="zahltab"/>
            </w:pPr>
            <w:r w:rsidRPr="004C1013">
              <w:t>ASECAP [15], [16]</w:t>
            </w:r>
          </w:p>
        </w:tc>
        <w:tc>
          <w:tcPr>
            <w:tcW w:w="1589" w:type="pct"/>
          </w:tcPr>
          <w:p w:rsidR="0025522E" w:rsidRPr="004C1013" w:rsidRDefault="0025522E" w:rsidP="009D58D5">
            <w:pPr>
              <w:pStyle w:val="zahltab"/>
            </w:pPr>
            <w:r w:rsidRPr="004C1013">
              <w:t>Štátne inštitúcie [30]</w:t>
            </w:r>
          </w:p>
        </w:tc>
      </w:tr>
      <w:tr w:rsidR="0025522E" w:rsidRPr="004C1013" w:rsidTr="00404B50">
        <w:trPr>
          <w:trHeight w:val="300"/>
        </w:trPr>
        <w:tc>
          <w:tcPr>
            <w:tcW w:w="918" w:type="pct"/>
            <w:hideMark/>
          </w:tcPr>
          <w:p w:rsidR="0025522E" w:rsidRPr="004C1013" w:rsidRDefault="0025522E" w:rsidP="0025522E">
            <w:pPr>
              <w:pStyle w:val="tabbielystyl"/>
            </w:pPr>
            <w:r w:rsidRPr="004C1013">
              <w:t>2007</w:t>
            </w:r>
          </w:p>
        </w:tc>
        <w:tc>
          <w:tcPr>
            <w:tcW w:w="904" w:type="pct"/>
            <w:hideMark/>
          </w:tcPr>
          <w:p w:rsidR="0025522E" w:rsidRPr="004C1013" w:rsidRDefault="0025522E" w:rsidP="0025522E">
            <w:pPr>
              <w:pStyle w:val="tabbielystyl"/>
            </w:pPr>
            <w:r w:rsidRPr="004C1013">
              <w:t>1.</w:t>
            </w:r>
          </w:p>
        </w:tc>
        <w:tc>
          <w:tcPr>
            <w:tcW w:w="1589" w:type="pct"/>
            <w:hideMark/>
          </w:tcPr>
          <w:p w:rsidR="0025522E" w:rsidRPr="004C1013" w:rsidRDefault="0025522E" w:rsidP="0025522E">
            <w:pPr>
              <w:pStyle w:val="tabbielystyl"/>
            </w:pPr>
            <w:r w:rsidRPr="004C1013">
              <w:t>1 180,00</w:t>
            </w:r>
          </w:p>
        </w:tc>
        <w:tc>
          <w:tcPr>
            <w:tcW w:w="1589" w:type="pct"/>
          </w:tcPr>
          <w:p w:rsidR="0025522E" w:rsidRPr="004C1013" w:rsidRDefault="0025522E" w:rsidP="0025522E">
            <w:pPr>
              <w:pStyle w:val="tabbielystyl"/>
            </w:pPr>
            <w:r w:rsidRPr="004C1013">
              <w:t>949,9</w:t>
            </w:r>
          </w:p>
        </w:tc>
      </w:tr>
      <w:tr w:rsidR="0025522E" w:rsidRPr="004C1013" w:rsidTr="00404B50">
        <w:trPr>
          <w:trHeight w:val="300"/>
        </w:trPr>
        <w:tc>
          <w:tcPr>
            <w:tcW w:w="918" w:type="pct"/>
            <w:hideMark/>
          </w:tcPr>
          <w:p w:rsidR="0025522E" w:rsidRPr="004C1013" w:rsidRDefault="0025522E" w:rsidP="0025522E">
            <w:pPr>
              <w:pStyle w:val="tabbielystyl"/>
            </w:pPr>
            <w:r w:rsidRPr="004C1013">
              <w:t>2008</w:t>
            </w:r>
          </w:p>
        </w:tc>
        <w:tc>
          <w:tcPr>
            <w:tcW w:w="904" w:type="pct"/>
            <w:hideMark/>
          </w:tcPr>
          <w:p w:rsidR="0025522E" w:rsidRPr="004C1013" w:rsidRDefault="0025522E" w:rsidP="0025522E">
            <w:pPr>
              <w:pStyle w:val="tabbielystyl"/>
            </w:pPr>
            <w:r w:rsidRPr="004C1013">
              <w:t>2.</w:t>
            </w:r>
          </w:p>
        </w:tc>
        <w:tc>
          <w:tcPr>
            <w:tcW w:w="1589" w:type="pct"/>
            <w:hideMark/>
          </w:tcPr>
          <w:p w:rsidR="0025522E" w:rsidRPr="004C1013" w:rsidRDefault="0025522E" w:rsidP="0025522E">
            <w:pPr>
              <w:pStyle w:val="tabbielystyl"/>
            </w:pPr>
            <w:r w:rsidRPr="004C1013">
              <w:t>1 171,00</w:t>
            </w:r>
          </w:p>
        </w:tc>
        <w:tc>
          <w:tcPr>
            <w:tcW w:w="1589" w:type="pct"/>
          </w:tcPr>
          <w:p w:rsidR="0025522E" w:rsidRPr="004C1013" w:rsidRDefault="0025522E" w:rsidP="0025522E">
            <w:pPr>
              <w:pStyle w:val="tabbielystyl"/>
            </w:pPr>
            <w:r w:rsidRPr="004C1013">
              <w:t>1 170,90</w:t>
            </w:r>
          </w:p>
        </w:tc>
      </w:tr>
      <w:tr w:rsidR="0025522E" w:rsidRPr="004C1013" w:rsidTr="00404B50">
        <w:trPr>
          <w:trHeight w:val="300"/>
        </w:trPr>
        <w:tc>
          <w:tcPr>
            <w:tcW w:w="918" w:type="pct"/>
            <w:hideMark/>
          </w:tcPr>
          <w:p w:rsidR="0025522E" w:rsidRPr="004C1013" w:rsidRDefault="0025522E" w:rsidP="0025522E">
            <w:pPr>
              <w:pStyle w:val="tabbielystyl"/>
            </w:pPr>
            <w:r w:rsidRPr="004C1013">
              <w:t>2009</w:t>
            </w:r>
          </w:p>
        </w:tc>
        <w:tc>
          <w:tcPr>
            <w:tcW w:w="904" w:type="pct"/>
            <w:hideMark/>
          </w:tcPr>
          <w:p w:rsidR="0025522E" w:rsidRPr="004C1013" w:rsidRDefault="0025522E" w:rsidP="0025522E">
            <w:pPr>
              <w:pStyle w:val="tabbielystyl"/>
            </w:pPr>
            <w:r w:rsidRPr="004C1013">
              <w:t>3.</w:t>
            </w:r>
          </w:p>
        </w:tc>
        <w:tc>
          <w:tcPr>
            <w:tcW w:w="1589" w:type="pct"/>
            <w:hideMark/>
          </w:tcPr>
          <w:p w:rsidR="0025522E" w:rsidRPr="004C1013" w:rsidRDefault="0025522E" w:rsidP="0025522E">
            <w:pPr>
              <w:pStyle w:val="tabbielystyl"/>
            </w:pPr>
            <w:r w:rsidRPr="004C1013">
              <w:t>1 236,50</w:t>
            </w:r>
          </w:p>
        </w:tc>
        <w:tc>
          <w:tcPr>
            <w:tcW w:w="1589" w:type="pct"/>
          </w:tcPr>
          <w:p w:rsidR="0025522E" w:rsidRPr="004C1013" w:rsidRDefault="0025522E" w:rsidP="0025522E">
            <w:pPr>
              <w:pStyle w:val="tabbielystyl"/>
            </w:pPr>
            <w:r w:rsidRPr="004C1013">
              <w:t>1 261,50</w:t>
            </w:r>
          </w:p>
        </w:tc>
      </w:tr>
      <w:tr w:rsidR="0025522E" w:rsidRPr="004C1013" w:rsidTr="00404B50">
        <w:trPr>
          <w:trHeight w:val="300"/>
        </w:trPr>
        <w:tc>
          <w:tcPr>
            <w:tcW w:w="918" w:type="pct"/>
            <w:hideMark/>
          </w:tcPr>
          <w:p w:rsidR="0025522E" w:rsidRPr="004C1013" w:rsidRDefault="0025522E" w:rsidP="0025522E">
            <w:pPr>
              <w:pStyle w:val="tabbielystyl"/>
            </w:pPr>
            <w:r w:rsidRPr="004C1013">
              <w:t>2010</w:t>
            </w:r>
          </w:p>
        </w:tc>
        <w:tc>
          <w:tcPr>
            <w:tcW w:w="904" w:type="pct"/>
            <w:hideMark/>
          </w:tcPr>
          <w:p w:rsidR="0025522E" w:rsidRPr="004C1013" w:rsidRDefault="0025522E" w:rsidP="0025522E">
            <w:pPr>
              <w:pStyle w:val="tabbielystyl"/>
            </w:pPr>
            <w:r w:rsidRPr="004C1013">
              <w:t>4.</w:t>
            </w:r>
          </w:p>
        </w:tc>
        <w:tc>
          <w:tcPr>
            <w:tcW w:w="1589" w:type="pct"/>
            <w:hideMark/>
          </w:tcPr>
          <w:p w:rsidR="0025522E" w:rsidRPr="004C1013" w:rsidRDefault="0025522E" w:rsidP="0025522E">
            <w:pPr>
              <w:pStyle w:val="tabbielystyl"/>
            </w:pPr>
            <w:r w:rsidRPr="004C1013">
              <w:t>1 318,60</w:t>
            </w:r>
          </w:p>
        </w:tc>
        <w:tc>
          <w:tcPr>
            <w:tcW w:w="1589" w:type="pct"/>
          </w:tcPr>
          <w:p w:rsidR="0025522E" w:rsidRPr="004C1013" w:rsidRDefault="0025522E" w:rsidP="0025522E">
            <w:pPr>
              <w:pStyle w:val="tabbielystyl"/>
            </w:pPr>
            <w:r w:rsidRPr="004C1013">
              <w:t>1 377,60</w:t>
            </w:r>
          </w:p>
        </w:tc>
      </w:tr>
      <w:tr w:rsidR="0025522E" w:rsidRPr="004C1013" w:rsidTr="00404B50">
        <w:trPr>
          <w:trHeight w:val="300"/>
        </w:trPr>
        <w:tc>
          <w:tcPr>
            <w:tcW w:w="918" w:type="pct"/>
            <w:hideMark/>
          </w:tcPr>
          <w:p w:rsidR="0025522E" w:rsidRPr="004C1013" w:rsidRDefault="0025522E" w:rsidP="0025522E">
            <w:pPr>
              <w:pStyle w:val="tabbielystyl"/>
            </w:pPr>
            <w:r w:rsidRPr="004C1013">
              <w:t>2011</w:t>
            </w:r>
          </w:p>
        </w:tc>
        <w:tc>
          <w:tcPr>
            <w:tcW w:w="904" w:type="pct"/>
            <w:hideMark/>
          </w:tcPr>
          <w:p w:rsidR="0025522E" w:rsidRPr="004C1013" w:rsidRDefault="0025522E" w:rsidP="0025522E">
            <w:pPr>
              <w:pStyle w:val="tabbielystyl"/>
            </w:pPr>
            <w:r w:rsidRPr="004C1013">
              <w:t>5.</w:t>
            </w:r>
          </w:p>
        </w:tc>
        <w:tc>
          <w:tcPr>
            <w:tcW w:w="1589" w:type="pct"/>
            <w:hideMark/>
          </w:tcPr>
          <w:p w:rsidR="0025522E" w:rsidRPr="004C1013" w:rsidRDefault="0025522E" w:rsidP="0025522E">
            <w:pPr>
              <w:pStyle w:val="tabbielystyl"/>
            </w:pPr>
            <w:r w:rsidRPr="004C1013">
              <w:t>1 348,50</w:t>
            </w:r>
          </w:p>
        </w:tc>
        <w:tc>
          <w:tcPr>
            <w:tcW w:w="1589" w:type="pct"/>
          </w:tcPr>
          <w:p w:rsidR="0025522E" w:rsidRPr="004C1013" w:rsidRDefault="0025522E" w:rsidP="0025522E">
            <w:pPr>
              <w:pStyle w:val="tabbielystyl"/>
            </w:pPr>
            <w:r w:rsidRPr="004C1013">
              <w:t>1 389,20</w:t>
            </w:r>
          </w:p>
        </w:tc>
      </w:tr>
      <w:tr w:rsidR="0025522E" w:rsidRPr="004C1013" w:rsidTr="00404B50">
        <w:trPr>
          <w:trHeight w:val="300"/>
        </w:trPr>
        <w:tc>
          <w:tcPr>
            <w:tcW w:w="918" w:type="pct"/>
            <w:hideMark/>
          </w:tcPr>
          <w:p w:rsidR="0025522E" w:rsidRPr="004C1013" w:rsidRDefault="0025522E" w:rsidP="0025522E">
            <w:pPr>
              <w:pStyle w:val="tabbielystyl"/>
            </w:pPr>
            <w:r w:rsidRPr="004C1013">
              <w:t>2012</w:t>
            </w:r>
          </w:p>
        </w:tc>
        <w:tc>
          <w:tcPr>
            <w:tcW w:w="904" w:type="pct"/>
            <w:hideMark/>
          </w:tcPr>
          <w:p w:rsidR="0025522E" w:rsidRPr="004C1013" w:rsidRDefault="0025522E" w:rsidP="0025522E">
            <w:pPr>
              <w:pStyle w:val="tabbielystyl"/>
            </w:pPr>
            <w:r w:rsidRPr="004C1013">
              <w:t>6.</w:t>
            </w:r>
          </w:p>
        </w:tc>
        <w:tc>
          <w:tcPr>
            <w:tcW w:w="1589" w:type="pct"/>
            <w:hideMark/>
          </w:tcPr>
          <w:p w:rsidR="0025522E" w:rsidRPr="004C1013" w:rsidRDefault="0025522E" w:rsidP="0025522E">
            <w:pPr>
              <w:pStyle w:val="tabbielystyl"/>
            </w:pPr>
            <w:r w:rsidRPr="004C1013">
              <w:t>1 381,40</w:t>
            </w:r>
          </w:p>
        </w:tc>
        <w:tc>
          <w:tcPr>
            <w:tcW w:w="1589" w:type="pct"/>
          </w:tcPr>
          <w:p w:rsidR="0025522E" w:rsidRPr="004C1013" w:rsidRDefault="0025522E" w:rsidP="0025522E">
            <w:pPr>
              <w:pStyle w:val="tabbielystyl"/>
            </w:pPr>
            <w:r w:rsidRPr="004C1013">
              <w:t>1 400,90</w:t>
            </w:r>
          </w:p>
        </w:tc>
      </w:tr>
      <w:tr w:rsidR="0025522E" w:rsidRPr="004C1013" w:rsidTr="00404B50">
        <w:trPr>
          <w:trHeight w:val="300"/>
        </w:trPr>
        <w:tc>
          <w:tcPr>
            <w:tcW w:w="918" w:type="pct"/>
            <w:hideMark/>
          </w:tcPr>
          <w:p w:rsidR="0025522E" w:rsidRPr="004C1013" w:rsidRDefault="0025522E" w:rsidP="0025522E">
            <w:pPr>
              <w:pStyle w:val="tabbielystyl"/>
            </w:pPr>
            <w:r w:rsidRPr="004C1013">
              <w:t>2013</w:t>
            </w:r>
          </w:p>
        </w:tc>
        <w:tc>
          <w:tcPr>
            <w:tcW w:w="904" w:type="pct"/>
            <w:hideMark/>
          </w:tcPr>
          <w:p w:rsidR="0025522E" w:rsidRPr="004C1013" w:rsidRDefault="0025522E" w:rsidP="0025522E">
            <w:pPr>
              <w:pStyle w:val="tabbielystyl"/>
            </w:pPr>
            <w:r w:rsidRPr="004C1013">
              <w:t>7.</w:t>
            </w:r>
          </w:p>
        </w:tc>
        <w:tc>
          <w:tcPr>
            <w:tcW w:w="1589" w:type="pct"/>
            <w:hideMark/>
          </w:tcPr>
          <w:p w:rsidR="0025522E" w:rsidRPr="004C1013" w:rsidRDefault="0025522E" w:rsidP="0025522E">
            <w:pPr>
              <w:pStyle w:val="tabbielystyl"/>
            </w:pPr>
            <w:r w:rsidRPr="004C1013">
              <w:t>1 422,70</w:t>
            </w:r>
          </w:p>
        </w:tc>
        <w:tc>
          <w:tcPr>
            <w:tcW w:w="1589" w:type="pct"/>
          </w:tcPr>
          <w:p w:rsidR="0025522E" w:rsidRPr="004C1013" w:rsidRDefault="0025522E" w:rsidP="0025522E">
            <w:pPr>
              <w:pStyle w:val="tabbielystyl"/>
            </w:pPr>
            <w:r w:rsidRPr="004C1013">
              <w:t>1 446,20</w:t>
            </w:r>
          </w:p>
        </w:tc>
      </w:tr>
      <w:tr w:rsidR="0025522E" w:rsidRPr="004C1013" w:rsidTr="00404B50">
        <w:trPr>
          <w:trHeight w:val="300"/>
        </w:trPr>
        <w:tc>
          <w:tcPr>
            <w:tcW w:w="918" w:type="pct"/>
            <w:hideMark/>
          </w:tcPr>
          <w:p w:rsidR="0025522E" w:rsidRPr="004C1013" w:rsidRDefault="0025522E" w:rsidP="0025522E">
            <w:pPr>
              <w:pStyle w:val="tabbielystyl"/>
            </w:pPr>
            <w:r w:rsidRPr="004C1013">
              <w:t>2014</w:t>
            </w:r>
          </w:p>
        </w:tc>
        <w:tc>
          <w:tcPr>
            <w:tcW w:w="904" w:type="pct"/>
            <w:hideMark/>
          </w:tcPr>
          <w:p w:rsidR="0025522E" w:rsidRPr="004C1013" w:rsidRDefault="0025522E" w:rsidP="0025522E">
            <w:pPr>
              <w:pStyle w:val="tabbielystyl"/>
            </w:pPr>
            <w:r w:rsidRPr="004C1013">
              <w:t>8.</w:t>
            </w:r>
          </w:p>
        </w:tc>
        <w:tc>
          <w:tcPr>
            <w:tcW w:w="1589" w:type="pct"/>
            <w:hideMark/>
          </w:tcPr>
          <w:p w:rsidR="0025522E" w:rsidRPr="004C1013" w:rsidRDefault="0025522E" w:rsidP="0025522E">
            <w:pPr>
              <w:pStyle w:val="tabbielystyl"/>
            </w:pPr>
            <w:r w:rsidRPr="004C1013">
              <w:t>1 429,20</w:t>
            </w:r>
          </w:p>
        </w:tc>
        <w:tc>
          <w:tcPr>
            <w:tcW w:w="1589" w:type="pct"/>
          </w:tcPr>
          <w:p w:rsidR="0025522E" w:rsidRPr="004C1013" w:rsidRDefault="0025522E" w:rsidP="0025522E">
            <w:pPr>
              <w:pStyle w:val="tabbielystyl"/>
            </w:pPr>
            <w:r w:rsidRPr="004C1013">
              <w:t>1 446,20</w:t>
            </w:r>
          </w:p>
        </w:tc>
      </w:tr>
      <w:tr w:rsidR="0025522E" w:rsidRPr="004C1013" w:rsidTr="00404B50">
        <w:trPr>
          <w:trHeight w:val="300"/>
        </w:trPr>
        <w:tc>
          <w:tcPr>
            <w:tcW w:w="918" w:type="pct"/>
            <w:hideMark/>
          </w:tcPr>
          <w:p w:rsidR="0025522E" w:rsidRPr="004C1013" w:rsidRDefault="0025522E" w:rsidP="0025522E">
            <w:pPr>
              <w:pStyle w:val="tabbielystyl"/>
            </w:pPr>
            <w:r w:rsidRPr="004C1013">
              <w:t>2015</w:t>
            </w:r>
          </w:p>
        </w:tc>
        <w:tc>
          <w:tcPr>
            <w:tcW w:w="904" w:type="pct"/>
            <w:hideMark/>
          </w:tcPr>
          <w:p w:rsidR="0025522E" w:rsidRPr="004C1013" w:rsidRDefault="0025522E" w:rsidP="0025522E">
            <w:pPr>
              <w:pStyle w:val="tabbielystyl"/>
            </w:pPr>
            <w:r w:rsidRPr="004C1013">
              <w:t>9.</w:t>
            </w:r>
          </w:p>
        </w:tc>
        <w:tc>
          <w:tcPr>
            <w:tcW w:w="1589" w:type="pct"/>
            <w:hideMark/>
          </w:tcPr>
          <w:p w:rsidR="0025522E" w:rsidRPr="004C1013" w:rsidRDefault="0025522E" w:rsidP="0025522E">
            <w:pPr>
              <w:pStyle w:val="tabbielystyl"/>
            </w:pPr>
            <w:r w:rsidRPr="004C1013">
              <w:t>1 433,30</w:t>
            </w:r>
          </w:p>
        </w:tc>
        <w:tc>
          <w:tcPr>
            <w:tcW w:w="1589" w:type="pct"/>
          </w:tcPr>
          <w:p w:rsidR="0025522E" w:rsidRPr="004C1013" w:rsidRDefault="0025522E" w:rsidP="0025522E">
            <w:pPr>
              <w:pStyle w:val="tabbielystyl"/>
            </w:pPr>
            <w:r w:rsidRPr="004C1013">
              <w:t>1 446,20</w:t>
            </w:r>
          </w:p>
        </w:tc>
      </w:tr>
      <w:tr w:rsidR="0025522E" w:rsidRPr="004C1013" w:rsidTr="00404B50">
        <w:trPr>
          <w:trHeight w:val="300"/>
        </w:trPr>
        <w:tc>
          <w:tcPr>
            <w:tcW w:w="918" w:type="pct"/>
            <w:hideMark/>
          </w:tcPr>
          <w:p w:rsidR="0025522E" w:rsidRPr="004C1013" w:rsidRDefault="0025522E" w:rsidP="0025522E">
            <w:pPr>
              <w:pStyle w:val="tabbielystyl"/>
            </w:pPr>
            <w:r w:rsidRPr="004C1013">
              <w:t>2016</w:t>
            </w:r>
          </w:p>
        </w:tc>
        <w:tc>
          <w:tcPr>
            <w:tcW w:w="904" w:type="pct"/>
            <w:hideMark/>
          </w:tcPr>
          <w:p w:rsidR="0025522E" w:rsidRPr="004C1013" w:rsidRDefault="0025522E" w:rsidP="0025522E">
            <w:pPr>
              <w:pStyle w:val="tabbielystyl"/>
            </w:pPr>
            <w:r w:rsidRPr="004C1013">
              <w:t>10.</w:t>
            </w:r>
          </w:p>
        </w:tc>
        <w:tc>
          <w:tcPr>
            <w:tcW w:w="1589" w:type="pct"/>
            <w:hideMark/>
          </w:tcPr>
          <w:p w:rsidR="0025522E" w:rsidRPr="004C1013" w:rsidRDefault="0025522E" w:rsidP="0025522E">
            <w:pPr>
              <w:pStyle w:val="tabbielystyl"/>
            </w:pPr>
            <w:r w:rsidRPr="004C1013">
              <w:t>1 447,30</w:t>
            </w:r>
          </w:p>
        </w:tc>
        <w:tc>
          <w:tcPr>
            <w:tcW w:w="1589" w:type="pct"/>
          </w:tcPr>
          <w:p w:rsidR="0025522E" w:rsidRPr="004C1013" w:rsidRDefault="0025522E" w:rsidP="0025522E">
            <w:pPr>
              <w:pStyle w:val="tabbielystyl"/>
            </w:pPr>
            <w:r w:rsidRPr="004C1013">
              <w:t>1 449,90</w:t>
            </w:r>
          </w:p>
        </w:tc>
      </w:tr>
      <w:tr w:rsidR="0025522E" w:rsidRPr="004C1013" w:rsidTr="00404B50">
        <w:trPr>
          <w:trHeight w:val="300"/>
        </w:trPr>
        <w:tc>
          <w:tcPr>
            <w:tcW w:w="918" w:type="pct"/>
            <w:hideMark/>
          </w:tcPr>
          <w:p w:rsidR="0025522E" w:rsidRPr="004C1013" w:rsidRDefault="0025522E" w:rsidP="0025522E">
            <w:pPr>
              <w:pStyle w:val="tabbielystyl"/>
            </w:pPr>
            <w:r w:rsidRPr="004C1013">
              <w:t>2017</w:t>
            </w:r>
          </w:p>
        </w:tc>
        <w:tc>
          <w:tcPr>
            <w:tcW w:w="904" w:type="pct"/>
            <w:hideMark/>
          </w:tcPr>
          <w:p w:rsidR="0025522E" w:rsidRPr="004C1013" w:rsidRDefault="0025522E" w:rsidP="0025522E">
            <w:pPr>
              <w:pStyle w:val="tabbielystyl"/>
            </w:pPr>
            <w:r w:rsidRPr="004C1013">
              <w:t>11.</w:t>
            </w:r>
          </w:p>
        </w:tc>
        <w:tc>
          <w:tcPr>
            <w:tcW w:w="1589" w:type="pct"/>
            <w:hideMark/>
          </w:tcPr>
          <w:p w:rsidR="0025522E" w:rsidRPr="004C1013" w:rsidRDefault="0025522E" w:rsidP="0025522E">
            <w:pPr>
              <w:pStyle w:val="tabbielystyl"/>
            </w:pPr>
            <w:r w:rsidRPr="004C1013">
              <w:t>1 468,30</w:t>
            </w:r>
          </w:p>
        </w:tc>
        <w:tc>
          <w:tcPr>
            <w:tcW w:w="1589" w:type="pct"/>
          </w:tcPr>
          <w:p w:rsidR="0025522E" w:rsidRPr="004C1013" w:rsidRDefault="0025522E" w:rsidP="0025522E">
            <w:pPr>
              <w:pStyle w:val="tabbielystyl"/>
            </w:pPr>
            <w:r w:rsidRPr="004C1013">
              <w:t>1 472,20</w:t>
            </w:r>
          </w:p>
        </w:tc>
      </w:tr>
      <w:tr w:rsidR="0025522E" w:rsidRPr="004C1013" w:rsidTr="00404B50">
        <w:trPr>
          <w:trHeight w:val="300"/>
        </w:trPr>
        <w:tc>
          <w:tcPr>
            <w:tcW w:w="918" w:type="pct"/>
            <w:hideMark/>
          </w:tcPr>
          <w:p w:rsidR="0025522E" w:rsidRPr="004C1013" w:rsidRDefault="0025522E" w:rsidP="0025522E">
            <w:pPr>
              <w:pStyle w:val="tabbielystyl"/>
            </w:pPr>
            <w:r w:rsidRPr="004C1013">
              <w:t>2018</w:t>
            </w:r>
          </w:p>
        </w:tc>
        <w:tc>
          <w:tcPr>
            <w:tcW w:w="904" w:type="pct"/>
            <w:hideMark/>
          </w:tcPr>
          <w:p w:rsidR="0025522E" w:rsidRPr="004C1013" w:rsidRDefault="0025522E" w:rsidP="0025522E">
            <w:pPr>
              <w:pStyle w:val="tabbielystyl"/>
            </w:pPr>
            <w:r w:rsidRPr="004C1013">
              <w:t>12.</w:t>
            </w:r>
          </w:p>
        </w:tc>
        <w:tc>
          <w:tcPr>
            <w:tcW w:w="1589" w:type="pct"/>
            <w:hideMark/>
          </w:tcPr>
          <w:p w:rsidR="0025522E" w:rsidRPr="004C1013" w:rsidRDefault="0025522E" w:rsidP="0025522E">
            <w:pPr>
              <w:pStyle w:val="tabbielystyl"/>
            </w:pPr>
            <w:r w:rsidRPr="004C1013">
              <w:t>1 472,30</w:t>
            </w:r>
          </w:p>
        </w:tc>
        <w:tc>
          <w:tcPr>
            <w:tcW w:w="1589" w:type="pct"/>
          </w:tcPr>
          <w:p w:rsidR="0025522E" w:rsidRPr="004C1013" w:rsidRDefault="0025522E" w:rsidP="0025522E">
            <w:pPr>
              <w:pStyle w:val="tabbielystyl"/>
            </w:pPr>
            <w:r w:rsidRPr="004C1013">
              <w:t>1 476,20</w:t>
            </w:r>
          </w:p>
        </w:tc>
      </w:tr>
    </w:tbl>
    <w:p w:rsidR="0025522E" w:rsidRPr="004C1013" w:rsidRDefault="0025522E" w:rsidP="0025522E">
      <w:pPr>
        <w:pStyle w:val="Nadpis3"/>
        <w:rPr>
          <w:rFonts w:asciiTheme="minorHAnsi" w:hAnsiTheme="minorHAnsi" w:cstheme="minorHAnsi"/>
        </w:rPr>
      </w:pPr>
      <w:bookmarkStart w:id="115" w:name="_Toc20687936"/>
      <w:bookmarkStart w:id="116" w:name="_Toc36664379"/>
      <w:r w:rsidRPr="004C1013">
        <w:rPr>
          <w:rFonts w:asciiTheme="minorHAnsi" w:hAnsiTheme="minorHAnsi" w:cstheme="minorHAnsi"/>
        </w:rPr>
        <w:t>Dopravné výkony na vymedzených úsekoch ciest</w:t>
      </w:r>
      <w:bookmarkEnd w:id="115"/>
      <w:bookmarkEnd w:id="116"/>
    </w:p>
    <w:p w:rsidR="0025522E" w:rsidRPr="004C1013" w:rsidRDefault="0025522E" w:rsidP="0025522E">
      <w:r w:rsidRPr="004C1013">
        <w:t>Od 1. januára 2007 boli výkonovým spoplatnen</w:t>
      </w:r>
      <w:r w:rsidR="003202AC">
        <w:t>í</w:t>
      </w:r>
      <w:r w:rsidRPr="004C1013">
        <w:t xml:space="preserve">m zaťažené len nákladné vozidlá nad 12,5 tony, od 1. januára 2010 mýto platia aj vozidlá s hmotnosťou presahujúcou 3,5 tony.  V auguste 2011 bol systém rozšírený o autobusy prevádzkujúce verejnú osobnú dopravu, ktorým bola poskytnutá znížená sadzba za užívanie vymedzených úsekov ciest. </w:t>
      </w:r>
    </w:p>
    <w:p w:rsidR="0025522E" w:rsidRPr="004C1013" w:rsidRDefault="0025522E" w:rsidP="0025522E">
      <w:r w:rsidRPr="004C1013">
        <w:t>Informácie o objeme dopravy na spoplatnených úsekoch ciest boli obdobne ako v predchádzajúcom prípade získané zo správ ASECAP [15], [16] a zdroja [30]. V zdrojoch [15], [16] sú uvádzané oba ukazovatele intenzity dopravy, a to denná intenzita na priemernom jednotkovom kilometri siete a ročné kumulované dopravné výkony (</w:t>
      </w:r>
      <w:r w:rsidR="00C40D3F">
        <w:fldChar w:fldCharType="begin"/>
      </w:r>
      <w:r w:rsidR="00C40D3F">
        <w:instrText xml:space="preserve"> REF _Ref20219400 \h  \* MERGEFORMAT </w:instrText>
      </w:r>
      <w:r w:rsidR="00C40D3F">
        <w:fldChar w:fldCharType="separate"/>
      </w:r>
      <w:r w:rsidR="001E4C1C" w:rsidRPr="004C1013">
        <w:t xml:space="preserve">Tab.  </w:t>
      </w:r>
      <w:r w:rsidR="001E4C1C">
        <w:rPr>
          <w:noProof/>
        </w:rPr>
        <w:t>1</w:t>
      </w:r>
      <w:r w:rsidR="001E4C1C">
        <w:rPr>
          <w:noProof/>
        </w:rPr>
        <w:noBreakHyphen/>
        <w:t>26</w:t>
      </w:r>
      <w:r w:rsidR="00C40D3F">
        <w:fldChar w:fldCharType="end"/>
      </w:r>
      <w:r w:rsidRPr="004C1013">
        <w:t xml:space="preserve">), pričom intenzita priemerného kilometra bola vypočítaná z uvádzaných kumulovaných dopravných výkonov na sieti. Zdroj [30] uvádza len kumulované ročné dopravné výkony povinných vozidiel na spoplatnených úsekoch ciest. </w:t>
      </w:r>
    </w:p>
    <w:p w:rsidR="0025522E" w:rsidRPr="004C1013" w:rsidRDefault="0025522E" w:rsidP="0025522E">
      <w:r w:rsidRPr="004C1013">
        <w:t>Riešiteľský kolektív za účelom validácie údajov realizoval kontrolné vzájomné prepočty ukazovateľov objemu dopravy uvádzaných v zdrojoch [15], [16] ako aj výpočet denných intenzít na jednotkovom kilometri podľa údajov v zdroji [30]. Výsledky sú uvedené v nasledujúcej tabuľke (</w:t>
      </w:r>
      <w:r w:rsidR="00C40D3F">
        <w:fldChar w:fldCharType="begin"/>
      </w:r>
      <w:r w:rsidR="00C40D3F">
        <w:instrText xml:space="preserve"> REF _Ref20219400 \h  \* MERGEFORMAT </w:instrText>
      </w:r>
      <w:r w:rsidR="00C40D3F">
        <w:fldChar w:fldCharType="separate"/>
      </w:r>
      <w:r w:rsidR="001E4C1C" w:rsidRPr="004C1013">
        <w:t xml:space="preserve">Tab.  </w:t>
      </w:r>
      <w:r w:rsidR="001E4C1C">
        <w:rPr>
          <w:noProof/>
        </w:rPr>
        <w:t>1</w:t>
      </w:r>
      <w:r w:rsidR="001E4C1C">
        <w:rPr>
          <w:noProof/>
        </w:rPr>
        <w:noBreakHyphen/>
        <w:t>26</w:t>
      </w:r>
      <w:r w:rsidR="00C40D3F">
        <w:fldChar w:fldCharType="end"/>
      </w:r>
      <w:r w:rsidRPr="004C1013">
        <w:t xml:space="preserve">). </w:t>
      </w:r>
    </w:p>
    <w:p w:rsidR="0025522E" w:rsidRPr="004C1013" w:rsidRDefault="0025522E" w:rsidP="006B1C25">
      <w:pPr>
        <w:pStyle w:val="tabstyl"/>
      </w:pPr>
      <w:bookmarkStart w:id="117" w:name="_Ref20219400"/>
      <w:bookmarkStart w:id="118" w:name="_Toc20081961"/>
      <w:bookmarkStart w:id="119" w:name="_Toc36664468"/>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26</w:t>
      </w:r>
      <w:r w:rsidR="00C40D3F">
        <w:rPr>
          <w:noProof/>
        </w:rPr>
        <w:fldChar w:fldCharType="end"/>
      </w:r>
      <w:bookmarkEnd w:id="117"/>
      <w:r w:rsidRPr="004C1013">
        <w:t xml:space="preserve"> </w:t>
      </w:r>
      <w:r w:rsidRPr="004C1013">
        <w:tab/>
        <w:t>Rešerš dostupnej literatúry  - dopravné výkony na vymedzených úsekoch ciest v </w:t>
      </w:r>
      <w:bookmarkEnd w:id="118"/>
      <w:r w:rsidRPr="004C1013">
        <w:t>Českej republike</w:t>
      </w:r>
      <w:bookmarkEnd w:id="119"/>
    </w:p>
    <w:tbl>
      <w:tblPr>
        <w:tblStyle w:val="tabulkaVUD"/>
        <w:tblW w:w="5000" w:type="pct"/>
        <w:tblLook w:val="04A0" w:firstRow="1" w:lastRow="0" w:firstColumn="1" w:lastColumn="0" w:noHBand="0" w:noVBand="1"/>
      </w:tblPr>
      <w:tblGrid>
        <w:gridCol w:w="1177"/>
        <w:gridCol w:w="1177"/>
        <w:gridCol w:w="1177"/>
        <w:gridCol w:w="1176"/>
        <w:gridCol w:w="1176"/>
        <w:gridCol w:w="1176"/>
        <w:gridCol w:w="1176"/>
        <w:gridCol w:w="1176"/>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1177" w:type="dxa"/>
            <w:vMerge w:val="restart"/>
            <w:shd w:val="clear" w:color="auto" w:fill="7F7F7F" w:themeFill="text1" w:themeFillTint="80"/>
            <w:hideMark/>
          </w:tcPr>
          <w:p w:rsidR="0025522E" w:rsidRPr="004C1013" w:rsidRDefault="0025522E" w:rsidP="009D58D5">
            <w:pPr>
              <w:pStyle w:val="zahltab"/>
            </w:pPr>
            <w:r w:rsidRPr="004C1013">
              <w:t>Kalendárny rok</w:t>
            </w:r>
          </w:p>
        </w:tc>
        <w:tc>
          <w:tcPr>
            <w:tcW w:w="1177" w:type="dxa"/>
            <w:vMerge w:val="restart"/>
            <w:hideMark/>
          </w:tcPr>
          <w:p w:rsidR="0025522E" w:rsidRPr="004C1013" w:rsidRDefault="0025522E" w:rsidP="009D58D5">
            <w:pPr>
              <w:pStyle w:val="zahltab"/>
            </w:pPr>
            <w:r w:rsidRPr="004C1013">
              <w:t>Rok prevádzky</w:t>
            </w:r>
          </w:p>
        </w:tc>
        <w:tc>
          <w:tcPr>
            <w:tcW w:w="3529" w:type="dxa"/>
            <w:gridSpan w:val="3"/>
          </w:tcPr>
          <w:p w:rsidR="0025522E" w:rsidRPr="004C1013" w:rsidRDefault="0025522E" w:rsidP="009D58D5">
            <w:pPr>
              <w:pStyle w:val="zahltab"/>
            </w:pPr>
            <w:r w:rsidRPr="004C1013">
              <w:t>Priemerná intenzita na 1km</w:t>
            </w:r>
          </w:p>
          <w:p w:rsidR="0025522E" w:rsidRPr="004C1013" w:rsidRDefault="0025522E" w:rsidP="009D58D5">
            <w:pPr>
              <w:pStyle w:val="zahltab"/>
            </w:pPr>
            <w:r w:rsidRPr="004C1013">
              <w:t>(voz/deň)</w:t>
            </w:r>
          </w:p>
        </w:tc>
        <w:tc>
          <w:tcPr>
            <w:tcW w:w="3528" w:type="dxa"/>
            <w:gridSpan w:val="3"/>
          </w:tcPr>
          <w:p w:rsidR="0025522E" w:rsidRPr="004C1013" w:rsidRDefault="0025522E" w:rsidP="009D58D5">
            <w:pPr>
              <w:pStyle w:val="zahltab"/>
            </w:pPr>
            <w:r w:rsidRPr="004C1013">
              <w:t>Kumulované dopravné výkony</w:t>
            </w:r>
          </w:p>
          <w:p w:rsidR="0025522E" w:rsidRPr="004C1013" w:rsidRDefault="0025522E" w:rsidP="009D58D5">
            <w:pPr>
              <w:pStyle w:val="zahltab"/>
            </w:pPr>
            <w:r w:rsidRPr="004C1013">
              <w:t>(mil. vkm/rok)</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1177" w:type="dxa"/>
            <w:vMerge/>
            <w:shd w:val="clear" w:color="auto" w:fill="7F7F7F" w:themeFill="text1" w:themeFillTint="80"/>
            <w:hideMark/>
          </w:tcPr>
          <w:p w:rsidR="0025522E" w:rsidRPr="004C1013" w:rsidRDefault="0025522E" w:rsidP="009D58D5">
            <w:pPr>
              <w:pStyle w:val="zahltab"/>
            </w:pPr>
          </w:p>
        </w:tc>
        <w:tc>
          <w:tcPr>
            <w:tcW w:w="1177" w:type="dxa"/>
            <w:vMerge/>
            <w:hideMark/>
          </w:tcPr>
          <w:p w:rsidR="0025522E" w:rsidRPr="004C1013" w:rsidRDefault="0025522E" w:rsidP="009D58D5">
            <w:pPr>
              <w:pStyle w:val="zahltab"/>
            </w:pPr>
          </w:p>
        </w:tc>
        <w:tc>
          <w:tcPr>
            <w:tcW w:w="1177" w:type="dxa"/>
            <w:hideMark/>
          </w:tcPr>
          <w:p w:rsidR="0025522E" w:rsidRPr="004C1013" w:rsidRDefault="0025522E" w:rsidP="009D58D5">
            <w:pPr>
              <w:pStyle w:val="zahltab"/>
            </w:pPr>
            <w:r w:rsidRPr="004C1013">
              <w:t>ASECAP-B [15]</w:t>
            </w:r>
          </w:p>
        </w:tc>
        <w:tc>
          <w:tcPr>
            <w:tcW w:w="1176" w:type="dxa"/>
          </w:tcPr>
          <w:p w:rsidR="0025522E" w:rsidRPr="004C1013" w:rsidRDefault="0025522E" w:rsidP="009D58D5">
            <w:pPr>
              <w:pStyle w:val="zahltab"/>
            </w:pPr>
            <w:r w:rsidRPr="004C1013">
              <w:t>Prepočet  (podľa [16])</w:t>
            </w:r>
          </w:p>
        </w:tc>
        <w:tc>
          <w:tcPr>
            <w:tcW w:w="1176" w:type="dxa"/>
          </w:tcPr>
          <w:p w:rsidR="0025522E" w:rsidRPr="004C1013" w:rsidRDefault="0025522E" w:rsidP="009D58D5">
            <w:pPr>
              <w:pStyle w:val="zahltab"/>
            </w:pPr>
            <w:r w:rsidRPr="004C1013">
              <w:t>Prepočet  (podľa [30])</w:t>
            </w:r>
          </w:p>
        </w:tc>
        <w:tc>
          <w:tcPr>
            <w:tcW w:w="1176" w:type="dxa"/>
          </w:tcPr>
          <w:p w:rsidR="0025522E" w:rsidRPr="004C1013" w:rsidRDefault="0025522E" w:rsidP="009D58D5">
            <w:pPr>
              <w:pStyle w:val="zahltab"/>
            </w:pPr>
            <w:r w:rsidRPr="004C1013">
              <w:t>ASECAP-NS</w:t>
            </w:r>
          </w:p>
          <w:p w:rsidR="0025522E" w:rsidRPr="004C1013" w:rsidRDefault="0025522E" w:rsidP="009D58D5">
            <w:pPr>
              <w:pStyle w:val="zahltab"/>
              <w:rPr>
                <w:bCs/>
              </w:rPr>
            </w:pPr>
            <w:r w:rsidRPr="004C1013">
              <w:t>[16]</w:t>
            </w:r>
          </w:p>
        </w:tc>
        <w:tc>
          <w:tcPr>
            <w:tcW w:w="1176" w:type="dxa"/>
          </w:tcPr>
          <w:p w:rsidR="0025522E" w:rsidRPr="004C1013" w:rsidRDefault="0025522E" w:rsidP="009D58D5">
            <w:pPr>
              <w:pStyle w:val="zahltab"/>
            </w:pPr>
            <w:r w:rsidRPr="004C1013">
              <w:t>Štátne inštitúcie [30]</w:t>
            </w:r>
          </w:p>
        </w:tc>
        <w:tc>
          <w:tcPr>
            <w:tcW w:w="1176" w:type="dxa"/>
          </w:tcPr>
          <w:p w:rsidR="0025522E" w:rsidRPr="004C1013" w:rsidRDefault="0025522E" w:rsidP="009D58D5">
            <w:pPr>
              <w:pStyle w:val="zahltab"/>
            </w:pPr>
            <w:r w:rsidRPr="004C1013">
              <w:t xml:space="preserve">Prepočet </w:t>
            </w:r>
            <w:r w:rsidRPr="004C1013">
              <w:rPr>
                <w:bCs/>
              </w:rPr>
              <w:t xml:space="preserve">(podľa </w:t>
            </w:r>
            <w:r w:rsidRPr="004C1013">
              <w:t>[15])</w:t>
            </w:r>
          </w:p>
        </w:tc>
      </w:tr>
      <w:tr w:rsidR="0025522E" w:rsidRPr="004C1013" w:rsidTr="00404B50">
        <w:trPr>
          <w:trHeight w:val="283"/>
        </w:trPr>
        <w:tc>
          <w:tcPr>
            <w:tcW w:w="1177" w:type="dxa"/>
            <w:hideMark/>
          </w:tcPr>
          <w:p w:rsidR="0025522E" w:rsidRPr="004C1013" w:rsidRDefault="0025522E" w:rsidP="0025522E">
            <w:pPr>
              <w:pStyle w:val="tabbielystyl"/>
            </w:pPr>
            <w:r w:rsidRPr="004C1013">
              <w:t>2007</w:t>
            </w:r>
          </w:p>
        </w:tc>
        <w:tc>
          <w:tcPr>
            <w:tcW w:w="1177" w:type="dxa"/>
            <w:hideMark/>
          </w:tcPr>
          <w:p w:rsidR="0025522E" w:rsidRPr="004C1013" w:rsidRDefault="0025522E" w:rsidP="0025522E">
            <w:pPr>
              <w:pStyle w:val="tabbielystyl"/>
            </w:pPr>
            <w:r w:rsidRPr="004C1013">
              <w:t>1.</w:t>
            </w:r>
          </w:p>
        </w:tc>
        <w:tc>
          <w:tcPr>
            <w:tcW w:w="1177" w:type="dxa"/>
            <w:hideMark/>
          </w:tcPr>
          <w:p w:rsidR="0025522E" w:rsidRPr="004C1013" w:rsidRDefault="0025522E" w:rsidP="0025522E">
            <w:pPr>
              <w:pStyle w:val="tabbielystyl"/>
            </w:pPr>
            <w:r w:rsidRPr="004C1013">
              <w:t>3 894</w:t>
            </w:r>
          </w:p>
        </w:tc>
        <w:tc>
          <w:tcPr>
            <w:tcW w:w="1176" w:type="dxa"/>
            <w:vAlign w:val="bottom"/>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3887</w:t>
            </w:r>
          </w:p>
        </w:tc>
        <w:tc>
          <w:tcPr>
            <w:tcW w:w="1176" w:type="dxa"/>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1 348</w:t>
            </w:r>
          </w:p>
        </w:tc>
        <w:tc>
          <w:tcPr>
            <w:tcW w:w="1176" w:type="dxa"/>
            <w:vAlign w:val="bottom"/>
          </w:tcPr>
          <w:p w:rsidR="0025522E" w:rsidRPr="004C1013" w:rsidRDefault="0025522E" w:rsidP="0025522E">
            <w:pPr>
              <w:pStyle w:val="tabbielystyl"/>
            </w:pPr>
            <w:r w:rsidRPr="004C1013">
              <w:t>1677</w:t>
            </w:r>
          </w:p>
        </w:tc>
      </w:tr>
      <w:tr w:rsidR="0025522E" w:rsidRPr="004C1013" w:rsidTr="00404B50">
        <w:trPr>
          <w:trHeight w:val="283"/>
        </w:trPr>
        <w:tc>
          <w:tcPr>
            <w:tcW w:w="1177" w:type="dxa"/>
            <w:hideMark/>
          </w:tcPr>
          <w:p w:rsidR="0025522E" w:rsidRPr="004C1013" w:rsidRDefault="0025522E" w:rsidP="0025522E">
            <w:pPr>
              <w:pStyle w:val="tabbielystyl"/>
            </w:pPr>
            <w:r w:rsidRPr="004C1013">
              <w:t>2008</w:t>
            </w:r>
          </w:p>
        </w:tc>
        <w:tc>
          <w:tcPr>
            <w:tcW w:w="1177" w:type="dxa"/>
            <w:hideMark/>
          </w:tcPr>
          <w:p w:rsidR="0025522E" w:rsidRPr="004C1013" w:rsidRDefault="0025522E" w:rsidP="0025522E">
            <w:pPr>
              <w:pStyle w:val="tabbielystyl"/>
            </w:pPr>
            <w:r w:rsidRPr="004C1013">
              <w:t>2.</w:t>
            </w:r>
          </w:p>
        </w:tc>
        <w:tc>
          <w:tcPr>
            <w:tcW w:w="1177" w:type="dxa"/>
            <w:hideMark/>
          </w:tcPr>
          <w:p w:rsidR="0025522E" w:rsidRPr="004C1013" w:rsidRDefault="0025522E" w:rsidP="0025522E">
            <w:pPr>
              <w:pStyle w:val="tabbielystyl"/>
            </w:pPr>
            <w:r w:rsidRPr="004C1013">
              <w:t>3 782</w:t>
            </w:r>
          </w:p>
        </w:tc>
        <w:tc>
          <w:tcPr>
            <w:tcW w:w="1176" w:type="dxa"/>
            <w:vAlign w:val="bottom"/>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3688</w:t>
            </w:r>
          </w:p>
        </w:tc>
        <w:tc>
          <w:tcPr>
            <w:tcW w:w="1176" w:type="dxa"/>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1 576</w:t>
            </w:r>
          </w:p>
        </w:tc>
        <w:tc>
          <w:tcPr>
            <w:tcW w:w="1176" w:type="dxa"/>
            <w:vAlign w:val="bottom"/>
          </w:tcPr>
          <w:p w:rsidR="0025522E" w:rsidRPr="004C1013" w:rsidRDefault="0025522E" w:rsidP="0025522E">
            <w:pPr>
              <w:pStyle w:val="tabbielystyl"/>
            </w:pPr>
            <w:r w:rsidRPr="004C1013">
              <w:t>1616</w:t>
            </w:r>
          </w:p>
        </w:tc>
      </w:tr>
      <w:tr w:rsidR="0025522E" w:rsidRPr="004C1013" w:rsidTr="00404B50">
        <w:trPr>
          <w:trHeight w:val="283"/>
        </w:trPr>
        <w:tc>
          <w:tcPr>
            <w:tcW w:w="1177" w:type="dxa"/>
            <w:hideMark/>
          </w:tcPr>
          <w:p w:rsidR="0025522E" w:rsidRPr="004C1013" w:rsidRDefault="0025522E" w:rsidP="0025522E">
            <w:pPr>
              <w:pStyle w:val="tabbielystyl"/>
            </w:pPr>
            <w:r w:rsidRPr="004C1013">
              <w:t>2009</w:t>
            </w:r>
          </w:p>
        </w:tc>
        <w:tc>
          <w:tcPr>
            <w:tcW w:w="1177" w:type="dxa"/>
            <w:hideMark/>
          </w:tcPr>
          <w:p w:rsidR="0025522E" w:rsidRPr="004C1013" w:rsidRDefault="0025522E" w:rsidP="0025522E">
            <w:pPr>
              <w:pStyle w:val="tabbielystyl"/>
            </w:pPr>
            <w:r w:rsidRPr="004C1013">
              <w:t>3.</w:t>
            </w:r>
          </w:p>
        </w:tc>
        <w:tc>
          <w:tcPr>
            <w:tcW w:w="1177" w:type="dxa"/>
            <w:hideMark/>
          </w:tcPr>
          <w:p w:rsidR="0025522E" w:rsidRPr="004C1013" w:rsidRDefault="0025522E" w:rsidP="0025522E">
            <w:pPr>
              <w:pStyle w:val="tabbielystyl"/>
            </w:pPr>
            <w:r w:rsidRPr="004C1013">
              <w:t>3 120</w:t>
            </w:r>
          </w:p>
        </w:tc>
        <w:tc>
          <w:tcPr>
            <w:tcW w:w="1176" w:type="dxa"/>
            <w:vAlign w:val="bottom"/>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3128</w:t>
            </w:r>
          </w:p>
        </w:tc>
        <w:tc>
          <w:tcPr>
            <w:tcW w:w="1176" w:type="dxa"/>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1 440</w:t>
            </w:r>
          </w:p>
        </w:tc>
        <w:tc>
          <w:tcPr>
            <w:tcW w:w="1176" w:type="dxa"/>
            <w:vAlign w:val="bottom"/>
          </w:tcPr>
          <w:p w:rsidR="0025522E" w:rsidRPr="004C1013" w:rsidRDefault="0025522E" w:rsidP="0025522E">
            <w:pPr>
              <w:pStyle w:val="tabbielystyl"/>
            </w:pPr>
            <w:r w:rsidRPr="004C1013">
              <w:t>1408</w:t>
            </w:r>
          </w:p>
        </w:tc>
      </w:tr>
      <w:tr w:rsidR="0025522E" w:rsidRPr="004C1013" w:rsidTr="00404B50">
        <w:trPr>
          <w:trHeight w:val="283"/>
        </w:trPr>
        <w:tc>
          <w:tcPr>
            <w:tcW w:w="1177" w:type="dxa"/>
            <w:hideMark/>
          </w:tcPr>
          <w:p w:rsidR="0025522E" w:rsidRPr="004C1013" w:rsidRDefault="0025522E" w:rsidP="0025522E">
            <w:pPr>
              <w:pStyle w:val="tabbielystyl"/>
            </w:pPr>
            <w:r w:rsidRPr="004C1013">
              <w:t>2010</w:t>
            </w:r>
          </w:p>
        </w:tc>
        <w:tc>
          <w:tcPr>
            <w:tcW w:w="1177" w:type="dxa"/>
            <w:hideMark/>
          </w:tcPr>
          <w:p w:rsidR="0025522E" w:rsidRPr="004C1013" w:rsidRDefault="0025522E" w:rsidP="0025522E">
            <w:pPr>
              <w:pStyle w:val="tabbielystyl"/>
            </w:pPr>
            <w:r w:rsidRPr="004C1013">
              <w:t>4.</w:t>
            </w:r>
          </w:p>
        </w:tc>
        <w:tc>
          <w:tcPr>
            <w:tcW w:w="1177" w:type="dxa"/>
            <w:hideMark/>
          </w:tcPr>
          <w:p w:rsidR="0025522E" w:rsidRPr="004C1013" w:rsidRDefault="0025522E" w:rsidP="0025522E">
            <w:pPr>
              <w:pStyle w:val="tabbielystyl"/>
            </w:pPr>
            <w:r w:rsidRPr="004C1013">
              <w:t>3 881</w:t>
            </w:r>
          </w:p>
        </w:tc>
        <w:tc>
          <w:tcPr>
            <w:tcW w:w="1176" w:type="dxa"/>
            <w:vAlign w:val="bottom"/>
          </w:tcPr>
          <w:p w:rsidR="0025522E" w:rsidRPr="004C1013" w:rsidRDefault="0025522E" w:rsidP="0025522E">
            <w:pPr>
              <w:pStyle w:val="tabbielystyl"/>
            </w:pPr>
            <w:r w:rsidRPr="004C1013">
              <w:t>3881</w:t>
            </w:r>
          </w:p>
        </w:tc>
        <w:tc>
          <w:tcPr>
            <w:tcW w:w="1176" w:type="dxa"/>
            <w:vAlign w:val="bottom"/>
          </w:tcPr>
          <w:p w:rsidR="0025522E" w:rsidRPr="004C1013" w:rsidRDefault="0025522E" w:rsidP="0025522E">
            <w:pPr>
              <w:pStyle w:val="tabbielystyl"/>
            </w:pPr>
            <w:r w:rsidRPr="004C1013">
              <w:t>3694</w:t>
            </w:r>
          </w:p>
        </w:tc>
        <w:tc>
          <w:tcPr>
            <w:tcW w:w="1176" w:type="dxa"/>
          </w:tcPr>
          <w:p w:rsidR="0025522E" w:rsidRPr="004C1013" w:rsidRDefault="0025522E" w:rsidP="0025522E">
            <w:pPr>
              <w:pStyle w:val="tabbielystyl"/>
            </w:pPr>
            <w:r w:rsidRPr="004C1013">
              <w:t>1 868</w:t>
            </w:r>
          </w:p>
        </w:tc>
        <w:tc>
          <w:tcPr>
            <w:tcW w:w="1176" w:type="dxa"/>
            <w:vAlign w:val="bottom"/>
          </w:tcPr>
          <w:p w:rsidR="0025522E" w:rsidRPr="004C1013" w:rsidRDefault="0025522E" w:rsidP="0025522E">
            <w:pPr>
              <w:pStyle w:val="tabbielystyl"/>
            </w:pPr>
            <w:r w:rsidRPr="004C1013">
              <w:t>1 857</w:t>
            </w:r>
          </w:p>
        </w:tc>
        <w:tc>
          <w:tcPr>
            <w:tcW w:w="1176" w:type="dxa"/>
            <w:vAlign w:val="bottom"/>
          </w:tcPr>
          <w:p w:rsidR="0025522E" w:rsidRPr="004C1013" w:rsidRDefault="0025522E" w:rsidP="0025522E">
            <w:pPr>
              <w:pStyle w:val="tabbielystyl"/>
            </w:pPr>
            <w:r w:rsidRPr="004C1013">
              <w:t>1868</w:t>
            </w:r>
          </w:p>
        </w:tc>
      </w:tr>
      <w:tr w:rsidR="0025522E" w:rsidRPr="004C1013" w:rsidTr="00404B50">
        <w:trPr>
          <w:trHeight w:val="283"/>
        </w:trPr>
        <w:tc>
          <w:tcPr>
            <w:tcW w:w="1177" w:type="dxa"/>
            <w:hideMark/>
          </w:tcPr>
          <w:p w:rsidR="0025522E" w:rsidRPr="004C1013" w:rsidRDefault="0025522E" w:rsidP="0025522E">
            <w:pPr>
              <w:pStyle w:val="tabbielystyl"/>
            </w:pPr>
            <w:r w:rsidRPr="004C1013">
              <w:t>2011</w:t>
            </w:r>
          </w:p>
        </w:tc>
        <w:tc>
          <w:tcPr>
            <w:tcW w:w="1177" w:type="dxa"/>
            <w:hideMark/>
          </w:tcPr>
          <w:p w:rsidR="0025522E" w:rsidRPr="004C1013" w:rsidRDefault="0025522E" w:rsidP="0025522E">
            <w:pPr>
              <w:pStyle w:val="tabbielystyl"/>
            </w:pPr>
            <w:r w:rsidRPr="004C1013">
              <w:t>5.</w:t>
            </w:r>
          </w:p>
        </w:tc>
        <w:tc>
          <w:tcPr>
            <w:tcW w:w="1177" w:type="dxa"/>
            <w:hideMark/>
          </w:tcPr>
          <w:p w:rsidR="0025522E" w:rsidRPr="004C1013" w:rsidRDefault="0025522E" w:rsidP="0025522E">
            <w:pPr>
              <w:pStyle w:val="tabbielystyl"/>
            </w:pPr>
            <w:r w:rsidRPr="004C1013">
              <w:t>4 044</w:t>
            </w:r>
          </w:p>
        </w:tc>
        <w:tc>
          <w:tcPr>
            <w:tcW w:w="1176" w:type="dxa"/>
            <w:vAlign w:val="bottom"/>
          </w:tcPr>
          <w:p w:rsidR="0025522E" w:rsidRPr="004C1013" w:rsidRDefault="0025522E" w:rsidP="0025522E">
            <w:pPr>
              <w:pStyle w:val="tabbielystyl"/>
            </w:pPr>
            <w:r w:rsidRPr="004C1013">
              <w:t>4108</w:t>
            </w:r>
          </w:p>
        </w:tc>
        <w:tc>
          <w:tcPr>
            <w:tcW w:w="1176" w:type="dxa"/>
            <w:vAlign w:val="bottom"/>
          </w:tcPr>
          <w:p w:rsidR="0025522E" w:rsidRPr="004C1013" w:rsidRDefault="0025522E" w:rsidP="0025522E">
            <w:pPr>
              <w:pStyle w:val="tabbielystyl"/>
            </w:pPr>
            <w:r w:rsidRPr="004C1013">
              <w:t>3974</w:t>
            </w:r>
          </w:p>
        </w:tc>
        <w:tc>
          <w:tcPr>
            <w:tcW w:w="1176" w:type="dxa"/>
          </w:tcPr>
          <w:p w:rsidR="0025522E" w:rsidRPr="004C1013" w:rsidRDefault="0025522E" w:rsidP="0025522E">
            <w:pPr>
              <w:pStyle w:val="tabbielystyl"/>
            </w:pPr>
            <w:r w:rsidRPr="004C1013">
              <w:t>2 022</w:t>
            </w:r>
          </w:p>
        </w:tc>
        <w:tc>
          <w:tcPr>
            <w:tcW w:w="1176" w:type="dxa"/>
            <w:vAlign w:val="bottom"/>
          </w:tcPr>
          <w:p w:rsidR="0025522E" w:rsidRPr="004C1013" w:rsidRDefault="0025522E" w:rsidP="0025522E">
            <w:pPr>
              <w:pStyle w:val="tabbielystyl"/>
            </w:pPr>
            <w:r w:rsidRPr="004C1013">
              <w:t>2 015</w:t>
            </w:r>
          </w:p>
        </w:tc>
        <w:tc>
          <w:tcPr>
            <w:tcW w:w="1176" w:type="dxa"/>
            <w:vAlign w:val="bottom"/>
          </w:tcPr>
          <w:p w:rsidR="0025522E" w:rsidRPr="004C1013" w:rsidRDefault="0025522E" w:rsidP="0025522E">
            <w:pPr>
              <w:pStyle w:val="tabbielystyl"/>
            </w:pPr>
            <w:r w:rsidRPr="004C1013">
              <w:t>1990</w:t>
            </w:r>
          </w:p>
        </w:tc>
      </w:tr>
      <w:tr w:rsidR="0025522E" w:rsidRPr="004C1013" w:rsidTr="00404B50">
        <w:trPr>
          <w:trHeight w:val="283"/>
        </w:trPr>
        <w:tc>
          <w:tcPr>
            <w:tcW w:w="1177" w:type="dxa"/>
            <w:hideMark/>
          </w:tcPr>
          <w:p w:rsidR="0025522E" w:rsidRPr="004C1013" w:rsidRDefault="0025522E" w:rsidP="0025522E">
            <w:pPr>
              <w:pStyle w:val="tabbielystyl"/>
            </w:pPr>
            <w:r w:rsidRPr="004C1013">
              <w:t>2012</w:t>
            </w:r>
          </w:p>
        </w:tc>
        <w:tc>
          <w:tcPr>
            <w:tcW w:w="1177" w:type="dxa"/>
            <w:hideMark/>
          </w:tcPr>
          <w:p w:rsidR="0025522E" w:rsidRPr="004C1013" w:rsidRDefault="0025522E" w:rsidP="0025522E">
            <w:pPr>
              <w:pStyle w:val="tabbielystyl"/>
            </w:pPr>
            <w:r w:rsidRPr="004C1013">
              <w:t>6.</w:t>
            </w:r>
          </w:p>
        </w:tc>
        <w:tc>
          <w:tcPr>
            <w:tcW w:w="1177" w:type="dxa"/>
            <w:hideMark/>
          </w:tcPr>
          <w:p w:rsidR="0025522E" w:rsidRPr="004C1013" w:rsidRDefault="0025522E" w:rsidP="0025522E">
            <w:pPr>
              <w:pStyle w:val="tabbielystyl"/>
            </w:pPr>
            <w:r w:rsidRPr="004C1013">
              <w:t>3 919</w:t>
            </w:r>
          </w:p>
        </w:tc>
        <w:tc>
          <w:tcPr>
            <w:tcW w:w="1176" w:type="dxa"/>
            <w:vAlign w:val="bottom"/>
          </w:tcPr>
          <w:p w:rsidR="0025522E" w:rsidRPr="004C1013" w:rsidRDefault="0025522E" w:rsidP="0025522E">
            <w:pPr>
              <w:pStyle w:val="tabbielystyl"/>
            </w:pPr>
            <w:r w:rsidRPr="004C1013">
              <w:t>3919</w:t>
            </w:r>
          </w:p>
        </w:tc>
        <w:tc>
          <w:tcPr>
            <w:tcW w:w="1176" w:type="dxa"/>
            <w:vAlign w:val="bottom"/>
          </w:tcPr>
          <w:p w:rsidR="0025522E" w:rsidRPr="004C1013" w:rsidRDefault="0025522E" w:rsidP="0025522E">
            <w:pPr>
              <w:pStyle w:val="tabbielystyl"/>
            </w:pPr>
            <w:r w:rsidRPr="004C1013">
              <w:t>3882</w:t>
            </w:r>
          </w:p>
        </w:tc>
        <w:tc>
          <w:tcPr>
            <w:tcW w:w="1176" w:type="dxa"/>
          </w:tcPr>
          <w:p w:rsidR="0025522E" w:rsidRPr="004C1013" w:rsidRDefault="0025522E" w:rsidP="0025522E">
            <w:pPr>
              <w:pStyle w:val="tabbielystyl"/>
            </w:pPr>
            <w:r w:rsidRPr="004C1013">
              <w:t>1 976</w:t>
            </w:r>
          </w:p>
        </w:tc>
        <w:tc>
          <w:tcPr>
            <w:tcW w:w="1176" w:type="dxa"/>
            <w:vAlign w:val="bottom"/>
          </w:tcPr>
          <w:p w:rsidR="0025522E" w:rsidRPr="004C1013" w:rsidRDefault="0025522E" w:rsidP="0025522E">
            <w:pPr>
              <w:pStyle w:val="tabbielystyl"/>
            </w:pPr>
            <w:r w:rsidRPr="004C1013">
              <w:t>1 985</w:t>
            </w:r>
          </w:p>
        </w:tc>
        <w:tc>
          <w:tcPr>
            <w:tcW w:w="1176" w:type="dxa"/>
            <w:vAlign w:val="bottom"/>
          </w:tcPr>
          <w:p w:rsidR="0025522E" w:rsidRPr="004C1013" w:rsidRDefault="0025522E" w:rsidP="0025522E">
            <w:pPr>
              <w:pStyle w:val="tabbielystyl"/>
            </w:pPr>
            <w:r w:rsidRPr="004C1013">
              <w:t>1976</w:t>
            </w:r>
          </w:p>
        </w:tc>
      </w:tr>
      <w:tr w:rsidR="0025522E" w:rsidRPr="004C1013" w:rsidTr="00404B50">
        <w:trPr>
          <w:trHeight w:val="283"/>
        </w:trPr>
        <w:tc>
          <w:tcPr>
            <w:tcW w:w="1177" w:type="dxa"/>
            <w:hideMark/>
          </w:tcPr>
          <w:p w:rsidR="0025522E" w:rsidRPr="004C1013" w:rsidRDefault="0025522E" w:rsidP="0025522E">
            <w:pPr>
              <w:pStyle w:val="tabbielystyl"/>
            </w:pPr>
            <w:r w:rsidRPr="004C1013">
              <w:t>2013</w:t>
            </w:r>
          </w:p>
        </w:tc>
        <w:tc>
          <w:tcPr>
            <w:tcW w:w="1177" w:type="dxa"/>
            <w:hideMark/>
          </w:tcPr>
          <w:p w:rsidR="0025522E" w:rsidRPr="004C1013" w:rsidRDefault="0025522E" w:rsidP="0025522E">
            <w:pPr>
              <w:pStyle w:val="tabbielystyl"/>
            </w:pPr>
            <w:r w:rsidRPr="004C1013">
              <w:t>7.</w:t>
            </w:r>
          </w:p>
        </w:tc>
        <w:tc>
          <w:tcPr>
            <w:tcW w:w="1177" w:type="dxa"/>
            <w:hideMark/>
          </w:tcPr>
          <w:p w:rsidR="0025522E" w:rsidRPr="004C1013" w:rsidRDefault="0025522E" w:rsidP="0025522E">
            <w:pPr>
              <w:pStyle w:val="tabbielystyl"/>
            </w:pPr>
            <w:r w:rsidRPr="004C1013">
              <w:t>4 000</w:t>
            </w:r>
          </w:p>
        </w:tc>
        <w:tc>
          <w:tcPr>
            <w:tcW w:w="1176" w:type="dxa"/>
            <w:vAlign w:val="bottom"/>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3871</w:t>
            </w:r>
          </w:p>
        </w:tc>
        <w:tc>
          <w:tcPr>
            <w:tcW w:w="1176" w:type="dxa"/>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2 043</w:t>
            </w:r>
          </w:p>
        </w:tc>
        <w:tc>
          <w:tcPr>
            <w:tcW w:w="1176" w:type="dxa"/>
            <w:vAlign w:val="bottom"/>
          </w:tcPr>
          <w:p w:rsidR="0025522E" w:rsidRPr="004C1013" w:rsidRDefault="0025522E" w:rsidP="0025522E">
            <w:pPr>
              <w:pStyle w:val="tabbielystyl"/>
            </w:pPr>
            <w:r w:rsidRPr="004C1013">
              <w:t>2077</w:t>
            </w:r>
          </w:p>
        </w:tc>
      </w:tr>
      <w:tr w:rsidR="0025522E" w:rsidRPr="004C1013" w:rsidTr="00404B50">
        <w:trPr>
          <w:trHeight w:val="283"/>
        </w:trPr>
        <w:tc>
          <w:tcPr>
            <w:tcW w:w="1177" w:type="dxa"/>
            <w:hideMark/>
          </w:tcPr>
          <w:p w:rsidR="0025522E" w:rsidRPr="004C1013" w:rsidRDefault="0025522E" w:rsidP="0025522E">
            <w:pPr>
              <w:pStyle w:val="tabbielystyl"/>
            </w:pPr>
            <w:r w:rsidRPr="004C1013">
              <w:t>2014</w:t>
            </w:r>
          </w:p>
        </w:tc>
        <w:tc>
          <w:tcPr>
            <w:tcW w:w="1177" w:type="dxa"/>
            <w:hideMark/>
          </w:tcPr>
          <w:p w:rsidR="0025522E" w:rsidRPr="004C1013" w:rsidRDefault="0025522E" w:rsidP="0025522E">
            <w:pPr>
              <w:pStyle w:val="tabbielystyl"/>
            </w:pPr>
            <w:r w:rsidRPr="004C1013">
              <w:t>8.</w:t>
            </w:r>
          </w:p>
        </w:tc>
        <w:tc>
          <w:tcPr>
            <w:tcW w:w="1177" w:type="dxa"/>
            <w:hideMark/>
          </w:tcPr>
          <w:p w:rsidR="0025522E" w:rsidRPr="004C1013" w:rsidRDefault="0025522E" w:rsidP="0025522E">
            <w:pPr>
              <w:pStyle w:val="tabbielystyl"/>
            </w:pPr>
            <w:r w:rsidRPr="004C1013">
              <w:t>4 166</w:t>
            </w:r>
          </w:p>
        </w:tc>
        <w:tc>
          <w:tcPr>
            <w:tcW w:w="1176" w:type="dxa"/>
            <w:vAlign w:val="bottom"/>
          </w:tcPr>
          <w:p w:rsidR="0025522E" w:rsidRPr="004C1013" w:rsidRDefault="0025522E" w:rsidP="0025522E">
            <w:pPr>
              <w:pStyle w:val="tabbielystyl"/>
            </w:pPr>
            <w:r w:rsidRPr="004C1013">
              <w:t>4135</w:t>
            </w:r>
          </w:p>
        </w:tc>
        <w:tc>
          <w:tcPr>
            <w:tcW w:w="1176" w:type="dxa"/>
            <w:vAlign w:val="bottom"/>
          </w:tcPr>
          <w:p w:rsidR="0025522E" w:rsidRPr="004C1013" w:rsidRDefault="0025522E" w:rsidP="0025522E">
            <w:pPr>
              <w:pStyle w:val="tabbielystyl"/>
            </w:pPr>
            <w:r w:rsidRPr="004C1013">
              <w:t>4116</w:t>
            </w:r>
          </w:p>
        </w:tc>
        <w:tc>
          <w:tcPr>
            <w:tcW w:w="1176" w:type="dxa"/>
          </w:tcPr>
          <w:p w:rsidR="0025522E" w:rsidRPr="004C1013" w:rsidRDefault="0025522E" w:rsidP="0025522E">
            <w:pPr>
              <w:pStyle w:val="tabbielystyl"/>
            </w:pPr>
            <w:r w:rsidRPr="004C1013">
              <w:t>2 157</w:t>
            </w:r>
          </w:p>
        </w:tc>
        <w:tc>
          <w:tcPr>
            <w:tcW w:w="1176" w:type="dxa"/>
            <w:vAlign w:val="bottom"/>
          </w:tcPr>
          <w:p w:rsidR="0025522E" w:rsidRPr="004C1013" w:rsidRDefault="0025522E" w:rsidP="0025522E">
            <w:pPr>
              <w:pStyle w:val="tabbielystyl"/>
            </w:pPr>
            <w:r w:rsidRPr="004C1013">
              <w:t>2 173</w:t>
            </w:r>
          </w:p>
        </w:tc>
        <w:tc>
          <w:tcPr>
            <w:tcW w:w="1176" w:type="dxa"/>
            <w:vAlign w:val="bottom"/>
          </w:tcPr>
          <w:p w:rsidR="0025522E" w:rsidRPr="004C1013" w:rsidRDefault="0025522E" w:rsidP="0025522E">
            <w:pPr>
              <w:pStyle w:val="tabbielystyl"/>
            </w:pPr>
            <w:r w:rsidRPr="004C1013">
              <w:t>2716</w:t>
            </w:r>
          </w:p>
        </w:tc>
      </w:tr>
      <w:tr w:rsidR="0025522E" w:rsidRPr="004C1013" w:rsidTr="00404B50">
        <w:trPr>
          <w:trHeight w:val="283"/>
        </w:trPr>
        <w:tc>
          <w:tcPr>
            <w:tcW w:w="1177" w:type="dxa"/>
            <w:hideMark/>
          </w:tcPr>
          <w:p w:rsidR="0025522E" w:rsidRPr="004C1013" w:rsidRDefault="0025522E" w:rsidP="0025522E">
            <w:pPr>
              <w:pStyle w:val="tabbielystyl"/>
            </w:pPr>
            <w:r w:rsidRPr="004C1013">
              <w:t>2015</w:t>
            </w:r>
          </w:p>
        </w:tc>
        <w:tc>
          <w:tcPr>
            <w:tcW w:w="1177" w:type="dxa"/>
            <w:hideMark/>
          </w:tcPr>
          <w:p w:rsidR="0025522E" w:rsidRPr="004C1013" w:rsidRDefault="0025522E" w:rsidP="0025522E">
            <w:pPr>
              <w:pStyle w:val="tabbielystyl"/>
            </w:pPr>
            <w:r w:rsidRPr="004C1013">
              <w:t>9.</w:t>
            </w:r>
          </w:p>
        </w:tc>
        <w:tc>
          <w:tcPr>
            <w:tcW w:w="1177" w:type="dxa"/>
            <w:hideMark/>
          </w:tcPr>
          <w:p w:rsidR="0025522E" w:rsidRPr="004C1013" w:rsidRDefault="0025522E" w:rsidP="0025522E">
            <w:pPr>
              <w:pStyle w:val="tabbielystyl"/>
            </w:pPr>
            <w:r w:rsidRPr="004C1013">
              <w:t>4 466</w:t>
            </w:r>
          </w:p>
        </w:tc>
        <w:tc>
          <w:tcPr>
            <w:tcW w:w="1176" w:type="dxa"/>
            <w:vAlign w:val="bottom"/>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4443</w:t>
            </w:r>
          </w:p>
        </w:tc>
        <w:tc>
          <w:tcPr>
            <w:tcW w:w="1176" w:type="dxa"/>
          </w:tcPr>
          <w:p w:rsidR="0025522E" w:rsidRPr="004C1013" w:rsidRDefault="0025522E" w:rsidP="0025522E">
            <w:pPr>
              <w:pStyle w:val="tabbielystyl"/>
            </w:pPr>
            <w:r w:rsidRPr="004C1013">
              <w:t>N/A</w:t>
            </w:r>
          </w:p>
        </w:tc>
        <w:tc>
          <w:tcPr>
            <w:tcW w:w="1176" w:type="dxa"/>
            <w:vAlign w:val="bottom"/>
          </w:tcPr>
          <w:p w:rsidR="0025522E" w:rsidRPr="004C1013" w:rsidRDefault="0025522E" w:rsidP="0025522E">
            <w:pPr>
              <w:pStyle w:val="tabbielystyl"/>
            </w:pPr>
            <w:r w:rsidRPr="004C1013">
              <w:t>2 345</w:t>
            </w:r>
          </w:p>
        </w:tc>
        <w:tc>
          <w:tcPr>
            <w:tcW w:w="1176" w:type="dxa"/>
            <w:vAlign w:val="bottom"/>
          </w:tcPr>
          <w:p w:rsidR="0025522E" w:rsidRPr="004C1013" w:rsidRDefault="0025522E" w:rsidP="0025522E">
            <w:pPr>
              <w:pStyle w:val="tabbielystyl"/>
            </w:pPr>
            <w:r w:rsidRPr="004C1013">
              <w:t>2336</w:t>
            </w:r>
          </w:p>
        </w:tc>
      </w:tr>
      <w:tr w:rsidR="0025522E" w:rsidRPr="004C1013" w:rsidTr="00404B50">
        <w:trPr>
          <w:trHeight w:val="283"/>
        </w:trPr>
        <w:tc>
          <w:tcPr>
            <w:tcW w:w="1177" w:type="dxa"/>
            <w:hideMark/>
          </w:tcPr>
          <w:p w:rsidR="0025522E" w:rsidRPr="004C1013" w:rsidRDefault="0025522E" w:rsidP="0025522E">
            <w:pPr>
              <w:pStyle w:val="tabbielystyl"/>
            </w:pPr>
            <w:r w:rsidRPr="004C1013">
              <w:t>2016</w:t>
            </w:r>
          </w:p>
        </w:tc>
        <w:tc>
          <w:tcPr>
            <w:tcW w:w="1177" w:type="dxa"/>
            <w:hideMark/>
          </w:tcPr>
          <w:p w:rsidR="0025522E" w:rsidRPr="004C1013" w:rsidRDefault="0025522E" w:rsidP="0025522E">
            <w:pPr>
              <w:pStyle w:val="tabbielystyl"/>
            </w:pPr>
            <w:r w:rsidRPr="004C1013">
              <w:t>10.</w:t>
            </w:r>
          </w:p>
        </w:tc>
        <w:tc>
          <w:tcPr>
            <w:tcW w:w="1177" w:type="dxa"/>
            <w:hideMark/>
          </w:tcPr>
          <w:p w:rsidR="0025522E" w:rsidRPr="004C1013" w:rsidRDefault="0025522E" w:rsidP="0025522E">
            <w:pPr>
              <w:pStyle w:val="tabbielystyl"/>
            </w:pPr>
            <w:r w:rsidRPr="004C1013">
              <w:t>4 689</w:t>
            </w:r>
          </w:p>
        </w:tc>
        <w:tc>
          <w:tcPr>
            <w:tcW w:w="1176" w:type="dxa"/>
            <w:vAlign w:val="bottom"/>
          </w:tcPr>
          <w:p w:rsidR="0025522E" w:rsidRPr="004C1013" w:rsidRDefault="0025522E" w:rsidP="0025522E">
            <w:pPr>
              <w:pStyle w:val="tabbielystyl"/>
            </w:pPr>
            <w:r w:rsidRPr="004C1013">
              <w:t>4344</w:t>
            </w:r>
          </w:p>
        </w:tc>
        <w:tc>
          <w:tcPr>
            <w:tcW w:w="1176" w:type="dxa"/>
            <w:vAlign w:val="bottom"/>
          </w:tcPr>
          <w:p w:rsidR="0025522E" w:rsidRPr="004C1013" w:rsidRDefault="0025522E" w:rsidP="0025522E">
            <w:pPr>
              <w:pStyle w:val="tabbielystyl"/>
            </w:pPr>
            <w:r w:rsidRPr="004C1013">
              <w:t>4682</w:t>
            </w:r>
          </w:p>
        </w:tc>
        <w:tc>
          <w:tcPr>
            <w:tcW w:w="1176" w:type="dxa"/>
          </w:tcPr>
          <w:p w:rsidR="0025522E" w:rsidRPr="004C1013" w:rsidRDefault="0025522E" w:rsidP="0025522E">
            <w:pPr>
              <w:pStyle w:val="tabbielystyl"/>
            </w:pPr>
            <w:r w:rsidRPr="004C1013">
              <w:t>2 295</w:t>
            </w:r>
          </w:p>
        </w:tc>
        <w:tc>
          <w:tcPr>
            <w:tcW w:w="1176" w:type="dxa"/>
            <w:vAlign w:val="bottom"/>
          </w:tcPr>
          <w:p w:rsidR="0025522E" w:rsidRPr="004C1013" w:rsidRDefault="0025522E" w:rsidP="0025522E">
            <w:pPr>
              <w:pStyle w:val="tabbielystyl"/>
            </w:pPr>
            <w:r w:rsidRPr="004C1013">
              <w:t>2 478</w:t>
            </w:r>
          </w:p>
        </w:tc>
        <w:tc>
          <w:tcPr>
            <w:tcW w:w="1176" w:type="dxa"/>
            <w:vAlign w:val="bottom"/>
          </w:tcPr>
          <w:p w:rsidR="0025522E" w:rsidRPr="004C1013" w:rsidRDefault="0025522E" w:rsidP="0025522E">
            <w:pPr>
              <w:pStyle w:val="tabbielystyl"/>
            </w:pPr>
            <w:r w:rsidRPr="004C1013">
              <w:t>2477</w:t>
            </w:r>
          </w:p>
        </w:tc>
      </w:tr>
      <w:tr w:rsidR="0025522E" w:rsidRPr="004C1013" w:rsidTr="00404B50">
        <w:trPr>
          <w:trHeight w:val="283"/>
        </w:trPr>
        <w:tc>
          <w:tcPr>
            <w:tcW w:w="1177" w:type="dxa"/>
            <w:hideMark/>
          </w:tcPr>
          <w:p w:rsidR="0025522E" w:rsidRPr="004C1013" w:rsidRDefault="0025522E" w:rsidP="0025522E">
            <w:pPr>
              <w:pStyle w:val="tabbielystyl"/>
            </w:pPr>
            <w:r w:rsidRPr="004C1013">
              <w:t>2017</w:t>
            </w:r>
          </w:p>
        </w:tc>
        <w:tc>
          <w:tcPr>
            <w:tcW w:w="1177" w:type="dxa"/>
            <w:hideMark/>
          </w:tcPr>
          <w:p w:rsidR="0025522E" w:rsidRPr="004C1013" w:rsidRDefault="0025522E" w:rsidP="0025522E">
            <w:pPr>
              <w:pStyle w:val="tabbielystyl"/>
            </w:pPr>
            <w:r w:rsidRPr="004C1013">
              <w:t>11.</w:t>
            </w:r>
          </w:p>
        </w:tc>
        <w:tc>
          <w:tcPr>
            <w:tcW w:w="1177" w:type="dxa"/>
            <w:hideMark/>
          </w:tcPr>
          <w:p w:rsidR="0025522E" w:rsidRPr="004C1013" w:rsidRDefault="0025522E" w:rsidP="0025522E">
            <w:pPr>
              <w:pStyle w:val="tabbielystyl"/>
            </w:pPr>
            <w:r w:rsidRPr="004C1013">
              <w:t>5 034</w:t>
            </w:r>
          </w:p>
        </w:tc>
        <w:tc>
          <w:tcPr>
            <w:tcW w:w="1176" w:type="dxa"/>
            <w:vAlign w:val="bottom"/>
          </w:tcPr>
          <w:p w:rsidR="0025522E" w:rsidRPr="004C1013" w:rsidRDefault="0025522E" w:rsidP="0025522E">
            <w:pPr>
              <w:pStyle w:val="tabbielystyl"/>
            </w:pPr>
            <w:r w:rsidRPr="004C1013">
              <w:t>5034</w:t>
            </w:r>
          </w:p>
        </w:tc>
        <w:tc>
          <w:tcPr>
            <w:tcW w:w="1176" w:type="dxa"/>
            <w:vAlign w:val="bottom"/>
          </w:tcPr>
          <w:p w:rsidR="0025522E" w:rsidRPr="004C1013" w:rsidRDefault="0025522E" w:rsidP="0025522E">
            <w:pPr>
              <w:pStyle w:val="tabbielystyl"/>
            </w:pPr>
            <w:r w:rsidRPr="004C1013">
              <w:t>4952</w:t>
            </w:r>
          </w:p>
        </w:tc>
        <w:tc>
          <w:tcPr>
            <w:tcW w:w="1176" w:type="dxa"/>
          </w:tcPr>
          <w:p w:rsidR="0025522E" w:rsidRPr="004C1013" w:rsidRDefault="0025522E" w:rsidP="0025522E">
            <w:pPr>
              <w:pStyle w:val="tabbielystyl"/>
            </w:pPr>
            <w:r w:rsidRPr="004C1013">
              <w:t>2 698</w:t>
            </w:r>
          </w:p>
        </w:tc>
        <w:tc>
          <w:tcPr>
            <w:tcW w:w="1176" w:type="dxa"/>
            <w:vAlign w:val="bottom"/>
          </w:tcPr>
          <w:p w:rsidR="0025522E" w:rsidRPr="004C1013" w:rsidRDefault="0025522E" w:rsidP="0025522E">
            <w:pPr>
              <w:pStyle w:val="tabbielystyl"/>
            </w:pPr>
            <w:r w:rsidRPr="004C1013">
              <w:t>2 661</w:t>
            </w:r>
          </w:p>
        </w:tc>
        <w:tc>
          <w:tcPr>
            <w:tcW w:w="1176" w:type="dxa"/>
            <w:vAlign w:val="bottom"/>
          </w:tcPr>
          <w:p w:rsidR="0025522E" w:rsidRPr="004C1013" w:rsidRDefault="0025522E" w:rsidP="0025522E">
            <w:pPr>
              <w:pStyle w:val="tabbielystyl"/>
            </w:pPr>
            <w:r w:rsidRPr="004C1013">
              <w:t>2698</w:t>
            </w:r>
          </w:p>
        </w:tc>
      </w:tr>
      <w:tr w:rsidR="0025522E" w:rsidRPr="004C1013" w:rsidTr="00404B50">
        <w:trPr>
          <w:trHeight w:val="283"/>
        </w:trPr>
        <w:tc>
          <w:tcPr>
            <w:tcW w:w="1177" w:type="dxa"/>
            <w:hideMark/>
          </w:tcPr>
          <w:p w:rsidR="0025522E" w:rsidRPr="004C1013" w:rsidRDefault="0025522E" w:rsidP="0025522E">
            <w:pPr>
              <w:pStyle w:val="tabbielystyl"/>
            </w:pPr>
            <w:r w:rsidRPr="004C1013">
              <w:t>2018</w:t>
            </w:r>
          </w:p>
        </w:tc>
        <w:tc>
          <w:tcPr>
            <w:tcW w:w="1177" w:type="dxa"/>
            <w:hideMark/>
          </w:tcPr>
          <w:p w:rsidR="0025522E" w:rsidRPr="004C1013" w:rsidRDefault="0025522E" w:rsidP="0025522E">
            <w:pPr>
              <w:pStyle w:val="tabbielystyl"/>
            </w:pPr>
            <w:r w:rsidRPr="004C1013">
              <w:t>12.</w:t>
            </w:r>
          </w:p>
        </w:tc>
        <w:tc>
          <w:tcPr>
            <w:tcW w:w="1177" w:type="dxa"/>
            <w:hideMark/>
          </w:tcPr>
          <w:p w:rsidR="0025522E" w:rsidRPr="004C1013" w:rsidRDefault="0025522E" w:rsidP="0025522E">
            <w:pPr>
              <w:pStyle w:val="tabbielystyl"/>
            </w:pPr>
            <w:r w:rsidRPr="004C1013">
              <w:t>5 188</w:t>
            </w:r>
          </w:p>
        </w:tc>
        <w:tc>
          <w:tcPr>
            <w:tcW w:w="1176" w:type="dxa"/>
            <w:vAlign w:val="bottom"/>
          </w:tcPr>
          <w:p w:rsidR="0025522E" w:rsidRPr="004C1013" w:rsidRDefault="0025522E" w:rsidP="0025522E">
            <w:pPr>
              <w:pStyle w:val="tabbielystyl"/>
            </w:pPr>
            <w:r w:rsidRPr="004C1013">
              <w:t>5188</w:t>
            </w:r>
          </w:p>
        </w:tc>
        <w:tc>
          <w:tcPr>
            <w:tcW w:w="1176" w:type="dxa"/>
            <w:vAlign w:val="bottom"/>
          </w:tcPr>
          <w:p w:rsidR="0025522E" w:rsidRPr="004C1013" w:rsidRDefault="0025522E" w:rsidP="0025522E">
            <w:pPr>
              <w:pStyle w:val="tabbielystyl"/>
            </w:pPr>
            <w:r w:rsidRPr="004C1013">
              <w:t>5235</w:t>
            </w:r>
          </w:p>
        </w:tc>
        <w:tc>
          <w:tcPr>
            <w:tcW w:w="1176" w:type="dxa"/>
          </w:tcPr>
          <w:p w:rsidR="0025522E" w:rsidRPr="004C1013" w:rsidRDefault="0025522E" w:rsidP="0025522E">
            <w:pPr>
              <w:pStyle w:val="tabbielystyl"/>
            </w:pPr>
            <w:r w:rsidRPr="004C1013">
              <w:t>2 788</w:t>
            </w:r>
          </w:p>
        </w:tc>
        <w:tc>
          <w:tcPr>
            <w:tcW w:w="1176" w:type="dxa"/>
            <w:vAlign w:val="bottom"/>
          </w:tcPr>
          <w:p w:rsidR="0025522E" w:rsidRPr="004C1013" w:rsidRDefault="0025522E" w:rsidP="0025522E">
            <w:pPr>
              <w:pStyle w:val="tabbielystyl"/>
            </w:pPr>
            <w:r w:rsidRPr="004C1013">
              <w:t>2 821</w:t>
            </w:r>
          </w:p>
        </w:tc>
        <w:tc>
          <w:tcPr>
            <w:tcW w:w="1176" w:type="dxa"/>
            <w:vAlign w:val="bottom"/>
          </w:tcPr>
          <w:p w:rsidR="0025522E" w:rsidRPr="004C1013" w:rsidRDefault="0025522E" w:rsidP="0025522E">
            <w:pPr>
              <w:pStyle w:val="tabbielystyl"/>
            </w:pPr>
            <w:r w:rsidRPr="004C1013">
              <w:t>2788</w:t>
            </w:r>
          </w:p>
        </w:tc>
      </w:tr>
    </w:tbl>
    <w:p w:rsidR="0025522E" w:rsidRPr="004C1013" w:rsidRDefault="0025522E" w:rsidP="0025522E">
      <w:pPr>
        <w:pStyle w:val="Normaltext"/>
        <w:rPr>
          <w:rFonts w:asciiTheme="minorHAnsi" w:hAnsiTheme="minorHAnsi" w:cstheme="minorHAnsi"/>
        </w:rPr>
      </w:pPr>
    </w:p>
    <w:p w:rsidR="0025522E" w:rsidRPr="004C1013" w:rsidRDefault="0025522E" w:rsidP="0025522E">
      <w:r w:rsidRPr="004C1013">
        <w:t xml:space="preserve">Rozdiely v údajovej báze zdrojov [15], [16] sú minimálne vrátane vzájomných prepočtov uvádzaných ukazovateľov v týchto správach ASECAP, okrem roka 2016, kde rozdiel je relatívne nízky a predstavuje približne 8%.  Porovnaním údajov priemernej dennej intenzity podľa [15] a údajov prepočítaných podľa [30] možno konštatovať len nízke rozdiely, ktoré môžu byť spôsobené na jednej strane odlišnou dĺžkou spoplatnených úsekov ciest uvádzanou v týchto zdrojoch ako aj zahrnutím/nezahrnutím autobusov do celkovej intenzity povinných vozidiel na vymedzenej sieti. </w:t>
      </w:r>
    </w:p>
    <w:p w:rsidR="0025522E" w:rsidRPr="004C1013" w:rsidRDefault="0025522E" w:rsidP="0025522E">
      <w:r w:rsidRPr="004C1013">
        <w:t>Pre účely komparatívnej analýzy systémov ETC v SR a zahraničí vybral riešiteľský kolektív údaje o kumulovaných dopravných výkonoch [30] a prepočítanej intenzite jednotkového kilometra podľa [30] ako reprezentatívne, nakoľko zverejnené podrobné štatistiky štátnych inštitúcií považuje za presnejšie a hodnovernejšie údaje (</w:t>
      </w:r>
      <w:r w:rsidR="00C40D3F">
        <w:fldChar w:fldCharType="begin"/>
      </w:r>
      <w:r w:rsidR="00C40D3F">
        <w:instrText xml:space="preserve"> REF _Ref20298885 \h  \* MERGEFORMAT </w:instrText>
      </w:r>
      <w:r w:rsidR="00C40D3F">
        <w:fldChar w:fldCharType="separate"/>
      </w:r>
      <w:r w:rsidR="001E4C1C" w:rsidRPr="004C1013">
        <w:t xml:space="preserve">Tab.  </w:t>
      </w:r>
      <w:r w:rsidR="001E4C1C">
        <w:rPr>
          <w:noProof/>
        </w:rPr>
        <w:t>1</w:t>
      </w:r>
      <w:r w:rsidR="001E4C1C">
        <w:rPr>
          <w:noProof/>
        </w:rPr>
        <w:noBreakHyphen/>
        <w:t>27</w:t>
      </w:r>
      <w:r w:rsidR="00C40D3F">
        <w:fldChar w:fldCharType="end"/>
      </w:r>
      <w:r w:rsidRPr="004C1013">
        <w:t xml:space="preserve">). </w:t>
      </w:r>
    </w:p>
    <w:p w:rsidR="0025522E" w:rsidRPr="004C1013" w:rsidRDefault="0025522E" w:rsidP="006B1C25">
      <w:pPr>
        <w:pStyle w:val="tabstyl"/>
      </w:pPr>
      <w:bookmarkStart w:id="120" w:name="_Ref20298885"/>
      <w:bookmarkStart w:id="121" w:name="_Toc20081962"/>
      <w:bookmarkStart w:id="122" w:name="_Toc36664469"/>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27</w:t>
      </w:r>
      <w:r w:rsidR="00C40D3F">
        <w:rPr>
          <w:noProof/>
        </w:rPr>
        <w:fldChar w:fldCharType="end"/>
      </w:r>
      <w:bookmarkEnd w:id="120"/>
      <w:r w:rsidRPr="004C1013">
        <w:t xml:space="preserve"> </w:t>
      </w:r>
      <w:r w:rsidRPr="004C1013">
        <w:tab/>
        <w:t>Česká republika: ETC indikátor 2. Dopravné výkony na sieti</w:t>
      </w:r>
      <w:bookmarkEnd w:id="121"/>
      <w:bookmarkEnd w:id="122"/>
      <w:r w:rsidRPr="004C1013">
        <w:t xml:space="preserve">  </w:t>
      </w:r>
    </w:p>
    <w:tbl>
      <w:tblPr>
        <w:tblStyle w:val="tabulkaVUD"/>
        <w:tblW w:w="5000" w:type="pct"/>
        <w:tblLook w:val="04A0" w:firstRow="1" w:lastRow="0" w:firstColumn="1" w:lastColumn="0" w:noHBand="0" w:noVBand="1"/>
      </w:tblPr>
      <w:tblGrid>
        <w:gridCol w:w="1589"/>
        <w:gridCol w:w="1558"/>
        <w:gridCol w:w="3119"/>
        <w:gridCol w:w="3145"/>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882"/>
          <w:tblHeader/>
        </w:trPr>
        <w:tc>
          <w:tcPr>
            <w:tcW w:w="844" w:type="pct"/>
            <w:shd w:val="clear" w:color="auto" w:fill="7F7F7F" w:themeFill="text1" w:themeFillTint="80"/>
            <w:hideMark/>
          </w:tcPr>
          <w:p w:rsidR="0025522E" w:rsidRPr="004C1013" w:rsidRDefault="0025522E" w:rsidP="009D58D5">
            <w:pPr>
              <w:pStyle w:val="zahltab"/>
            </w:pPr>
            <w:r w:rsidRPr="004C1013">
              <w:t>Kalendárny rok</w:t>
            </w:r>
          </w:p>
        </w:tc>
        <w:tc>
          <w:tcPr>
            <w:tcW w:w="828" w:type="pct"/>
            <w:hideMark/>
          </w:tcPr>
          <w:p w:rsidR="0025522E" w:rsidRPr="004C1013" w:rsidRDefault="0025522E" w:rsidP="009D58D5">
            <w:pPr>
              <w:pStyle w:val="zahltab"/>
            </w:pPr>
            <w:r w:rsidRPr="004C1013">
              <w:t>Rok prevádzky</w:t>
            </w:r>
          </w:p>
        </w:tc>
        <w:tc>
          <w:tcPr>
            <w:tcW w:w="1657" w:type="pct"/>
            <w:hideMark/>
          </w:tcPr>
          <w:p w:rsidR="0025522E" w:rsidRPr="004C1013" w:rsidRDefault="0025522E" w:rsidP="009D58D5">
            <w:pPr>
              <w:pStyle w:val="zahltab"/>
            </w:pPr>
            <w:r w:rsidRPr="004C1013">
              <w:t>Dopravná intenzita na priemernom 1km siete  (voz/deň)</w:t>
            </w:r>
          </w:p>
        </w:tc>
        <w:tc>
          <w:tcPr>
            <w:tcW w:w="1671" w:type="pct"/>
          </w:tcPr>
          <w:p w:rsidR="00CE625A" w:rsidRDefault="0025522E" w:rsidP="009D58D5">
            <w:pPr>
              <w:pStyle w:val="zahltab"/>
            </w:pPr>
            <w:r w:rsidRPr="004C1013">
              <w:t>Kumulovaný dopravný výkon</w:t>
            </w:r>
          </w:p>
          <w:p w:rsidR="0025522E" w:rsidRPr="004C1013" w:rsidRDefault="0025522E" w:rsidP="009D58D5">
            <w:pPr>
              <w:pStyle w:val="zahltab"/>
            </w:pPr>
            <w:r w:rsidRPr="004C1013">
              <w:t xml:space="preserve"> (</w:t>
            </w:r>
            <w:r w:rsidR="00CE625A">
              <w:t xml:space="preserve">mil. </w:t>
            </w:r>
            <w:r w:rsidRPr="004C1013">
              <w:t>vkm/rok)</w:t>
            </w:r>
          </w:p>
        </w:tc>
      </w:tr>
      <w:tr w:rsidR="0025522E" w:rsidRPr="004C1013" w:rsidTr="00404B50">
        <w:trPr>
          <w:trHeight w:val="300"/>
        </w:trPr>
        <w:tc>
          <w:tcPr>
            <w:tcW w:w="844" w:type="pct"/>
            <w:hideMark/>
          </w:tcPr>
          <w:p w:rsidR="0025522E" w:rsidRPr="004C1013" w:rsidRDefault="0025522E" w:rsidP="0025522E">
            <w:pPr>
              <w:pStyle w:val="tabbielystyl"/>
            </w:pPr>
            <w:r w:rsidRPr="004C1013">
              <w:t>2007</w:t>
            </w:r>
          </w:p>
        </w:tc>
        <w:tc>
          <w:tcPr>
            <w:tcW w:w="828" w:type="pct"/>
            <w:hideMark/>
          </w:tcPr>
          <w:p w:rsidR="0025522E" w:rsidRPr="004C1013" w:rsidRDefault="0025522E" w:rsidP="0025522E">
            <w:pPr>
              <w:pStyle w:val="tabbielystyl"/>
            </w:pPr>
            <w:r w:rsidRPr="004C1013">
              <w:t>1.</w:t>
            </w:r>
          </w:p>
        </w:tc>
        <w:tc>
          <w:tcPr>
            <w:tcW w:w="1657" w:type="pct"/>
            <w:vAlign w:val="bottom"/>
            <w:hideMark/>
          </w:tcPr>
          <w:p w:rsidR="0025522E" w:rsidRPr="004C1013" w:rsidRDefault="0025522E" w:rsidP="0025522E">
            <w:pPr>
              <w:pStyle w:val="tabbielystyl"/>
            </w:pPr>
            <w:r w:rsidRPr="004C1013">
              <w:t>3887</w:t>
            </w:r>
          </w:p>
        </w:tc>
        <w:tc>
          <w:tcPr>
            <w:tcW w:w="1671" w:type="pct"/>
            <w:vAlign w:val="bottom"/>
          </w:tcPr>
          <w:p w:rsidR="0025522E" w:rsidRPr="004C1013" w:rsidRDefault="0025522E" w:rsidP="0025522E">
            <w:pPr>
              <w:pStyle w:val="tabbielystyl"/>
            </w:pPr>
            <w:r w:rsidRPr="004C1013">
              <w:t>1 348</w:t>
            </w:r>
          </w:p>
        </w:tc>
      </w:tr>
      <w:tr w:rsidR="0025522E" w:rsidRPr="004C1013" w:rsidTr="00404B50">
        <w:trPr>
          <w:trHeight w:val="300"/>
        </w:trPr>
        <w:tc>
          <w:tcPr>
            <w:tcW w:w="844" w:type="pct"/>
            <w:hideMark/>
          </w:tcPr>
          <w:p w:rsidR="0025522E" w:rsidRPr="004C1013" w:rsidRDefault="0025522E" w:rsidP="0025522E">
            <w:pPr>
              <w:pStyle w:val="tabbielystyl"/>
            </w:pPr>
            <w:r w:rsidRPr="004C1013">
              <w:t>2008</w:t>
            </w:r>
          </w:p>
        </w:tc>
        <w:tc>
          <w:tcPr>
            <w:tcW w:w="828" w:type="pct"/>
            <w:hideMark/>
          </w:tcPr>
          <w:p w:rsidR="0025522E" w:rsidRPr="004C1013" w:rsidRDefault="0025522E" w:rsidP="0025522E">
            <w:pPr>
              <w:pStyle w:val="tabbielystyl"/>
            </w:pPr>
            <w:r w:rsidRPr="004C1013">
              <w:t>2.</w:t>
            </w:r>
          </w:p>
        </w:tc>
        <w:tc>
          <w:tcPr>
            <w:tcW w:w="1657" w:type="pct"/>
            <w:vAlign w:val="bottom"/>
            <w:hideMark/>
          </w:tcPr>
          <w:p w:rsidR="0025522E" w:rsidRPr="004C1013" w:rsidRDefault="0025522E" w:rsidP="0025522E">
            <w:pPr>
              <w:pStyle w:val="tabbielystyl"/>
            </w:pPr>
            <w:r w:rsidRPr="004C1013">
              <w:t>3688</w:t>
            </w:r>
          </w:p>
        </w:tc>
        <w:tc>
          <w:tcPr>
            <w:tcW w:w="1671" w:type="pct"/>
            <w:vAlign w:val="bottom"/>
          </w:tcPr>
          <w:p w:rsidR="0025522E" w:rsidRPr="004C1013" w:rsidRDefault="0025522E" w:rsidP="0025522E">
            <w:pPr>
              <w:pStyle w:val="tabbielystyl"/>
            </w:pPr>
            <w:r w:rsidRPr="004C1013">
              <w:t>1 576</w:t>
            </w:r>
          </w:p>
        </w:tc>
      </w:tr>
      <w:tr w:rsidR="0025522E" w:rsidRPr="004C1013" w:rsidTr="00404B50">
        <w:trPr>
          <w:trHeight w:val="300"/>
        </w:trPr>
        <w:tc>
          <w:tcPr>
            <w:tcW w:w="844" w:type="pct"/>
            <w:hideMark/>
          </w:tcPr>
          <w:p w:rsidR="0025522E" w:rsidRPr="004C1013" w:rsidRDefault="0025522E" w:rsidP="0025522E">
            <w:pPr>
              <w:pStyle w:val="tabbielystyl"/>
            </w:pPr>
            <w:r w:rsidRPr="004C1013">
              <w:t>2009</w:t>
            </w:r>
          </w:p>
        </w:tc>
        <w:tc>
          <w:tcPr>
            <w:tcW w:w="828" w:type="pct"/>
            <w:hideMark/>
          </w:tcPr>
          <w:p w:rsidR="0025522E" w:rsidRPr="004C1013" w:rsidRDefault="0025522E" w:rsidP="0025522E">
            <w:pPr>
              <w:pStyle w:val="tabbielystyl"/>
            </w:pPr>
            <w:r w:rsidRPr="004C1013">
              <w:t>3.</w:t>
            </w:r>
          </w:p>
        </w:tc>
        <w:tc>
          <w:tcPr>
            <w:tcW w:w="1657" w:type="pct"/>
            <w:vAlign w:val="bottom"/>
            <w:hideMark/>
          </w:tcPr>
          <w:p w:rsidR="0025522E" w:rsidRPr="004C1013" w:rsidRDefault="0025522E" w:rsidP="0025522E">
            <w:pPr>
              <w:pStyle w:val="tabbielystyl"/>
            </w:pPr>
            <w:r w:rsidRPr="004C1013">
              <w:t>3128</w:t>
            </w:r>
          </w:p>
        </w:tc>
        <w:tc>
          <w:tcPr>
            <w:tcW w:w="1671" w:type="pct"/>
            <w:vAlign w:val="bottom"/>
          </w:tcPr>
          <w:p w:rsidR="0025522E" w:rsidRPr="004C1013" w:rsidRDefault="0025522E" w:rsidP="0025522E">
            <w:pPr>
              <w:pStyle w:val="tabbielystyl"/>
            </w:pPr>
            <w:r w:rsidRPr="004C1013">
              <w:t>1 440</w:t>
            </w:r>
          </w:p>
        </w:tc>
      </w:tr>
      <w:tr w:rsidR="0025522E" w:rsidRPr="004C1013" w:rsidTr="00404B50">
        <w:trPr>
          <w:trHeight w:val="300"/>
        </w:trPr>
        <w:tc>
          <w:tcPr>
            <w:tcW w:w="844" w:type="pct"/>
            <w:hideMark/>
          </w:tcPr>
          <w:p w:rsidR="0025522E" w:rsidRPr="004C1013" w:rsidRDefault="0025522E" w:rsidP="0025522E">
            <w:pPr>
              <w:pStyle w:val="tabbielystyl"/>
            </w:pPr>
            <w:r w:rsidRPr="004C1013">
              <w:t>2010</w:t>
            </w:r>
          </w:p>
        </w:tc>
        <w:tc>
          <w:tcPr>
            <w:tcW w:w="828" w:type="pct"/>
            <w:hideMark/>
          </w:tcPr>
          <w:p w:rsidR="0025522E" w:rsidRPr="004C1013" w:rsidRDefault="0025522E" w:rsidP="0025522E">
            <w:pPr>
              <w:pStyle w:val="tabbielystyl"/>
            </w:pPr>
            <w:r w:rsidRPr="004C1013">
              <w:t>4.</w:t>
            </w:r>
          </w:p>
        </w:tc>
        <w:tc>
          <w:tcPr>
            <w:tcW w:w="1657" w:type="pct"/>
            <w:vAlign w:val="bottom"/>
            <w:hideMark/>
          </w:tcPr>
          <w:p w:rsidR="0025522E" w:rsidRPr="004C1013" w:rsidRDefault="0025522E" w:rsidP="0025522E">
            <w:pPr>
              <w:pStyle w:val="tabbielystyl"/>
            </w:pPr>
            <w:r w:rsidRPr="004C1013">
              <w:t>3694</w:t>
            </w:r>
          </w:p>
        </w:tc>
        <w:tc>
          <w:tcPr>
            <w:tcW w:w="1671" w:type="pct"/>
            <w:vAlign w:val="bottom"/>
          </w:tcPr>
          <w:p w:rsidR="0025522E" w:rsidRPr="004C1013" w:rsidRDefault="0025522E" w:rsidP="0025522E">
            <w:pPr>
              <w:pStyle w:val="tabbielystyl"/>
            </w:pPr>
            <w:r w:rsidRPr="004C1013">
              <w:t>1 857</w:t>
            </w:r>
          </w:p>
        </w:tc>
      </w:tr>
      <w:tr w:rsidR="0025522E" w:rsidRPr="004C1013" w:rsidTr="00404B50">
        <w:trPr>
          <w:trHeight w:val="300"/>
        </w:trPr>
        <w:tc>
          <w:tcPr>
            <w:tcW w:w="844" w:type="pct"/>
            <w:hideMark/>
          </w:tcPr>
          <w:p w:rsidR="0025522E" w:rsidRPr="004C1013" w:rsidRDefault="0025522E" w:rsidP="0025522E">
            <w:pPr>
              <w:pStyle w:val="tabbielystyl"/>
            </w:pPr>
            <w:r w:rsidRPr="004C1013">
              <w:t>2011</w:t>
            </w:r>
          </w:p>
        </w:tc>
        <w:tc>
          <w:tcPr>
            <w:tcW w:w="828" w:type="pct"/>
            <w:hideMark/>
          </w:tcPr>
          <w:p w:rsidR="0025522E" w:rsidRPr="004C1013" w:rsidRDefault="0025522E" w:rsidP="0025522E">
            <w:pPr>
              <w:pStyle w:val="tabbielystyl"/>
            </w:pPr>
            <w:r w:rsidRPr="004C1013">
              <w:t>5.</w:t>
            </w:r>
          </w:p>
        </w:tc>
        <w:tc>
          <w:tcPr>
            <w:tcW w:w="1657" w:type="pct"/>
            <w:vAlign w:val="bottom"/>
            <w:hideMark/>
          </w:tcPr>
          <w:p w:rsidR="0025522E" w:rsidRPr="004C1013" w:rsidRDefault="0025522E" w:rsidP="0025522E">
            <w:pPr>
              <w:pStyle w:val="tabbielystyl"/>
            </w:pPr>
            <w:r w:rsidRPr="004C1013">
              <w:t>3974</w:t>
            </w:r>
          </w:p>
        </w:tc>
        <w:tc>
          <w:tcPr>
            <w:tcW w:w="1671" w:type="pct"/>
            <w:vAlign w:val="bottom"/>
          </w:tcPr>
          <w:p w:rsidR="0025522E" w:rsidRPr="004C1013" w:rsidRDefault="0025522E" w:rsidP="0025522E">
            <w:pPr>
              <w:pStyle w:val="tabbielystyl"/>
            </w:pPr>
            <w:r w:rsidRPr="004C1013">
              <w:t>2 015</w:t>
            </w:r>
          </w:p>
        </w:tc>
      </w:tr>
      <w:tr w:rsidR="0025522E" w:rsidRPr="004C1013" w:rsidTr="00404B50">
        <w:trPr>
          <w:trHeight w:val="300"/>
        </w:trPr>
        <w:tc>
          <w:tcPr>
            <w:tcW w:w="844" w:type="pct"/>
            <w:hideMark/>
          </w:tcPr>
          <w:p w:rsidR="0025522E" w:rsidRPr="004C1013" w:rsidRDefault="0025522E" w:rsidP="0025522E">
            <w:pPr>
              <w:pStyle w:val="tabbielystyl"/>
            </w:pPr>
            <w:r w:rsidRPr="004C1013">
              <w:t>2012</w:t>
            </w:r>
          </w:p>
        </w:tc>
        <w:tc>
          <w:tcPr>
            <w:tcW w:w="828" w:type="pct"/>
            <w:hideMark/>
          </w:tcPr>
          <w:p w:rsidR="0025522E" w:rsidRPr="004C1013" w:rsidRDefault="0025522E" w:rsidP="0025522E">
            <w:pPr>
              <w:pStyle w:val="tabbielystyl"/>
            </w:pPr>
            <w:r w:rsidRPr="004C1013">
              <w:t>6.</w:t>
            </w:r>
          </w:p>
        </w:tc>
        <w:tc>
          <w:tcPr>
            <w:tcW w:w="1657" w:type="pct"/>
            <w:vAlign w:val="bottom"/>
            <w:hideMark/>
          </w:tcPr>
          <w:p w:rsidR="0025522E" w:rsidRPr="004C1013" w:rsidRDefault="0025522E" w:rsidP="0025522E">
            <w:pPr>
              <w:pStyle w:val="tabbielystyl"/>
            </w:pPr>
            <w:r w:rsidRPr="004C1013">
              <w:t>3882</w:t>
            </w:r>
          </w:p>
        </w:tc>
        <w:tc>
          <w:tcPr>
            <w:tcW w:w="1671" w:type="pct"/>
            <w:vAlign w:val="bottom"/>
          </w:tcPr>
          <w:p w:rsidR="0025522E" w:rsidRPr="004C1013" w:rsidRDefault="0025522E" w:rsidP="0025522E">
            <w:pPr>
              <w:pStyle w:val="tabbielystyl"/>
            </w:pPr>
            <w:r w:rsidRPr="004C1013">
              <w:t>1 985</w:t>
            </w:r>
          </w:p>
        </w:tc>
      </w:tr>
      <w:tr w:rsidR="0025522E" w:rsidRPr="004C1013" w:rsidTr="00404B50">
        <w:trPr>
          <w:trHeight w:val="300"/>
        </w:trPr>
        <w:tc>
          <w:tcPr>
            <w:tcW w:w="844" w:type="pct"/>
            <w:hideMark/>
          </w:tcPr>
          <w:p w:rsidR="0025522E" w:rsidRPr="004C1013" w:rsidRDefault="0025522E" w:rsidP="0025522E">
            <w:pPr>
              <w:pStyle w:val="tabbielystyl"/>
            </w:pPr>
            <w:r w:rsidRPr="004C1013">
              <w:t>2013</w:t>
            </w:r>
          </w:p>
        </w:tc>
        <w:tc>
          <w:tcPr>
            <w:tcW w:w="828" w:type="pct"/>
            <w:hideMark/>
          </w:tcPr>
          <w:p w:rsidR="0025522E" w:rsidRPr="004C1013" w:rsidRDefault="0025522E" w:rsidP="0025522E">
            <w:pPr>
              <w:pStyle w:val="tabbielystyl"/>
            </w:pPr>
            <w:r w:rsidRPr="004C1013">
              <w:t>7.</w:t>
            </w:r>
          </w:p>
        </w:tc>
        <w:tc>
          <w:tcPr>
            <w:tcW w:w="1657" w:type="pct"/>
            <w:vAlign w:val="bottom"/>
            <w:hideMark/>
          </w:tcPr>
          <w:p w:rsidR="0025522E" w:rsidRPr="004C1013" w:rsidRDefault="0025522E" w:rsidP="0025522E">
            <w:pPr>
              <w:pStyle w:val="tabbielystyl"/>
            </w:pPr>
            <w:r w:rsidRPr="004C1013">
              <w:t>3871</w:t>
            </w:r>
          </w:p>
        </w:tc>
        <w:tc>
          <w:tcPr>
            <w:tcW w:w="1671" w:type="pct"/>
            <w:vAlign w:val="bottom"/>
          </w:tcPr>
          <w:p w:rsidR="0025522E" w:rsidRPr="004C1013" w:rsidRDefault="0025522E" w:rsidP="0025522E">
            <w:pPr>
              <w:pStyle w:val="tabbielystyl"/>
            </w:pPr>
            <w:r w:rsidRPr="004C1013">
              <w:t>2 043</w:t>
            </w:r>
          </w:p>
        </w:tc>
      </w:tr>
      <w:tr w:rsidR="0025522E" w:rsidRPr="004C1013" w:rsidTr="00404B50">
        <w:trPr>
          <w:trHeight w:val="300"/>
        </w:trPr>
        <w:tc>
          <w:tcPr>
            <w:tcW w:w="844" w:type="pct"/>
            <w:hideMark/>
          </w:tcPr>
          <w:p w:rsidR="0025522E" w:rsidRPr="004C1013" w:rsidRDefault="0025522E" w:rsidP="0025522E">
            <w:pPr>
              <w:pStyle w:val="tabbielystyl"/>
            </w:pPr>
            <w:r w:rsidRPr="004C1013">
              <w:t>2014</w:t>
            </w:r>
          </w:p>
        </w:tc>
        <w:tc>
          <w:tcPr>
            <w:tcW w:w="828" w:type="pct"/>
            <w:hideMark/>
          </w:tcPr>
          <w:p w:rsidR="0025522E" w:rsidRPr="004C1013" w:rsidRDefault="0025522E" w:rsidP="0025522E">
            <w:pPr>
              <w:pStyle w:val="tabbielystyl"/>
            </w:pPr>
            <w:r w:rsidRPr="004C1013">
              <w:t>8.</w:t>
            </w:r>
          </w:p>
        </w:tc>
        <w:tc>
          <w:tcPr>
            <w:tcW w:w="1657" w:type="pct"/>
            <w:vAlign w:val="bottom"/>
            <w:hideMark/>
          </w:tcPr>
          <w:p w:rsidR="0025522E" w:rsidRPr="004C1013" w:rsidRDefault="0025522E" w:rsidP="0025522E">
            <w:pPr>
              <w:pStyle w:val="tabbielystyl"/>
            </w:pPr>
            <w:r w:rsidRPr="004C1013">
              <w:t>4116</w:t>
            </w:r>
          </w:p>
        </w:tc>
        <w:tc>
          <w:tcPr>
            <w:tcW w:w="1671" w:type="pct"/>
            <w:vAlign w:val="bottom"/>
          </w:tcPr>
          <w:p w:rsidR="0025522E" w:rsidRPr="004C1013" w:rsidRDefault="0025522E" w:rsidP="0025522E">
            <w:pPr>
              <w:pStyle w:val="tabbielystyl"/>
            </w:pPr>
            <w:r w:rsidRPr="004C1013">
              <w:t>2 173</w:t>
            </w:r>
          </w:p>
        </w:tc>
      </w:tr>
      <w:tr w:rsidR="0025522E" w:rsidRPr="004C1013" w:rsidTr="00404B50">
        <w:trPr>
          <w:trHeight w:val="300"/>
        </w:trPr>
        <w:tc>
          <w:tcPr>
            <w:tcW w:w="844" w:type="pct"/>
            <w:hideMark/>
          </w:tcPr>
          <w:p w:rsidR="0025522E" w:rsidRPr="004C1013" w:rsidRDefault="0025522E" w:rsidP="0025522E">
            <w:pPr>
              <w:pStyle w:val="tabbielystyl"/>
            </w:pPr>
            <w:r w:rsidRPr="004C1013">
              <w:t>2015</w:t>
            </w:r>
          </w:p>
        </w:tc>
        <w:tc>
          <w:tcPr>
            <w:tcW w:w="828" w:type="pct"/>
            <w:hideMark/>
          </w:tcPr>
          <w:p w:rsidR="0025522E" w:rsidRPr="004C1013" w:rsidRDefault="0025522E" w:rsidP="0025522E">
            <w:pPr>
              <w:pStyle w:val="tabbielystyl"/>
            </w:pPr>
            <w:r w:rsidRPr="004C1013">
              <w:t>9.</w:t>
            </w:r>
          </w:p>
        </w:tc>
        <w:tc>
          <w:tcPr>
            <w:tcW w:w="1657" w:type="pct"/>
            <w:vAlign w:val="bottom"/>
            <w:hideMark/>
          </w:tcPr>
          <w:p w:rsidR="0025522E" w:rsidRPr="004C1013" w:rsidRDefault="0025522E" w:rsidP="0025522E">
            <w:pPr>
              <w:pStyle w:val="tabbielystyl"/>
            </w:pPr>
            <w:r w:rsidRPr="004C1013">
              <w:t>4443</w:t>
            </w:r>
          </w:p>
        </w:tc>
        <w:tc>
          <w:tcPr>
            <w:tcW w:w="1671" w:type="pct"/>
            <w:vAlign w:val="bottom"/>
          </w:tcPr>
          <w:p w:rsidR="0025522E" w:rsidRPr="004C1013" w:rsidRDefault="0025522E" w:rsidP="0025522E">
            <w:pPr>
              <w:pStyle w:val="tabbielystyl"/>
            </w:pPr>
            <w:r w:rsidRPr="004C1013">
              <w:t>2 345</w:t>
            </w:r>
          </w:p>
        </w:tc>
      </w:tr>
      <w:tr w:rsidR="0025522E" w:rsidRPr="004C1013" w:rsidTr="00404B50">
        <w:trPr>
          <w:trHeight w:val="300"/>
        </w:trPr>
        <w:tc>
          <w:tcPr>
            <w:tcW w:w="844" w:type="pct"/>
            <w:hideMark/>
          </w:tcPr>
          <w:p w:rsidR="0025522E" w:rsidRPr="004C1013" w:rsidRDefault="0025522E" w:rsidP="0025522E">
            <w:pPr>
              <w:pStyle w:val="tabbielystyl"/>
            </w:pPr>
            <w:r w:rsidRPr="004C1013">
              <w:t>2016</w:t>
            </w:r>
          </w:p>
        </w:tc>
        <w:tc>
          <w:tcPr>
            <w:tcW w:w="828" w:type="pct"/>
            <w:hideMark/>
          </w:tcPr>
          <w:p w:rsidR="0025522E" w:rsidRPr="004C1013" w:rsidRDefault="0025522E" w:rsidP="0025522E">
            <w:pPr>
              <w:pStyle w:val="tabbielystyl"/>
            </w:pPr>
            <w:r w:rsidRPr="004C1013">
              <w:t>10.</w:t>
            </w:r>
          </w:p>
        </w:tc>
        <w:tc>
          <w:tcPr>
            <w:tcW w:w="1657" w:type="pct"/>
            <w:vAlign w:val="bottom"/>
            <w:hideMark/>
          </w:tcPr>
          <w:p w:rsidR="0025522E" w:rsidRPr="004C1013" w:rsidRDefault="0025522E" w:rsidP="0025522E">
            <w:pPr>
              <w:pStyle w:val="tabbielystyl"/>
            </w:pPr>
            <w:r w:rsidRPr="004C1013">
              <w:t>4682</w:t>
            </w:r>
          </w:p>
        </w:tc>
        <w:tc>
          <w:tcPr>
            <w:tcW w:w="1671" w:type="pct"/>
            <w:vAlign w:val="bottom"/>
          </w:tcPr>
          <w:p w:rsidR="0025522E" w:rsidRPr="004C1013" w:rsidRDefault="0025522E" w:rsidP="0025522E">
            <w:pPr>
              <w:pStyle w:val="tabbielystyl"/>
            </w:pPr>
            <w:r w:rsidRPr="004C1013">
              <w:t>2 478</w:t>
            </w:r>
          </w:p>
        </w:tc>
      </w:tr>
      <w:tr w:rsidR="0025522E" w:rsidRPr="004C1013" w:rsidTr="00404B50">
        <w:trPr>
          <w:trHeight w:val="300"/>
        </w:trPr>
        <w:tc>
          <w:tcPr>
            <w:tcW w:w="844" w:type="pct"/>
            <w:hideMark/>
          </w:tcPr>
          <w:p w:rsidR="0025522E" w:rsidRPr="004C1013" w:rsidRDefault="0025522E" w:rsidP="0025522E">
            <w:pPr>
              <w:pStyle w:val="tabbielystyl"/>
            </w:pPr>
            <w:r w:rsidRPr="004C1013">
              <w:t>2017</w:t>
            </w:r>
          </w:p>
        </w:tc>
        <w:tc>
          <w:tcPr>
            <w:tcW w:w="828" w:type="pct"/>
            <w:hideMark/>
          </w:tcPr>
          <w:p w:rsidR="0025522E" w:rsidRPr="004C1013" w:rsidRDefault="0025522E" w:rsidP="0025522E">
            <w:pPr>
              <w:pStyle w:val="tabbielystyl"/>
            </w:pPr>
            <w:r w:rsidRPr="004C1013">
              <w:t>11.</w:t>
            </w:r>
          </w:p>
        </w:tc>
        <w:tc>
          <w:tcPr>
            <w:tcW w:w="1657" w:type="pct"/>
            <w:vAlign w:val="bottom"/>
            <w:hideMark/>
          </w:tcPr>
          <w:p w:rsidR="0025522E" w:rsidRPr="004C1013" w:rsidRDefault="0025522E" w:rsidP="0025522E">
            <w:pPr>
              <w:pStyle w:val="tabbielystyl"/>
            </w:pPr>
            <w:r w:rsidRPr="004C1013">
              <w:t>4952</w:t>
            </w:r>
          </w:p>
        </w:tc>
        <w:tc>
          <w:tcPr>
            <w:tcW w:w="1671" w:type="pct"/>
            <w:vAlign w:val="bottom"/>
          </w:tcPr>
          <w:p w:rsidR="0025522E" w:rsidRPr="004C1013" w:rsidRDefault="0025522E" w:rsidP="0025522E">
            <w:pPr>
              <w:pStyle w:val="tabbielystyl"/>
            </w:pPr>
            <w:r w:rsidRPr="004C1013">
              <w:t>2 661</w:t>
            </w:r>
          </w:p>
        </w:tc>
      </w:tr>
      <w:tr w:rsidR="0025522E" w:rsidRPr="004C1013" w:rsidTr="00404B50">
        <w:trPr>
          <w:trHeight w:val="300"/>
        </w:trPr>
        <w:tc>
          <w:tcPr>
            <w:tcW w:w="844" w:type="pct"/>
            <w:hideMark/>
          </w:tcPr>
          <w:p w:rsidR="0025522E" w:rsidRPr="004C1013" w:rsidRDefault="0025522E" w:rsidP="0025522E">
            <w:pPr>
              <w:pStyle w:val="tabbielystyl"/>
            </w:pPr>
            <w:r w:rsidRPr="004C1013">
              <w:t>2018</w:t>
            </w:r>
          </w:p>
        </w:tc>
        <w:tc>
          <w:tcPr>
            <w:tcW w:w="828" w:type="pct"/>
            <w:hideMark/>
          </w:tcPr>
          <w:p w:rsidR="0025522E" w:rsidRPr="004C1013" w:rsidRDefault="0025522E" w:rsidP="0025522E">
            <w:pPr>
              <w:pStyle w:val="tabbielystyl"/>
            </w:pPr>
            <w:r w:rsidRPr="004C1013">
              <w:t>12.</w:t>
            </w:r>
          </w:p>
        </w:tc>
        <w:tc>
          <w:tcPr>
            <w:tcW w:w="1657" w:type="pct"/>
            <w:vAlign w:val="bottom"/>
            <w:hideMark/>
          </w:tcPr>
          <w:p w:rsidR="0025522E" w:rsidRPr="004C1013" w:rsidRDefault="0025522E" w:rsidP="0025522E">
            <w:pPr>
              <w:pStyle w:val="tabbielystyl"/>
            </w:pPr>
            <w:r w:rsidRPr="004C1013">
              <w:t>5235</w:t>
            </w:r>
          </w:p>
        </w:tc>
        <w:tc>
          <w:tcPr>
            <w:tcW w:w="1671" w:type="pct"/>
            <w:vAlign w:val="bottom"/>
          </w:tcPr>
          <w:p w:rsidR="0025522E" w:rsidRPr="004C1013" w:rsidRDefault="0025522E" w:rsidP="0025522E">
            <w:pPr>
              <w:pStyle w:val="tabbielystyl"/>
            </w:pPr>
            <w:r w:rsidRPr="004C1013">
              <w:t>2 821</w:t>
            </w:r>
          </w:p>
        </w:tc>
      </w:tr>
    </w:tbl>
    <w:p w:rsidR="0025522E" w:rsidRPr="004C1013" w:rsidRDefault="0025522E" w:rsidP="0025522E">
      <w:pPr>
        <w:pStyle w:val="Nadpis3"/>
        <w:rPr>
          <w:rFonts w:asciiTheme="minorHAnsi" w:hAnsiTheme="minorHAnsi" w:cstheme="minorHAnsi"/>
        </w:rPr>
      </w:pPr>
      <w:bookmarkStart w:id="123" w:name="_Toc20687937"/>
      <w:bookmarkStart w:id="124" w:name="_Toc36664380"/>
      <w:r w:rsidRPr="004C1013">
        <w:rPr>
          <w:rFonts w:asciiTheme="minorHAnsi" w:hAnsiTheme="minorHAnsi" w:cstheme="minorHAnsi"/>
        </w:rPr>
        <w:t>Výnosy a náklady systému ETC</w:t>
      </w:r>
      <w:bookmarkEnd w:id="123"/>
      <w:bookmarkEnd w:id="124"/>
    </w:p>
    <w:p w:rsidR="0025522E" w:rsidRPr="004C1013" w:rsidRDefault="0025522E" w:rsidP="0025522E">
      <w:r w:rsidRPr="004C1013">
        <w:t>Údaje o výnosoch a nákladoch systému ETC v Českej republike boli čerpané z dostupných správ ASECAP [15], [16], oficiálnych štatistík ŘSD a MD ČR spracovaných spoločnosťou IODA, z. s. [30], záverov z kontrolných</w:t>
      </w:r>
      <w:r w:rsidR="003202AC">
        <w:t xml:space="preserve"> akcií Nejvyššího kontrolního úř</w:t>
      </w:r>
      <w:r w:rsidRPr="004C1013">
        <w:t xml:space="preserve">adu ČR (NKÚ) [31], [32], [33], [34] a súvisiacich správ [35], údajov poskytnutých správcom systému ŘSD v zmysle zákona o slobodnom prístupe k informáciám [36] a tlačových správ </w:t>
      </w:r>
      <w:r w:rsidRPr="00E442EA">
        <w:t xml:space="preserve">[37] </w:t>
      </w:r>
      <w:r w:rsidRPr="004C1013">
        <w:t>odkazujúcich sa na údaje prevádzkovateľa systému.</w:t>
      </w:r>
    </w:p>
    <w:p w:rsidR="0025522E" w:rsidRPr="004C1013" w:rsidRDefault="0025522E" w:rsidP="0025522E">
      <w:r w:rsidRPr="004C1013">
        <w:t>Vzhľadom na to, že údaje o výnosoch a nákladoch systému ETC zverejnené v oficiálnych národných správach boli uvádzané v mene CZK, riešiteľský kolektív realizoval prepočet podľa priemerného ročného kurzu EUR/CZK (</w:t>
      </w:r>
      <w:r w:rsidR="00C40D3F">
        <w:fldChar w:fldCharType="begin"/>
      </w:r>
      <w:r w:rsidR="00C40D3F">
        <w:instrText xml:space="preserve"> REF _Ref20330883 \h  \* MERGEFORMAT </w:instrText>
      </w:r>
      <w:r w:rsidR="00C40D3F">
        <w:fldChar w:fldCharType="separate"/>
      </w:r>
      <w:r w:rsidR="001E4C1C" w:rsidRPr="001E4C1C">
        <w:t xml:space="preserve">Tab.  </w:t>
      </w:r>
      <w:r w:rsidR="001E4C1C" w:rsidRPr="001E4C1C">
        <w:rPr>
          <w:noProof/>
        </w:rPr>
        <w:t>1</w:t>
      </w:r>
      <w:r w:rsidR="001E4C1C" w:rsidRPr="001E4C1C">
        <w:rPr>
          <w:noProof/>
        </w:rPr>
        <w:noBreakHyphen/>
        <w:t>28</w:t>
      </w:r>
      <w:r w:rsidR="00C40D3F">
        <w:fldChar w:fldCharType="end"/>
      </w:r>
      <w:r w:rsidRPr="004C1013">
        <w:t>) uvádzaného Národnou bankou Slovenska [40].</w:t>
      </w:r>
    </w:p>
    <w:p w:rsidR="0025522E" w:rsidRPr="004C1013" w:rsidRDefault="0025522E" w:rsidP="0025522E">
      <w:pPr>
        <w:pStyle w:val="Normaltext"/>
        <w:rPr>
          <w:rFonts w:asciiTheme="minorHAnsi" w:hAnsiTheme="minorHAnsi" w:cstheme="minorHAnsi"/>
        </w:rPr>
      </w:pPr>
      <w:bookmarkStart w:id="125" w:name="_Ref20330883"/>
      <w:bookmarkStart w:id="126" w:name="_Toc36664470"/>
      <w:r w:rsidRPr="004C1013">
        <w:rPr>
          <w:rFonts w:asciiTheme="minorHAnsi" w:hAnsiTheme="minorHAnsi" w:cstheme="minorHAnsi"/>
        </w:rPr>
        <w:t xml:space="preserve">Tab.  </w:t>
      </w:r>
      <w:r w:rsidR="00AE19F9">
        <w:rPr>
          <w:rFonts w:asciiTheme="minorHAnsi" w:hAnsiTheme="minorHAnsi" w:cstheme="minorHAnsi"/>
        </w:rPr>
        <w:fldChar w:fldCharType="begin"/>
      </w:r>
      <w:r w:rsidR="00AE19F9">
        <w:rPr>
          <w:rFonts w:asciiTheme="minorHAnsi" w:hAnsiTheme="minorHAnsi" w:cstheme="minorHAnsi"/>
        </w:rPr>
        <w:instrText xml:space="preserve"> STYLEREF 1 \s </w:instrText>
      </w:r>
      <w:r w:rsidR="00AE19F9">
        <w:rPr>
          <w:rFonts w:asciiTheme="minorHAnsi" w:hAnsiTheme="minorHAnsi" w:cstheme="minorHAnsi"/>
        </w:rPr>
        <w:fldChar w:fldCharType="separate"/>
      </w:r>
      <w:r w:rsidR="00AE19F9">
        <w:rPr>
          <w:rFonts w:asciiTheme="minorHAnsi" w:hAnsiTheme="minorHAnsi" w:cstheme="minorHAnsi"/>
          <w:noProof/>
        </w:rPr>
        <w:t>1</w:t>
      </w:r>
      <w:r w:rsidR="00AE19F9">
        <w:rPr>
          <w:rFonts w:asciiTheme="minorHAnsi" w:hAnsiTheme="minorHAnsi" w:cstheme="minorHAnsi"/>
        </w:rPr>
        <w:fldChar w:fldCharType="end"/>
      </w:r>
      <w:r w:rsidR="00AE19F9">
        <w:rPr>
          <w:rFonts w:asciiTheme="minorHAnsi" w:hAnsiTheme="minorHAnsi" w:cstheme="minorHAnsi"/>
        </w:rPr>
        <w:noBreakHyphen/>
      </w:r>
      <w:r w:rsidR="00AE19F9">
        <w:rPr>
          <w:rFonts w:asciiTheme="minorHAnsi" w:hAnsiTheme="minorHAnsi" w:cstheme="minorHAnsi"/>
        </w:rPr>
        <w:fldChar w:fldCharType="begin"/>
      </w:r>
      <w:r w:rsidR="00AE19F9">
        <w:rPr>
          <w:rFonts w:asciiTheme="minorHAnsi" w:hAnsiTheme="minorHAnsi" w:cstheme="minorHAnsi"/>
        </w:rPr>
        <w:instrText xml:space="preserve"> SEQ Tab._ \* ARABIC \s 1 </w:instrText>
      </w:r>
      <w:r w:rsidR="00AE19F9">
        <w:rPr>
          <w:rFonts w:asciiTheme="minorHAnsi" w:hAnsiTheme="minorHAnsi" w:cstheme="minorHAnsi"/>
        </w:rPr>
        <w:fldChar w:fldCharType="separate"/>
      </w:r>
      <w:r w:rsidR="00AE19F9">
        <w:rPr>
          <w:rFonts w:asciiTheme="minorHAnsi" w:hAnsiTheme="minorHAnsi" w:cstheme="minorHAnsi"/>
          <w:noProof/>
        </w:rPr>
        <w:t>28</w:t>
      </w:r>
      <w:r w:rsidR="00AE19F9">
        <w:rPr>
          <w:rFonts w:asciiTheme="minorHAnsi" w:hAnsiTheme="minorHAnsi" w:cstheme="minorHAnsi"/>
        </w:rPr>
        <w:fldChar w:fldCharType="end"/>
      </w:r>
      <w:bookmarkEnd w:id="125"/>
      <w:r w:rsidRPr="004C1013">
        <w:rPr>
          <w:rFonts w:asciiTheme="minorHAnsi" w:hAnsiTheme="minorHAnsi" w:cstheme="minorHAnsi"/>
        </w:rPr>
        <w:t xml:space="preserve"> </w:t>
      </w:r>
      <w:r w:rsidRPr="004C1013">
        <w:rPr>
          <w:rFonts w:asciiTheme="minorHAnsi" w:hAnsiTheme="minorHAnsi" w:cstheme="minorHAnsi"/>
        </w:rPr>
        <w:tab/>
        <w:t>Priemerný ročný kurz EUR/CZK</w:t>
      </w:r>
      <w:bookmarkEnd w:id="126"/>
      <w:r w:rsidRPr="004C1013">
        <w:rPr>
          <w:rFonts w:asciiTheme="minorHAnsi" w:hAnsiTheme="minorHAnsi" w:cstheme="minorHAnsi"/>
        </w:rPr>
        <w:t xml:space="preserve"> </w:t>
      </w:r>
    </w:p>
    <w:tbl>
      <w:tblPr>
        <w:tblStyle w:val="tabulkaVUD"/>
        <w:tblW w:w="5000" w:type="pct"/>
        <w:tblLook w:val="04A0" w:firstRow="1" w:lastRow="0" w:firstColumn="1" w:lastColumn="0" w:noHBand="0" w:noVBand="1"/>
      </w:tblPr>
      <w:tblGrid>
        <w:gridCol w:w="2939"/>
        <w:gridCol w:w="3236"/>
        <w:gridCol w:w="3236"/>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517"/>
          <w:tblHeader/>
        </w:trPr>
        <w:tc>
          <w:tcPr>
            <w:tcW w:w="1562" w:type="pct"/>
            <w:hideMark/>
          </w:tcPr>
          <w:p w:rsidR="0025522E" w:rsidRPr="004C1013" w:rsidRDefault="0025522E" w:rsidP="009D58D5">
            <w:pPr>
              <w:pStyle w:val="zahltab"/>
            </w:pPr>
            <w:r w:rsidRPr="004C1013">
              <w:t>Kalendárny rok</w:t>
            </w:r>
          </w:p>
        </w:tc>
        <w:tc>
          <w:tcPr>
            <w:tcW w:w="1719" w:type="pct"/>
          </w:tcPr>
          <w:p w:rsidR="0025522E" w:rsidRPr="004C1013" w:rsidRDefault="0025522E" w:rsidP="009D58D5">
            <w:pPr>
              <w:pStyle w:val="zahltab"/>
            </w:pPr>
            <w:r w:rsidRPr="004C1013">
              <w:t>Rok prevádzky</w:t>
            </w:r>
          </w:p>
        </w:tc>
        <w:tc>
          <w:tcPr>
            <w:tcW w:w="1719" w:type="pct"/>
            <w:noWrap/>
            <w:hideMark/>
          </w:tcPr>
          <w:p w:rsidR="0025522E" w:rsidRPr="004C1013" w:rsidRDefault="0025522E" w:rsidP="009D58D5">
            <w:pPr>
              <w:pStyle w:val="zahltab"/>
            </w:pPr>
            <w:r w:rsidRPr="004C1013">
              <w:t>Kurz EUR/CZK</w:t>
            </w:r>
          </w:p>
        </w:tc>
      </w:tr>
      <w:tr w:rsidR="0025522E" w:rsidRPr="004C1013" w:rsidTr="00404B50">
        <w:trPr>
          <w:trHeight w:val="20"/>
        </w:trPr>
        <w:tc>
          <w:tcPr>
            <w:tcW w:w="1562" w:type="pct"/>
            <w:hideMark/>
          </w:tcPr>
          <w:p w:rsidR="0025522E" w:rsidRPr="004C1013" w:rsidRDefault="0025522E" w:rsidP="0025522E">
            <w:pPr>
              <w:pStyle w:val="tabbielystyl"/>
            </w:pPr>
            <w:r w:rsidRPr="004C1013">
              <w:t>2007</w:t>
            </w:r>
          </w:p>
        </w:tc>
        <w:tc>
          <w:tcPr>
            <w:tcW w:w="1719" w:type="pct"/>
          </w:tcPr>
          <w:p w:rsidR="0025522E" w:rsidRPr="004C1013" w:rsidRDefault="0025522E" w:rsidP="0025522E">
            <w:pPr>
              <w:pStyle w:val="tabbielystyl"/>
            </w:pPr>
            <w:r w:rsidRPr="004C1013">
              <w:t>1.</w:t>
            </w:r>
          </w:p>
        </w:tc>
        <w:tc>
          <w:tcPr>
            <w:tcW w:w="1719" w:type="pct"/>
            <w:noWrap/>
            <w:hideMark/>
          </w:tcPr>
          <w:p w:rsidR="0025522E" w:rsidRPr="004C1013" w:rsidRDefault="0025522E" w:rsidP="0025522E">
            <w:pPr>
              <w:pStyle w:val="tabbielystyl"/>
            </w:pPr>
            <w:r w:rsidRPr="004C1013">
              <w:t>27,760</w:t>
            </w:r>
          </w:p>
        </w:tc>
      </w:tr>
      <w:tr w:rsidR="0025522E" w:rsidRPr="004C1013" w:rsidTr="00404B50">
        <w:trPr>
          <w:trHeight w:val="20"/>
        </w:trPr>
        <w:tc>
          <w:tcPr>
            <w:tcW w:w="1562" w:type="pct"/>
            <w:hideMark/>
          </w:tcPr>
          <w:p w:rsidR="0025522E" w:rsidRPr="004C1013" w:rsidRDefault="0025522E" w:rsidP="0025522E">
            <w:pPr>
              <w:pStyle w:val="tabbielystyl"/>
            </w:pPr>
            <w:r w:rsidRPr="004C1013">
              <w:t>2008</w:t>
            </w:r>
          </w:p>
        </w:tc>
        <w:tc>
          <w:tcPr>
            <w:tcW w:w="1719" w:type="pct"/>
          </w:tcPr>
          <w:p w:rsidR="0025522E" w:rsidRPr="004C1013" w:rsidRDefault="0025522E" w:rsidP="0025522E">
            <w:pPr>
              <w:pStyle w:val="tabbielystyl"/>
            </w:pPr>
            <w:r w:rsidRPr="004C1013">
              <w:t>2.</w:t>
            </w:r>
          </w:p>
        </w:tc>
        <w:tc>
          <w:tcPr>
            <w:tcW w:w="1719" w:type="pct"/>
            <w:noWrap/>
            <w:hideMark/>
          </w:tcPr>
          <w:p w:rsidR="0025522E" w:rsidRPr="004C1013" w:rsidRDefault="0025522E" w:rsidP="0025522E">
            <w:pPr>
              <w:pStyle w:val="tabbielystyl"/>
            </w:pPr>
            <w:r w:rsidRPr="004C1013">
              <w:t>24,950</w:t>
            </w:r>
          </w:p>
        </w:tc>
      </w:tr>
      <w:tr w:rsidR="0025522E" w:rsidRPr="004C1013" w:rsidTr="00404B50">
        <w:trPr>
          <w:trHeight w:val="20"/>
        </w:trPr>
        <w:tc>
          <w:tcPr>
            <w:tcW w:w="1562" w:type="pct"/>
            <w:hideMark/>
          </w:tcPr>
          <w:p w:rsidR="0025522E" w:rsidRPr="004C1013" w:rsidRDefault="0025522E" w:rsidP="0025522E">
            <w:pPr>
              <w:pStyle w:val="tabbielystyl"/>
            </w:pPr>
            <w:r w:rsidRPr="004C1013">
              <w:t>2009</w:t>
            </w:r>
          </w:p>
        </w:tc>
        <w:tc>
          <w:tcPr>
            <w:tcW w:w="1719" w:type="pct"/>
          </w:tcPr>
          <w:p w:rsidR="0025522E" w:rsidRPr="004C1013" w:rsidRDefault="0025522E" w:rsidP="0025522E">
            <w:pPr>
              <w:pStyle w:val="tabbielystyl"/>
            </w:pPr>
            <w:r w:rsidRPr="004C1013">
              <w:t>3.</w:t>
            </w:r>
          </w:p>
        </w:tc>
        <w:tc>
          <w:tcPr>
            <w:tcW w:w="1719" w:type="pct"/>
            <w:noWrap/>
            <w:hideMark/>
          </w:tcPr>
          <w:p w:rsidR="0025522E" w:rsidRPr="004C1013" w:rsidRDefault="0025522E" w:rsidP="0025522E">
            <w:pPr>
              <w:pStyle w:val="tabbielystyl"/>
            </w:pPr>
            <w:r w:rsidRPr="004C1013">
              <w:t>26,435</w:t>
            </w:r>
          </w:p>
        </w:tc>
      </w:tr>
      <w:tr w:rsidR="0025522E" w:rsidRPr="004C1013" w:rsidTr="00404B50">
        <w:trPr>
          <w:trHeight w:val="20"/>
        </w:trPr>
        <w:tc>
          <w:tcPr>
            <w:tcW w:w="1562" w:type="pct"/>
            <w:hideMark/>
          </w:tcPr>
          <w:p w:rsidR="0025522E" w:rsidRPr="004C1013" w:rsidRDefault="0025522E" w:rsidP="0025522E">
            <w:pPr>
              <w:pStyle w:val="tabbielystyl"/>
            </w:pPr>
            <w:r w:rsidRPr="004C1013">
              <w:t>2010</w:t>
            </w:r>
          </w:p>
        </w:tc>
        <w:tc>
          <w:tcPr>
            <w:tcW w:w="1719" w:type="pct"/>
          </w:tcPr>
          <w:p w:rsidR="0025522E" w:rsidRPr="004C1013" w:rsidRDefault="0025522E" w:rsidP="0025522E">
            <w:pPr>
              <w:pStyle w:val="tabbielystyl"/>
            </w:pPr>
            <w:r w:rsidRPr="004C1013">
              <w:t>4.</w:t>
            </w:r>
          </w:p>
        </w:tc>
        <w:tc>
          <w:tcPr>
            <w:tcW w:w="1719" w:type="pct"/>
            <w:noWrap/>
            <w:hideMark/>
          </w:tcPr>
          <w:p w:rsidR="0025522E" w:rsidRPr="004C1013" w:rsidRDefault="0025522E" w:rsidP="0025522E">
            <w:pPr>
              <w:pStyle w:val="tabbielystyl"/>
            </w:pPr>
            <w:r w:rsidRPr="004C1013">
              <w:t>25,284</w:t>
            </w:r>
          </w:p>
        </w:tc>
      </w:tr>
      <w:tr w:rsidR="0025522E" w:rsidRPr="004C1013" w:rsidTr="00404B50">
        <w:trPr>
          <w:trHeight w:val="20"/>
        </w:trPr>
        <w:tc>
          <w:tcPr>
            <w:tcW w:w="1562" w:type="pct"/>
            <w:hideMark/>
          </w:tcPr>
          <w:p w:rsidR="0025522E" w:rsidRPr="004C1013" w:rsidRDefault="0025522E" w:rsidP="0025522E">
            <w:pPr>
              <w:pStyle w:val="tabbielystyl"/>
            </w:pPr>
            <w:r w:rsidRPr="004C1013">
              <w:t>2011</w:t>
            </w:r>
          </w:p>
        </w:tc>
        <w:tc>
          <w:tcPr>
            <w:tcW w:w="1719" w:type="pct"/>
          </w:tcPr>
          <w:p w:rsidR="0025522E" w:rsidRPr="004C1013" w:rsidRDefault="0025522E" w:rsidP="0025522E">
            <w:pPr>
              <w:pStyle w:val="tabbielystyl"/>
            </w:pPr>
            <w:r w:rsidRPr="004C1013">
              <w:t>5.</w:t>
            </w:r>
          </w:p>
        </w:tc>
        <w:tc>
          <w:tcPr>
            <w:tcW w:w="1719" w:type="pct"/>
            <w:noWrap/>
            <w:hideMark/>
          </w:tcPr>
          <w:p w:rsidR="0025522E" w:rsidRPr="004C1013" w:rsidRDefault="0025522E" w:rsidP="0025522E">
            <w:pPr>
              <w:pStyle w:val="tabbielystyl"/>
            </w:pPr>
            <w:r w:rsidRPr="004C1013">
              <w:t>24,590</w:t>
            </w:r>
          </w:p>
        </w:tc>
      </w:tr>
      <w:tr w:rsidR="0025522E" w:rsidRPr="004C1013" w:rsidTr="00404B50">
        <w:trPr>
          <w:trHeight w:val="20"/>
        </w:trPr>
        <w:tc>
          <w:tcPr>
            <w:tcW w:w="1562" w:type="pct"/>
            <w:hideMark/>
          </w:tcPr>
          <w:p w:rsidR="0025522E" w:rsidRPr="004C1013" w:rsidRDefault="0025522E" w:rsidP="0025522E">
            <w:pPr>
              <w:pStyle w:val="tabbielystyl"/>
            </w:pPr>
            <w:r w:rsidRPr="004C1013">
              <w:t>2012</w:t>
            </w:r>
          </w:p>
        </w:tc>
        <w:tc>
          <w:tcPr>
            <w:tcW w:w="1719" w:type="pct"/>
          </w:tcPr>
          <w:p w:rsidR="0025522E" w:rsidRPr="004C1013" w:rsidRDefault="0025522E" w:rsidP="0025522E">
            <w:pPr>
              <w:pStyle w:val="tabbielystyl"/>
            </w:pPr>
            <w:r w:rsidRPr="004C1013">
              <w:t>6.</w:t>
            </w:r>
          </w:p>
        </w:tc>
        <w:tc>
          <w:tcPr>
            <w:tcW w:w="1719" w:type="pct"/>
            <w:noWrap/>
            <w:hideMark/>
          </w:tcPr>
          <w:p w:rsidR="0025522E" w:rsidRPr="004C1013" w:rsidRDefault="0025522E" w:rsidP="0025522E">
            <w:pPr>
              <w:pStyle w:val="tabbielystyl"/>
            </w:pPr>
            <w:r w:rsidRPr="004C1013">
              <w:t>25,149</w:t>
            </w:r>
          </w:p>
        </w:tc>
      </w:tr>
      <w:tr w:rsidR="0025522E" w:rsidRPr="004C1013" w:rsidTr="00404B50">
        <w:trPr>
          <w:trHeight w:val="20"/>
        </w:trPr>
        <w:tc>
          <w:tcPr>
            <w:tcW w:w="1562" w:type="pct"/>
            <w:hideMark/>
          </w:tcPr>
          <w:p w:rsidR="0025522E" w:rsidRPr="004C1013" w:rsidRDefault="0025522E" w:rsidP="0025522E">
            <w:pPr>
              <w:pStyle w:val="tabbielystyl"/>
            </w:pPr>
            <w:r w:rsidRPr="004C1013">
              <w:t>2013</w:t>
            </w:r>
          </w:p>
        </w:tc>
        <w:tc>
          <w:tcPr>
            <w:tcW w:w="1719" w:type="pct"/>
          </w:tcPr>
          <w:p w:rsidR="0025522E" w:rsidRPr="004C1013" w:rsidRDefault="0025522E" w:rsidP="0025522E">
            <w:pPr>
              <w:pStyle w:val="tabbielystyl"/>
            </w:pPr>
            <w:r w:rsidRPr="004C1013">
              <w:t>7.</w:t>
            </w:r>
          </w:p>
        </w:tc>
        <w:tc>
          <w:tcPr>
            <w:tcW w:w="1719" w:type="pct"/>
            <w:noWrap/>
            <w:hideMark/>
          </w:tcPr>
          <w:p w:rsidR="0025522E" w:rsidRPr="004C1013" w:rsidRDefault="0025522E" w:rsidP="0025522E">
            <w:pPr>
              <w:pStyle w:val="tabbielystyl"/>
            </w:pPr>
            <w:r w:rsidRPr="004C1013">
              <w:t>25,980</w:t>
            </w:r>
          </w:p>
        </w:tc>
      </w:tr>
      <w:tr w:rsidR="0025522E" w:rsidRPr="004C1013" w:rsidTr="00404B50">
        <w:trPr>
          <w:trHeight w:val="20"/>
        </w:trPr>
        <w:tc>
          <w:tcPr>
            <w:tcW w:w="1562" w:type="pct"/>
            <w:hideMark/>
          </w:tcPr>
          <w:p w:rsidR="0025522E" w:rsidRPr="004C1013" w:rsidRDefault="0025522E" w:rsidP="0025522E">
            <w:pPr>
              <w:pStyle w:val="tabbielystyl"/>
            </w:pPr>
            <w:r w:rsidRPr="004C1013">
              <w:t>2014</w:t>
            </w:r>
          </w:p>
        </w:tc>
        <w:tc>
          <w:tcPr>
            <w:tcW w:w="1719" w:type="pct"/>
          </w:tcPr>
          <w:p w:rsidR="0025522E" w:rsidRPr="004C1013" w:rsidRDefault="0025522E" w:rsidP="0025522E">
            <w:pPr>
              <w:pStyle w:val="tabbielystyl"/>
            </w:pPr>
            <w:r w:rsidRPr="004C1013">
              <w:t>8.</w:t>
            </w:r>
          </w:p>
        </w:tc>
        <w:tc>
          <w:tcPr>
            <w:tcW w:w="1719" w:type="pct"/>
            <w:noWrap/>
            <w:hideMark/>
          </w:tcPr>
          <w:p w:rsidR="0025522E" w:rsidRPr="004C1013" w:rsidRDefault="0025522E" w:rsidP="0025522E">
            <w:pPr>
              <w:pStyle w:val="tabbielystyl"/>
            </w:pPr>
            <w:r w:rsidRPr="004C1013">
              <w:t>27,536</w:t>
            </w:r>
          </w:p>
        </w:tc>
      </w:tr>
      <w:tr w:rsidR="0025522E" w:rsidRPr="004C1013" w:rsidTr="00404B50">
        <w:trPr>
          <w:trHeight w:val="20"/>
        </w:trPr>
        <w:tc>
          <w:tcPr>
            <w:tcW w:w="1562" w:type="pct"/>
            <w:hideMark/>
          </w:tcPr>
          <w:p w:rsidR="0025522E" w:rsidRPr="004C1013" w:rsidRDefault="0025522E" w:rsidP="0025522E">
            <w:pPr>
              <w:pStyle w:val="tabbielystyl"/>
            </w:pPr>
            <w:r w:rsidRPr="004C1013">
              <w:t>2015</w:t>
            </w:r>
          </w:p>
        </w:tc>
        <w:tc>
          <w:tcPr>
            <w:tcW w:w="1719" w:type="pct"/>
          </w:tcPr>
          <w:p w:rsidR="0025522E" w:rsidRPr="004C1013" w:rsidRDefault="0025522E" w:rsidP="0025522E">
            <w:pPr>
              <w:pStyle w:val="tabbielystyl"/>
            </w:pPr>
            <w:r w:rsidRPr="004C1013">
              <w:t>9.</w:t>
            </w:r>
          </w:p>
        </w:tc>
        <w:tc>
          <w:tcPr>
            <w:tcW w:w="1719" w:type="pct"/>
            <w:noWrap/>
            <w:hideMark/>
          </w:tcPr>
          <w:p w:rsidR="0025522E" w:rsidRPr="004C1013" w:rsidRDefault="0025522E" w:rsidP="0025522E">
            <w:pPr>
              <w:pStyle w:val="tabbielystyl"/>
            </w:pPr>
            <w:r w:rsidRPr="004C1013">
              <w:t>27,279</w:t>
            </w:r>
          </w:p>
        </w:tc>
      </w:tr>
      <w:tr w:rsidR="0025522E" w:rsidRPr="004C1013" w:rsidTr="00404B50">
        <w:trPr>
          <w:trHeight w:val="20"/>
        </w:trPr>
        <w:tc>
          <w:tcPr>
            <w:tcW w:w="1562" w:type="pct"/>
            <w:hideMark/>
          </w:tcPr>
          <w:p w:rsidR="0025522E" w:rsidRPr="004C1013" w:rsidRDefault="0025522E" w:rsidP="0025522E">
            <w:pPr>
              <w:pStyle w:val="tabbielystyl"/>
            </w:pPr>
            <w:r w:rsidRPr="004C1013">
              <w:t>2016</w:t>
            </w:r>
          </w:p>
        </w:tc>
        <w:tc>
          <w:tcPr>
            <w:tcW w:w="1719" w:type="pct"/>
          </w:tcPr>
          <w:p w:rsidR="0025522E" w:rsidRPr="004C1013" w:rsidRDefault="0025522E" w:rsidP="0025522E">
            <w:pPr>
              <w:pStyle w:val="tabbielystyl"/>
            </w:pPr>
            <w:r w:rsidRPr="004C1013">
              <w:t>10.</w:t>
            </w:r>
          </w:p>
        </w:tc>
        <w:tc>
          <w:tcPr>
            <w:tcW w:w="1719" w:type="pct"/>
            <w:noWrap/>
            <w:hideMark/>
          </w:tcPr>
          <w:p w:rsidR="0025522E" w:rsidRPr="004C1013" w:rsidRDefault="0025522E" w:rsidP="0025522E">
            <w:pPr>
              <w:pStyle w:val="tabbielystyl"/>
            </w:pPr>
            <w:r w:rsidRPr="004C1013">
              <w:t>27,034</w:t>
            </w:r>
          </w:p>
        </w:tc>
      </w:tr>
      <w:tr w:rsidR="0025522E" w:rsidRPr="004C1013" w:rsidTr="00404B50">
        <w:trPr>
          <w:trHeight w:val="20"/>
        </w:trPr>
        <w:tc>
          <w:tcPr>
            <w:tcW w:w="1562" w:type="pct"/>
            <w:hideMark/>
          </w:tcPr>
          <w:p w:rsidR="0025522E" w:rsidRPr="004C1013" w:rsidRDefault="0025522E" w:rsidP="0025522E">
            <w:pPr>
              <w:pStyle w:val="tabbielystyl"/>
            </w:pPr>
            <w:r w:rsidRPr="004C1013">
              <w:t>2017</w:t>
            </w:r>
          </w:p>
        </w:tc>
        <w:tc>
          <w:tcPr>
            <w:tcW w:w="1719" w:type="pct"/>
          </w:tcPr>
          <w:p w:rsidR="0025522E" w:rsidRPr="004C1013" w:rsidRDefault="0025522E" w:rsidP="0025522E">
            <w:pPr>
              <w:pStyle w:val="tabbielystyl"/>
            </w:pPr>
            <w:r w:rsidRPr="004C1013">
              <w:t>11.</w:t>
            </w:r>
          </w:p>
        </w:tc>
        <w:tc>
          <w:tcPr>
            <w:tcW w:w="1719" w:type="pct"/>
            <w:noWrap/>
            <w:hideMark/>
          </w:tcPr>
          <w:p w:rsidR="0025522E" w:rsidRPr="004C1013" w:rsidRDefault="0025522E" w:rsidP="0025522E">
            <w:pPr>
              <w:pStyle w:val="tabbielystyl"/>
            </w:pPr>
            <w:r w:rsidRPr="004C1013">
              <w:t>26,326</w:t>
            </w:r>
          </w:p>
        </w:tc>
      </w:tr>
      <w:tr w:rsidR="0025522E" w:rsidRPr="004C1013" w:rsidTr="00404B50">
        <w:trPr>
          <w:trHeight w:val="20"/>
        </w:trPr>
        <w:tc>
          <w:tcPr>
            <w:tcW w:w="1562" w:type="pct"/>
            <w:hideMark/>
          </w:tcPr>
          <w:p w:rsidR="0025522E" w:rsidRPr="004C1013" w:rsidRDefault="0025522E" w:rsidP="0025522E">
            <w:pPr>
              <w:pStyle w:val="tabbielystyl"/>
            </w:pPr>
            <w:r w:rsidRPr="004C1013">
              <w:t>2018</w:t>
            </w:r>
          </w:p>
        </w:tc>
        <w:tc>
          <w:tcPr>
            <w:tcW w:w="1719" w:type="pct"/>
          </w:tcPr>
          <w:p w:rsidR="0025522E" w:rsidRPr="004C1013" w:rsidRDefault="0025522E" w:rsidP="0025522E">
            <w:pPr>
              <w:pStyle w:val="tabbielystyl"/>
            </w:pPr>
            <w:r w:rsidRPr="004C1013">
              <w:t>12.</w:t>
            </w:r>
          </w:p>
        </w:tc>
        <w:tc>
          <w:tcPr>
            <w:tcW w:w="1719" w:type="pct"/>
            <w:noWrap/>
            <w:hideMark/>
          </w:tcPr>
          <w:p w:rsidR="0025522E" w:rsidRPr="004C1013" w:rsidRDefault="0025522E" w:rsidP="0025522E">
            <w:pPr>
              <w:pStyle w:val="tabbielystyl"/>
            </w:pPr>
            <w:r w:rsidRPr="004C1013">
              <w:t>25,647</w:t>
            </w:r>
          </w:p>
        </w:tc>
      </w:tr>
    </w:tbl>
    <w:p w:rsidR="0025522E" w:rsidRPr="004C1013" w:rsidRDefault="0025522E" w:rsidP="0025522E">
      <w:r w:rsidRPr="004C1013">
        <w:t>Výsledky rešerše dostupnej literatúry sú uvedené v nasledujúcej tabuľke (</w:t>
      </w:r>
      <w:r w:rsidR="00C40D3F">
        <w:fldChar w:fldCharType="begin"/>
      </w:r>
      <w:r w:rsidR="00C40D3F">
        <w:instrText xml:space="preserve"> REF _Ref20375978 \h  \* MERGEFORMAT </w:instrText>
      </w:r>
      <w:r w:rsidR="00C40D3F">
        <w:fldChar w:fldCharType="separate"/>
      </w:r>
      <w:r w:rsidR="001E4C1C" w:rsidRPr="004C1013">
        <w:t xml:space="preserve">Tab.  </w:t>
      </w:r>
      <w:r w:rsidR="001E4C1C">
        <w:rPr>
          <w:noProof/>
        </w:rPr>
        <w:t>1</w:t>
      </w:r>
      <w:r w:rsidR="001E4C1C">
        <w:rPr>
          <w:noProof/>
        </w:rPr>
        <w:noBreakHyphen/>
        <w:t>29</w:t>
      </w:r>
      <w:r w:rsidR="00C40D3F">
        <w:fldChar w:fldCharType="end"/>
      </w:r>
      <w:r w:rsidRPr="004C1013">
        <w:t xml:space="preserve">). Zatiaľ čo zverejnené údaje o výnosoch systému ETC sa v jednotlivých zdrojoch zhodujú s minimálnymi rozdielmi spôsobenými pravdepodobne v dôsledku kurzových prepočtov, rozdiely v uvádzaných nákladoch sú značne vysoké. </w:t>
      </w:r>
    </w:p>
    <w:p w:rsidR="0025522E" w:rsidRPr="004C1013" w:rsidRDefault="0025522E" w:rsidP="006B1C25">
      <w:pPr>
        <w:pStyle w:val="tabstyl"/>
      </w:pPr>
      <w:bookmarkStart w:id="127" w:name="_Ref20375978"/>
      <w:bookmarkStart w:id="128" w:name="_Toc20081963"/>
      <w:bookmarkStart w:id="129" w:name="_Toc36664471"/>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29</w:t>
      </w:r>
      <w:r w:rsidR="00C40D3F">
        <w:rPr>
          <w:noProof/>
        </w:rPr>
        <w:fldChar w:fldCharType="end"/>
      </w:r>
      <w:bookmarkEnd w:id="127"/>
      <w:r w:rsidRPr="004C1013">
        <w:t xml:space="preserve"> </w:t>
      </w:r>
      <w:r w:rsidRPr="004C1013">
        <w:tab/>
        <w:t>Rešerš dostupnej literatúry – výnosy a náklady systému ETC v </w:t>
      </w:r>
      <w:bookmarkEnd w:id="128"/>
      <w:r w:rsidRPr="004C1013">
        <w:t>Českej republike</w:t>
      </w:r>
      <w:bookmarkEnd w:id="129"/>
      <w:r w:rsidRPr="004C1013">
        <w:t xml:space="preserve"> </w:t>
      </w:r>
    </w:p>
    <w:tbl>
      <w:tblPr>
        <w:tblStyle w:val="tabulkaVUD"/>
        <w:tblW w:w="5000" w:type="pct"/>
        <w:tblLook w:val="04A0" w:firstRow="1" w:lastRow="0" w:firstColumn="1" w:lastColumn="0" w:noHBand="0" w:noVBand="1"/>
      </w:tblPr>
      <w:tblGrid>
        <w:gridCol w:w="1081"/>
        <w:gridCol w:w="978"/>
        <w:gridCol w:w="919"/>
        <w:gridCol w:w="919"/>
        <w:gridCol w:w="919"/>
        <w:gridCol w:w="919"/>
        <w:gridCol w:w="919"/>
        <w:gridCol w:w="919"/>
        <w:gridCol w:w="919"/>
        <w:gridCol w:w="919"/>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1081" w:type="dxa"/>
            <w:vMerge w:val="restart"/>
            <w:shd w:val="clear" w:color="auto" w:fill="7F7F7F" w:themeFill="text1" w:themeFillTint="80"/>
            <w:hideMark/>
          </w:tcPr>
          <w:p w:rsidR="0025522E" w:rsidRPr="004C1013" w:rsidRDefault="0025522E" w:rsidP="009D58D5">
            <w:pPr>
              <w:pStyle w:val="zahltab"/>
            </w:pPr>
            <w:r w:rsidRPr="004C1013">
              <w:t>Kalendárny rok</w:t>
            </w:r>
          </w:p>
        </w:tc>
        <w:tc>
          <w:tcPr>
            <w:tcW w:w="978" w:type="dxa"/>
            <w:vMerge w:val="restart"/>
            <w:hideMark/>
          </w:tcPr>
          <w:p w:rsidR="0025522E" w:rsidRPr="004C1013" w:rsidRDefault="0025522E" w:rsidP="009D58D5">
            <w:pPr>
              <w:pStyle w:val="zahltab"/>
            </w:pPr>
            <w:r w:rsidRPr="004C1013">
              <w:t>Rok prevádzky</w:t>
            </w:r>
          </w:p>
        </w:tc>
        <w:tc>
          <w:tcPr>
            <w:tcW w:w="3676" w:type="dxa"/>
            <w:gridSpan w:val="4"/>
          </w:tcPr>
          <w:p w:rsidR="0025522E" w:rsidRPr="004C1013" w:rsidRDefault="0025522E" w:rsidP="009D58D5">
            <w:pPr>
              <w:pStyle w:val="zahltab"/>
            </w:pPr>
            <w:r w:rsidRPr="004C1013">
              <w:t>Výnosy (mil. €)</w:t>
            </w:r>
          </w:p>
        </w:tc>
        <w:tc>
          <w:tcPr>
            <w:tcW w:w="3676" w:type="dxa"/>
            <w:gridSpan w:val="4"/>
          </w:tcPr>
          <w:p w:rsidR="0025522E" w:rsidRPr="004C1013" w:rsidRDefault="0025522E" w:rsidP="009D58D5">
            <w:pPr>
              <w:pStyle w:val="zahltab"/>
            </w:pPr>
            <w:r w:rsidRPr="004C1013">
              <w:t>Náklady (mil. €)</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1081" w:type="dxa"/>
            <w:vMerge/>
            <w:shd w:val="clear" w:color="auto" w:fill="7F7F7F" w:themeFill="text1" w:themeFillTint="80"/>
            <w:hideMark/>
          </w:tcPr>
          <w:p w:rsidR="0025522E" w:rsidRPr="004C1013" w:rsidRDefault="0025522E" w:rsidP="009D58D5">
            <w:pPr>
              <w:pStyle w:val="zahltab"/>
            </w:pPr>
          </w:p>
        </w:tc>
        <w:tc>
          <w:tcPr>
            <w:tcW w:w="978" w:type="dxa"/>
            <w:vMerge/>
            <w:hideMark/>
          </w:tcPr>
          <w:p w:rsidR="0025522E" w:rsidRPr="004C1013" w:rsidRDefault="0025522E" w:rsidP="009D58D5">
            <w:pPr>
              <w:pStyle w:val="zahltab"/>
            </w:pPr>
          </w:p>
        </w:tc>
        <w:tc>
          <w:tcPr>
            <w:tcW w:w="919" w:type="dxa"/>
            <w:vMerge w:val="restart"/>
          </w:tcPr>
          <w:p w:rsidR="0025522E" w:rsidRPr="004C1013" w:rsidRDefault="0025522E" w:rsidP="009D58D5">
            <w:pPr>
              <w:pStyle w:val="zahltab"/>
            </w:pPr>
            <w:r w:rsidRPr="004C1013">
              <w:t>ASECAP [15], [16]</w:t>
            </w:r>
          </w:p>
        </w:tc>
        <w:tc>
          <w:tcPr>
            <w:tcW w:w="1838" w:type="dxa"/>
            <w:gridSpan w:val="2"/>
          </w:tcPr>
          <w:p w:rsidR="0025522E" w:rsidRPr="004C1013" w:rsidRDefault="0025522E" w:rsidP="009D58D5">
            <w:pPr>
              <w:pStyle w:val="zahltab"/>
            </w:pPr>
            <w:r w:rsidRPr="004C1013">
              <w:t>Štátne inštitúcie</w:t>
            </w:r>
          </w:p>
        </w:tc>
        <w:tc>
          <w:tcPr>
            <w:tcW w:w="919" w:type="dxa"/>
            <w:vMerge w:val="restart"/>
          </w:tcPr>
          <w:p w:rsidR="0025522E" w:rsidRPr="004C1013" w:rsidRDefault="0025522E" w:rsidP="009D58D5">
            <w:pPr>
              <w:pStyle w:val="zahltab"/>
            </w:pPr>
            <w:r w:rsidRPr="004C1013">
              <w:t>Tlačové správy</w:t>
            </w:r>
          </w:p>
          <w:p w:rsidR="0025522E" w:rsidRPr="004C1013" w:rsidRDefault="0025522E" w:rsidP="009D58D5">
            <w:pPr>
              <w:pStyle w:val="zahltab"/>
            </w:pPr>
            <w:r w:rsidRPr="004C1013">
              <w:t>[37]</w:t>
            </w:r>
          </w:p>
        </w:tc>
        <w:tc>
          <w:tcPr>
            <w:tcW w:w="2757" w:type="dxa"/>
            <w:gridSpan w:val="3"/>
          </w:tcPr>
          <w:p w:rsidR="0025522E" w:rsidRPr="004C1013" w:rsidRDefault="0025522E" w:rsidP="009D58D5">
            <w:pPr>
              <w:pStyle w:val="zahltab"/>
            </w:pPr>
            <w:r w:rsidRPr="004C1013">
              <w:t>Štátne inštitúcie</w:t>
            </w:r>
          </w:p>
        </w:tc>
        <w:tc>
          <w:tcPr>
            <w:tcW w:w="919" w:type="dxa"/>
            <w:vMerge w:val="restart"/>
          </w:tcPr>
          <w:p w:rsidR="0025522E" w:rsidRPr="004C1013" w:rsidRDefault="0025522E" w:rsidP="009D58D5">
            <w:pPr>
              <w:pStyle w:val="zahltab"/>
            </w:pPr>
            <w:r w:rsidRPr="004C1013">
              <w:t>Tlačové správy [37], [38], [39]</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381"/>
          <w:tblHeader/>
        </w:trPr>
        <w:tc>
          <w:tcPr>
            <w:tcW w:w="1081" w:type="dxa"/>
            <w:vMerge/>
            <w:shd w:val="clear" w:color="auto" w:fill="7F7F7F" w:themeFill="text1" w:themeFillTint="80"/>
            <w:hideMark/>
          </w:tcPr>
          <w:p w:rsidR="0025522E" w:rsidRPr="004C1013" w:rsidRDefault="0025522E" w:rsidP="0025522E">
            <w:pPr>
              <w:pStyle w:val="tabukasivystyl"/>
            </w:pPr>
          </w:p>
        </w:tc>
        <w:tc>
          <w:tcPr>
            <w:tcW w:w="978" w:type="dxa"/>
            <w:vMerge/>
            <w:hideMark/>
          </w:tcPr>
          <w:p w:rsidR="0025522E" w:rsidRPr="004C1013" w:rsidRDefault="0025522E" w:rsidP="0025522E">
            <w:pPr>
              <w:pStyle w:val="tabukasivystyl"/>
            </w:pPr>
          </w:p>
        </w:tc>
        <w:tc>
          <w:tcPr>
            <w:tcW w:w="919" w:type="dxa"/>
            <w:vMerge/>
            <w:hideMark/>
          </w:tcPr>
          <w:p w:rsidR="0025522E" w:rsidRPr="004C1013" w:rsidRDefault="0025522E" w:rsidP="0025522E">
            <w:pPr>
              <w:pStyle w:val="tabukasivystyl"/>
            </w:pPr>
          </w:p>
        </w:tc>
        <w:tc>
          <w:tcPr>
            <w:tcW w:w="919" w:type="dxa"/>
          </w:tcPr>
          <w:p w:rsidR="0025522E" w:rsidRPr="004C1013" w:rsidRDefault="0025522E" w:rsidP="009D58D5">
            <w:pPr>
              <w:pStyle w:val="zahltab"/>
              <w:rPr>
                <w:bCs/>
              </w:rPr>
            </w:pPr>
            <w:r w:rsidRPr="004C1013">
              <w:t>ŘSD [30]</w:t>
            </w:r>
          </w:p>
        </w:tc>
        <w:tc>
          <w:tcPr>
            <w:tcW w:w="919" w:type="dxa"/>
          </w:tcPr>
          <w:p w:rsidR="0025522E" w:rsidRPr="004C1013" w:rsidRDefault="0025522E" w:rsidP="009D58D5">
            <w:pPr>
              <w:pStyle w:val="zahltab"/>
            </w:pPr>
            <w:r w:rsidRPr="004C1013">
              <w:t>NKÚ [31], [32], [33]</w:t>
            </w:r>
          </w:p>
        </w:tc>
        <w:tc>
          <w:tcPr>
            <w:tcW w:w="919" w:type="dxa"/>
            <w:vMerge/>
          </w:tcPr>
          <w:p w:rsidR="0025522E" w:rsidRPr="004C1013" w:rsidRDefault="0025522E" w:rsidP="009D58D5">
            <w:pPr>
              <w:pStyle w:val="zahltab"/>
            </w:pPr>
          </w:p>
        </w:tc>
        <w:tc>
          <w:tcPr>
            <w:tcW w:w="919" w:type="dxa"/>
          </w:tcPr>
          <w:p w:rsidR="0025522E" w:rsidRPr="004C1013" w:rsidRDefault="0025522E" w:rsidP="009D58D5">
            <w:pPr>
              <w:pStyle w:val="zahltab"/>
              <w:rPr>
                <w:bCs/>
              </w:rPr>
            </w:pPr>
            <w:r w:rsidRPr="004C1013">
              <w:t>NKÚ [31], [32], [33]</w:t>
            </w:r>
          </w:p>
        </w:tc>
        <w:tc>
          <w:tcPr>
            <w:tcW w:w="919" w:type="dxa"/>
          </w:tcPr>
          <w:p w:rsidR="0025522E" w:rsidRPr="004C1013" w:rsidRDefault="0025522E" w:rsidP="009D58D5">
            <w:pPr>
              <w:pStyle w:val="zahltab"/>
              <w:rPr>
                <w:bCs/>
              </w:rPr>
            </w:pPr>
            <w:r w:rsidRPr="004C1013">
              <w:t>NKÚ [35]</w:t>
            </w:r>
          </w:p>
        </w:tc>
        <w:tc>
          <w:tcPr>
            <w:tcW w:w="919" w:type="dxa"/>
          </w:tcPr>
          <w:p w:rsidR="0025522E" w:rsidRPr="004C1013" w:rsidRDefault="0025522E" w:rsidP="009D58D5">
            <w:pPr>
              <w:pStyle w:val="zahltab"/>
            </w:pPr>
            <w:r w:rsidRPr="004C1013">
              <w:t>ŘSD [36]</w:t>
            </w:r>
          </w:p>
        </w:tc>
        <w:tc>
          <w:tcPr>
            <w:tcW w:w="919" w:type="dxa"/>
            <w:vMerge/>
          </w:tcPr>
          <w:p w:rsidR="0025522E" w:rsidRPr="004C1013" w:rsidRDefault="0025522E" w:rsidP="0025522E">
            <w:pPr>
              <w:pStyle w:val="tabukasivystyl"/>
            </w:pPr>
          </w:p>
        </w:tc>
      </w:tr>
      <w:tr w:rsidR="0025522E" w:rsidRPr="004C1013" w:rsidTr="00404B50">
        <w:trPr>
          <w:trHeight w:val="283"/>
        </w:trPr>
        <w:tc>
          <w:tcPr>
            <w:tcW w:w="1081" w:type="dxa"/>
            <w:hideMark/>
          </w:tcPr>
          <w:p w:rsidR="0025522E" w:rsidRPr="004C1013" w:rsidRDefault="0025522E" w:rsidP="0025522E">
            <w:pPr>
              <w:pStyle w:val="tabbielystyl"/>
            </w:pPr>
            <w:r w:rsidRPr="004C1013">
              <w:t>2007</w:t>
            </w:r>
          </w:p>
        </w:tc>
        <w:tc>
          <w:tcPr>
            <w:tcW w:w="978" w:type="dxa"/>
            <w:hideMark/>
          </w:tcPr>
          <w:p w:rsidR="0025522E" w:rsidRPr="004C1013" w:rsidRDefault="0025522E" w:rsidP="0025522E">
            <w:pPr>
              <w:pStyle w:val="tabbielystyl"/>
            </w:pPr>
            <w:r w:rsidRPr="004C1013">
              <w:t>1.</w:t>
            </w:r>
          </w:p>
        </w:tc>
        <w:tc>
          <w:tcPr>
            <w:tcW w:w="919" w:type="dxa"/>
            <w:hideMark/>
          </w:tcPr>
          <w:p w:rsidR="0025522E" w:rsidRPr="004C1013" w:rsidRDefault="0025522E" w:rsidP="0025522E">
            <w:pPr>
              <w:pStyle w:val="tabbielystyl"/>
            </w:pPr>
            <w:r w:rsidRPr="004C1013">
              <w:t>198,50</w:t>
            </w:r>
          </w:p>
        </w:tc>
        <w:tc>
          <w:tcPr>
            <w:tcW w:w="919" w:type="dxa"/>
            <w:vAlign w:val="bottom"/>
          </w:tcPr>
          <w:p w:rsidR="0025522E" w:rsidRPr="004C1013" w:rsidRDefault="0025522E" w:rsidP="0025522E">
            <w:pPr>
              <w:pStyle w:val="tabbielystyl"/>
            </w:pPr>
            <w:r w:rsidRPr="004C1013">
              <w:t>200,59</w:t>
            </w:r>
          </w:p>
        </w:tc>
        <w:tc>
          <w:tcPr>
            <w:tcW w:w="919" w:type="dxa"/>
            <w:vAlign w:val="bottom"/>
          </w:tcPr>
          <w:p w:rsidR="0025522E" w:rsidRPr="004C1013" w:rsidRDefault="0025522E" w:rsidP="0025522E">
            <w:pPr>
              <w:pStyle w:val="tabbielystyl"/>
            </w:pPr>
            <w:r w:rsidRPr="004C1013">
              <w:t xml:space="preserve">184,46 </w:t>
            </w:r>
          </w:p>
        </w:tc>
        <w:tc>
          <w:tcPr>
            <w:tcW w:w="919" w:type="dxa"/>
            <w:vAlign w:val="bottom"/>
          </w:tcPr>
          <w:p w:rsidR="0025522E" w:rsidRPr="004C1013" w:rsidRDefault="0025522E" w:rsidP="0025522E">
            <w:pPr>
              <w:pStyle w:val="tabbielystyl"/>
            </w:pPr>
            <w:r w:rsidRPr="004C1013">
              <w:t>200,48</w:t>
            </w:r>
          </w:p>
        </w:tc>
        <w:tc>
          <w:tcPr>
            <w:tcW w:w="919" w:type="dxa"/>
            <w:vAlign w:val="bottom"/>
          </w:tcPr>
          <w:p w:rsidR="0025522E" w:rsidRPr="004C1013" w:rsidRDefault="0025522E" w:rsidP="0025522E">
            <w:pPr>
              <w:pStyle w:val="tabbielystyl"/>
            </w:pPr>
            <w:r w:rsidRPr="004C1013">
              <w:t>68,91</w:t>
            </w:r>
          </w:p>
        </w:tc>
        <w:tc>
          <w:tcPr>
            <w:tcW w:w="919" w:type="dxa"/>
            <w:vMerge w:val="restart"/>
          </w:tcPr>
          <w:p w:rsidR="0025522E" w:rsidRPr="004C1013" w:rsidRDefault="0025522E" w:rsidP="0025522E">
            <w:pPr>
              <w:pStyle w:val="tabbielystyl"/>
            </w:pPr>
            <w:r w:rsidRPr="004C1013">
              <w:t>918,63</w:t>
            </w:r>
          </w:p>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54,24</w:t>
            </w:r>
          </w:p>
        </w:tc>
        <w:tc>
          <w:tcPr>
            <w:tcW w:w="919" w:type="dxa"/>
            <w:vAlign w:val="bottom"/>
          </w:tcPr>
          <w:p w:rsidR="0025522E" w:rsidRPr="004C1013" w:rsidRDefault="0025522E" w:rsidP="0025522E">
            <w:pPr>
              <w:pStyle w:val="tabbielystyl"/>
            </w:pPr>
            <w:r w:rsidRPr="004C1013">
              <w:t>59,08</w:t>
            </w:r>
          </w:p>
        </w:tc>
      </w:tr>
      <w:tr w:rsidR="0025522E" w:rsidRPr="004C1013" w:rsidTr="00404B50">
        <w:trPr>
          <w:trHeight w:val="283"/>
        </w:trPr>
        <w:tc>
          <w:tcPr>
            <w:tcW w:w="1081" w:type="dxa"/>
            <w:hideMark/>
          </w:tcPr>
          <w:p w:rsidR="0025522E" w:rsidRPr="004C1013" w:rsidRDefault="0025522E" w:rsidP="0025522E">
            <w:pPr>
              <w:pStyle w:val="tabbielystyl"/>
            </w:pPr>
            <w:r w:rsidRPr="004C1013">
              <w:t>2008</w:t>
            </w:r>
          </w:p>
        </w:tc>
        <w:tc>
          <w:tcPr>
            <w:tcW w:w="978" w:type="dxa"/>
            <w:hideMark/>
          </w:tcPr>
          <w:p w:rsidR="0025522E" w:rsidRPr="004C1013" w:rsidRDefault="0025522E" w:rsidP="0025522E">
            <w:pPr>
              <w:pStyle w:val="tabbielystyl"/>
            </w:pPr>
            <w:r w:rsidRPr="004C1013">
              <w:t>2.</w:t>
            </w:r>
          </w:p>
        </w:tc>
        <w:tc>
          <w:tcPr>
            <w:tcW w:w="919" w:type="dxa"/>
            <w:hideMark/>
          </w:tcPr>
          <w:p w:rsidR="0025522E" w:rsidRPr="004C1013" w:rsidRDefault="0025522E" w:rsidP="0025522E">
            <w:pPr>
              <w:pStyle w:val="tabbielystyl"/>
            </w:pPr>
            <w:r w:rsidRPr="004C1013">
              <w:t>245,40</w:t>
            </w:r>
          </w:p>
        </w:tc>
        <w:tc>
          <w:tcPr>
            <w:tcW w:w="919" w:type="dxa"/>
            <w:vAlign w:val="bottom"/>
          </w:tcPr>
          <w:p w:rsidR="0025522E" w:rsidRPr="004C1013" w:rsidRDefault="0025522E" w:rsidP="0025522E">
            <w:pPr>
              <w:pStyle w:val="tabbielystyl"/>
            </w:pPr>
            <w:r w:rsidRPr="004C1013">
              <w:t>246,27</w:t>
            </w:r>
          </w:p>
        </w:tc>
        <w:tc>
          <w:tcPr>
            <w:tcW w:w="919" w:type="dxa"/>
            <w:vAlign w:val="bottom"/>
          </w:tcPr>
          <w:p w:rsidR="0025522E" w:rsidRPr="004C1013" w:rsidRDefault="0025522E" w:rsidP="0025522E">
            <w:pPr>
              <w:pStyle w:val="tabbielystyl"/>
            </w:pPr>
            <w:r w:rsidRPr="004C1013">
              <w:t>240,86</w:t>
            </w:r>
          </w:p>
        </w:tc>
        <w:tc>
          <w:tcPr>
            <w:tcW w:w="919" w:type="dxa"/>
            <w:vAlign w:val="bottom"/>
          </w:tcPr>
          <w:p w:rsidR="0025522E" w:rsidRPr="004C1013" w:rsidRDefault="0025522E" w:rsidP="0025522E">
            <w:pPr>
              <w:pStyle w:val="tabbielystyl"/>
            </w:pPr>
            <w:r w:rsidRPr="004C1013">
              <w:t>246,26</w:t>
            </w:r>
          </w:p>
        </w:tc>
        <w:tc>
          <w:tcPr>
            <w:tcW w:w="919" w:type="dxa"/>
            <w:vAlign w:val="bottom"/>
          </w:tcPr>
          <w:p w:rsidR="0025522E" w:rsidRPr="004C1013" w:rsidRDefault="0025522E" w:rsidP="0025522E">
            <w:pPr>
              <w:pStyle w:val="tabbielystyl"/>
            </w:pPr>
            <w:r w:rsidRPr="004C1013">
              <w:t>137,36</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105,29</w:t>
            </w:r>
          </w:p>
        </w:tc>
        <w:tc>
          <w:tcPr>
            <w:tcW w:w="919" w:type="dxa"/>
            <w:vAlign w:val="bottom"/>
          </w:tcPr>
          <w:p w:rsidR="0025522E" w:rsidRPr="004C1013" w:rsidRDefault="0025522E" w:rsidP="0025522E">
            <w:pPr>
              <w:pStyle w:val="tabbielystyl"/>
            </w:pPr>
            <w:r w:rsidRPr="004C1013">
              <w:t>100,24</w:t>
            </w:r>
          </w:p>
        </w:tc>
      </w:tr>
      <w:tr w:rsidR="0025522E" w:rsidRPr="004C1013" w:rsidTr="00404B50">
        <w:trPr>
          <w:trHeight w:val="283"/>
        </w:trPr>
        <w:tc>
          <w:tcPr>
            <w:tcW w:w="1081" w:type="dxa"/>
            <w:hideMark/>
          </w:tcPr>
          <w:p w:rsidR="0025522E" w:rsidRPr="004C1013" w:rsidRDefault="0025522E" w:rsidP="0025522E">
            <w:pPr>
              <w:pStyle w:val="tabbielystyl"/>
            </w:pPr>
            <w:r w:rsidRPr="004C1013">
              <w:t>2009</w:t>
            </w:r>
          </w:p>
        </w:tc>
        <w:tc>
          <w:tcPr>
            <w:tcW w:w="978" w:type="dxa"/>
            <w:hideMark/>
          </w:tcPr>
          <w:p w:rsidR="0025522E" w:rsidRPr="004C1013" w:rsidRDefault="0025522E" w:rsidP="0025522E">
            <w:pPr>
              <w:pStyle w:val="tabbielystyl"/>
            </w:pPr>
            <w:r w:rsidRPr="004C1013">
              <w:t>3.</w:t>
            </w:r>
          </w:p>
        </w:tc>
        <w:tc>
          <w:tcPr>
            <w:tcW w:w="919" w:type="dxa"/>
            <w:hideMark/>
          </w:tcPr>
          <w:p w:rsidR="0025522E" w:rsidRPr="004C1013" w:rsidRDefault="0025522E" w:rsidP="0025522E">
            <w:pPr>
              <w:pStyle w:val="tabbielystyl"/>
            </w:pPr>
            <w:r w:rsidRPr="004C1013">
              <w:t>221,70</w:t>
            </w:r>
          </w:p>
        </w:tc>
        <w:tc>
          <w:tcPr>
            <w:tcW w:w="919" w:type="dxa"/>
            <w:vAlign w:val="bottom"/>
          </w:tcPr>
          <w:p w:rsidR="0025522E" w:rsidRPr="004C1013" w:rsidRDefault="0025522E" w:rsidP="0025522E">
            <w:pPr>
              <w:pStyle w:val="tabbielystyl"/>
            </w:pPr>
            <w:r w:rsidRPr="004C1013">
              <w:t>209,72</w:t>
            </w:r>
          </w:p>
        </w:tc>
        <w:tc>
          <w:tcPr>
            <w:tcW w:w="919" w:type="dxa"/>
            <w:vAlign w:val="bottom"/>
          </w:tcPr>
          <w:p w:rsidR="0025522E" w:rsidRPr="004C1013" w:rsidRDefault="0025522E" w:rsidP="0025522E">
            <w:pPr>
              <w:pStyle w:val="tabbielystyl"/>
            </w:pPr>
            <w:r w:rsidRPr="004C1013">
              <w:t>205,79</w:t>
            </w:r>
          </w:p>
        </w:tc>
        <w:tc>
          <w:tcPr>
            <w:tcW w:w="919" w:type="dxa"/>
            <w:vAlign w:val="bottom"/>
          </w:tcPr>
          <w:p w:rsidR="0025522E" w:rsidRPr="004C1013" w:rsidRDefault="0025522E" w:rsidP="0025522E">
            <w:pPr>
              <w:pStyle w:val="tabbielystyl"/>
            </w:pPr>
            <w:r w:rsidRPr="004C1013">
              <w:t>209,58</w:t>
            </w:r>
          </w:p>
        </w:tc>
        <w:tc>
          <w:tcPr>
            <w:tcW w:w="919" w:type="dxa"/>
            <w:vAlign w:val="bottom"/>
          </w:tcPr>
          <w:p w:rsidR="0025522E" w:rsidRPr="004C1013" w:rsidRDefault="0025522E" w:rsidP="0025522E">
            <w:pPr>
              <w:pStyle w:val="tabbielystyl"/>
            </w:pPr>
            <w:r w:rsidRPr="004C1013">
              <w:t>179,80</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93,80</w:t>
            </w:r>
          </w:p>
        </w:tc>
        <w:tc>
          <w:tcPr>
            <w:tcW w:w="919" w:type="dxa"/>
            <w:vAlign w:val="bottom"/>
          </w:tcPr>
          <w:p w:rsidR="0025522E" w:rsidRPr="004C1013" w:rsidRDefault="0025522E" w:rsidP="0025522E">
            <w:pPr>
              <w:pStyle w:val="tabbielystyl"/>
            </w:pPr>
            <w:r w:rsidRPr="004C1013">
              <w:t>88,52</w:t>
            </w:r>
          </w:p>
        </w:tc>
      </w:tr>
      <w:tr w:rsidR="0025522E" w:rsidRPr="004C1013" w:rsidTr="00404B50">
        <w:trPr>
          <w:trHeight w:val="283"/>
        </w:trPr>
        <w:tc>
          <w:tcPr>
            <w:tcW w:w="1081" w:type="dxa"/>
            <w:hideMark/>
          </w:tcPr>
          <w:p w:rsidR="0025522E" w:rsidRPr="004C1013" w:rsidRDefault="0025522E" w:rsidP="0025522E">
            <w:pPr>
              <w:pStyle w:val="tabbielystyl"/>
            </w:pPr>
            <w:r w:rsidRPr="004C1013">
              <w:t>2010</w:t>
            </w:r>
          </w:p>
        </w:tc>
        <w:tc>
          <w:tcPr>
            <w:tcW w:w="978" w:type="dxa"/>
            <w:hideMark/>
          </w:tcPr>
          <w:p w:rsidR="0025522E" w:rsidRPr="004C1013" w:rsidRDefault="0025522E" w:rsidP="0025522E">
            <w:pPr>
              <w:pStyle w:val="tabbielystyl"/>
            </w:pPr>
            <w:r w:rsidRPr="004C1013">
              <w:t>4.</w:t>
            </w:r>
          </w:p>
        </w:tc>
        <w:tc>
          <w:tcPr>
            <w:tcW w:w="919" w:type="dxa"/>
            <w:hideMark/>
          </w:tcPr>
          <w:p w:rsidR="0025522E" w:rsidRPr="004C1013" w:rsidRDefault="0025522E" w:rsidP="0025522E">
            <w:pPr>
              <w:pStyle w:val="tabbielystyl"/>
            </w:pPr>
            <w:r w:rsidRPr="004C1013">
              <w:t>262,80</w:t>
            </w:r>
          </w:p>
        </w:tc>
        <w:tc>
          <w:tcPr>
            <w:tcW w:w="919" w:type="dxa"/>
            <w:vAlign w:val="bottom"/>
          </w:tcPr>
          <w:p w:rsidR="0025522E" w:rsidRPr="004C1013" w:rsidRDefault="0025522E" w:rsidP="0025522E">
            <w:pPr>
              <w:pStyle w:val="tabbielystyl"/>
            </w:pPr>
            <w:r w:rsidRPr="004C1013">
              <w:t>258,24</w:t>
            </w:r>
          </w:p>
        </w:tc>
        <w:tc>
          <w:tcPr>
            <w:tcW w:w="919" w:type="dxa"/>
            <w:vAlign w:val="bottom"/>
          </w:tcPr>
          <w:p w:rsidR="0025522E" w:rsidRPr="004C1013" w:rsidRDefault="0025522E" w:rsidP="0025522E">
            <w:pPr>
              <w:pStyle w:val="tabbielystyl"/>
            </w:pPr>
            <w:r w:rsidRPr="004C1013">
              <w:t>246,97</w:t>
            </w:r>
          </w:p>
        </w:tc>
        <w:tc>
          <w:tcPr>
            <w:tcW w:w="919" w:type="dxa"/>
            <w:vAlign w:val="bottom"/>
          </w:tcPr>
          <w:p w:rsidR="0025522E" w:rsidRPr="004C1013" w:rsidRDefault="0025522E" w:rsidP="0025522E">
            <w:pPr>
              <w:pStyle w:val="tabbielystyl"/>
            </w:pPr>
            <w:r w:rsidRPr="004C1013">
              <w:t>259,96</w:t>
            </w:r>
          </w:p>
        </w:tc>
        <w:tc>
          <w:tcPr>
            <w:tcW w:w="919" w:type="dxa"/>
            <w:vAlign w:val="bottom"/>
          </w:tcPr>
          <w:p w:rsidR="0025522E" w:rsidRPr="004C1013" w:rsidRDefault="0025522E" w:rsidP="0025522E">
            <w:pPr>
              <w:pStyle w:val="tabbielystyl"/>
            </w:pPr>
            <w:r w:rsidRPr="004C1013">
              <w:t>109,10</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75,78</w:t>
            </w:r>
          </w:p>
        </w:tc>
        <w:tc>
          <w:tcPr>
            <w:tcW w:w="919" w:type="dxa"/>
            <w:vAlign w:val="bottom"/>
          </w:tcPr>
          <w:p w:rsidR="0025522E" w:rsidRPr="004C1013" w:rsidRDefault="0025522E" w:rsidP="0025522E">
            <w:pPr>
              <w:pStyle w:val="tabbielystyl"/>
            </w:pPr>
            <w:r w:rsidRPr="004C1013">
              <w:t>79,66</w:t>
            </w:r>
          </w:p>
        </w:tc>
      </w:tr>
      <w:tr w:rsidR="0025522E" w:rsidRPr="004C1013" w:rsidTr="00404B50">
        <w:trPr>
          <w:trHeight w:val="283"/>
        </w:trPr>
        <w:tc>
          <w:tcPr>
            <w:tcW w:w="1081" w:type="dxa"/>
            <w:hideMark/>
          </w:tcPr>
          <w:p w:rsidR="0025522E" w:rsidRPr="004C1013" w:rsidRDefault="0025522E" w:rsidP="0025522E">
            <w:pPr>
              <w:pStyle w:val="tabbielystyl"/>
            </w:pPr>
            <w:r w:rsidRPr="004C1013">
              <w:t>2011</w:t>
            </w:r>
          </w:p>
        </w:tc>
        <w:tc>
          <w:tcPr>
            <w:tcW w:w="978" w:type="dxa"/>
            <w:hideMark/>
          </w:tcPr>
          <w:p w:rsidR="0025522E" w:rsidRPr="004C1013" w:rsidRDefault="0025522E" w:rsidP="0025522E">
            <w:pPr>
              <w:pStyle w:val="tabbielystyl"/>
            </w:pPr>
            <w:r w:rsidRPr="004C1013">
              <w:t>5.</w:t>
            </w:r>
          </w:p>
        </w:tc>
        <w:tc>
          <w:tcPr>
            <w:tcW w:w="919" w:type="dxa"/>
            <w:hideMark/>
          </w:tcPr>
          <w:p w:rsidR="0025522E" w:rsidRPr="004C1013" w:rsidRDefault="0025522E" w:rsidP="0025522E">
            <w:pPr>
              <w:pStyle w:val="tabbielystyl"/>
            </w:pPr>
            <w:r w:rsidRPr="004C1013">
              <w:t>325,00</w:t>
            </w:r>
          </w:p>
        </w:tc>
        <w:tc>
          <w:tcPr>
            <w:tcW w:w="919" w:type="dxa"/>
            <w:vAlign w:val="bottom"/>
          </w:tcPr>
          <w:p w:rsidR="0025522E" w:rsidRPr="004C1013" w:rsidRDefault="0025522E" w:rsidP="0025522E">
            <w:pPr>
              <w:pStyle w:val="tabbielystyl"/>
            </w:pPr>
            <w:r w:rsidRPr="004C1013">
              <w:t>330,42</w:t>
            </w:r>
          </w:p>
        </w:tc>
        <w:tc>
          <w:tcPr>
            <w:tcW w:w="919" w:type="dxa"/>
          </w:tcPr>
          <w:p w:rsidR="0025522E" w:rsidRPr="004C1013" w:rsidRDefault="0025522E" w:rsidP="0025522E">
            <w:pPr>
              <w:pStyle w:val="tabbielystyl"/>
            </w:pPr>
            <w:r w:rsidRPr="004C1013">
              <w:t>344,96</w:t>
            </w:r>
          </w:p>
        </w:tc>
        <w:tc>
          <w:tcPr>
            <w:tcW w:w="919" w:type="dxa"/>
            <w:vAlign w:val="bottom"/>
          </w:tcPr>
          <w:p w:rsidR="0025522E" w:rsidRPr="004C1013" w:rsidRDefault="0025522E" w:rsidP="0025522E">
            <w:pPr>
              <w:pStyle w:val="tabbielystyl"/>
            </w:pPr>
            <w:r w:rsidRPr="004C1013">
              <w:t>330,46</w:t>
            </w:r>
          </w:p>
        </w:tc>
        <w:tc>
          <w:tcPr>
            <w:tcW w:w="919" w:type="dxa"/>
          </w:tcPr>
          <w:p w:rsidR="0025522E" w:rsidRPr="004C1013" w:rsidRDefault="0025522E" w:rsidP="0025522E">
            <w:pPr>
              <w:pStyle w:val="tabbielystyl"/>
            </w:pPr>
            <w:r w:rsidRPr="004C1013">
              <w:t xml:space="preserve">106,68 </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84,17</w:t>
            </w:r>
          </w:p>
        </w:tc>
        <w:tc>
          <w:tcPr>
            <w:tcW w:w="919" w:type="dxa"/>
            <w:vAlign w:val="bottom"/>
          </w:tcPr>
          <w:p w:rsidR="0025522E" w:rsidRPr="004C1013" w:rsidRDefault="0025522E" w:rsidP="0025522E">
            <w:pPr>
              <w:pStyle w:val="tabbielystyl"/>
            </w:pPr>
            <w:r w:rsidRPr="004C1013">
              <w:t>75,88</w:t>
            </w:r>
          </w:p>
        </w:tc>
      </w:tr>
      <w:tr w:rsidR="0025522E" w:rsidRPr="004C1013" w:rsidTr="00404B50">
        <w:trPr>
          <w:trHeight w:val="283"/>
        </w:trPr>
        <w:tc>
          <w:tcPr>
            <w:tcW w:w="1081" w:type="dxa"/>
            <w:hideMark/>
          </w:tcPr>
          <w:p w:rsidR="0025522E" w:rsidRPr="004C1013" w:rsidRDefault="0025522E" w:rsidP="0025522E">
            <w:pPr>
              <w:pStyle w:val="tabbielystyl"/>
            </w:pPr>
            <w:r w:rsidRPr="004C1013">
              <w:t>2012</w:t>
            </w:r>
          </w:p>
        </w:tc>
        <w:tc>
          <w:tcPr>
            <w:tcW w:w="978" w:type="dxa"/>
            <w:hideMark/>
          </w:tcPr>
          <w:p w:rsidR="0025522E" w:rsidRPr="004C1013" w:rsidRDefault="0025522E" w:rsidP="0025522E">
            <w:pPr>
              <w:pStyle w:val="tabbielystyl"/>
            </w:pPr>
            <w:r w:rsidRPr="004C1013">
              <w:t>6.</w:t>
            </w:r>
          </w:p>
        </w:tc>
        <w:tc>
          <w:tcPr>
            <w:tcW w:w="919" w:type="dxa"/>
            <w:hideMark/>
          </w:tcPr>
          <w:p w:rsidR="0025522E" w:rsidRPr="004C1013" w:rsidRDefault="0025522E" w:rsidP="0025522E">
            <w:pPr>
              <w:pStyle w:val="tabbielystyl"/>
            </w:pPr>
            <w:r w:rsidRPr="004C1013">
              <w:t>346,50</w:t>
            </w:r>
          </w:p>
        </w:tc>
        <w:tc>
          <w:tcPr>
            <w:tcW w:w="919" w:type="dxa"/>
            <w:vAlign w:val="bottom"/>
          </w:tcPr>
          <w:p w:rsidR="0025522E" w:rsidRPr="004C1013" w:rsidRDefault="0025522E" w:rsidP="0025522E">
            <w:pPr>
              <w:pStyle w:val="tabbielystyl"/>
            </w:pPr>
            <w:r w:rsidRPr="004C1013">
              <w:t>345,14</w:t>
            </w:r>
          </w:p>
        </w:tc>
        <w:tc>
          <w:tcPr>
            <w:tcW w:w="919" w:type="dxa"/>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345,27</w:t>
            </w:r>
          </w:p>
        </w:tc>
        <w:tc>
          <w:tcPr>
            <w:tcW w:w="919" w:type="dxa"/>
          </w:tcPr>
          <w:p w:rsidR="0025522E" w:rsidRPr="004C1013" w:rsidRDefault="0025522E" w:rsidP="0025522E">
            <w:pPr>
              <w:pStyle w:val="tabbielystyl"/>
            </w:pPr>
            <w:r w:rsidRPr="004C1013">
              <w:t>N/A</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96,58</w:t>
            </w:r>
          </w:p>
        </w:tc>
        <w:tc>
          <w:tcPr>
            <w:tcW w:w="919" w:type="dxa"/>
            <w:vAlign w:val="bottom"/>
          </w:tcPr>
          <w:p w:rsidR="0025522E" w:rsidRPr="004C1013" w:rsidRDefault="0025522E" w:rsidP="0025522E">
            <w:pPr>
              <w:pStyle w:val="tabbielystyl"/>
            </w:pPr>
            <w:r w:rsidRPr="004C1013">
              <w:t>77,30</w:t>
            </w:r>
          </w:p>
        </w:tc>
      </w:tr>
      <w:tr w:rsidR="0025522E" w:rsidRPr="004C1013" w:rsidTr="00404B50">
        <w:trPr>
          <w:trHeight w:val="283"/>
        </w:trPr>
        <w:tc>
          <w:tcPr>
            <w:tcW w:w="1081" w:type="dxa"/>
            <w:hideMark/>
          </w:tcPr>
          <w:p w:rsidR="0025522E" w:rsidRPr="004C1013" w:rsidRDefault="0025522E" w:rsidP="0025522E">
            <w:pPr>
              <w:pStyle w:val="tabbielystyl"/>
            </w:pPr>
            <w:r w:rsidRPr="004C1013">
              <w:t>2013</w:t>
            </w:r>
          </w:p>
        </w:tc>
        <w:tc>
          <w:tcPr>
            <w:tcW w:w="978" w:type="dxa"/>
            <w:hideMark/>
          </w:tcPr>
          <w:p w:rsidR="0025522E" w:rsidRPr="004C1013" w:rsidRDefault="0025522E" w:rsidP="0025522E">
            <w:pPr>
              <w:pStyle w:val="tabbielystyl"/>
            </w:pPr>
            <w:r w:rsidRPr="004C1013">
              <w:t>7.</w:t>
            </w:r>
          </w:p>
        </w:tc>
        <w:tc>
          <w:tcPr>
            <w:tcW w:w="919" w:type="dxa"/>
            <w:hideMark/>
          </w:tcPr>
          <w:p w:rsidR="0025522E" w:rsidRPr="004C1013" w:rsidRDefault="0025522E" w:rsidP="0025522E">
            <w:pPr>
              <w:pStyle w:val="tabbielystyl"/>
            </w:pPr>
            <w:r w:rsidRPr="004C1013">
              <w:t>342,20</w:t>
            </w:r>
          </w:p>
        </w:tc>
        <w:tc>
          <w:tcPr>
            <w:tcW w:w="919" w:type="dxa"/>
            <w:vAlign w:val="bottom"/>
          </w:tcPr>
          <w:p w:rsidR="0025522E" w:rsidRPr="004C1013" w:rsidRDefault="0025522E" w:rsidP="0025522E">
            <w:pPr>
              <w:pStyle w:val="tabbielystyl"/>
            </w:pPr>
            <w:r w:rsidRPr="004C1013">
              <w:t>329,41</w:t>
            </w:r>
          </w:p>
        </w:tc>
        <w:tc>
          <w:tcPr>
            <w:tcW w:w="919" w:type="dxa"/>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329,16</w:t>
            </w:r>
          </w:p>
        </w:tc>
        <w:tc>
          <w:tcPr>
            <w:tcW w:w="919" w:type="dxa"/>
          </w:tcPr>
          <w:p w:rsidR="0025522E" w:rsidRPr="004C1013" w:rsidRDefault="0025522E" w:rsidP="0025522E">
            <w:pPr>
              <w:pStyle w:val="tabbielystyl"/>
            </w:pPr>
            <w:r w:rsidRPr="004C1013">
              <w:t>N/A</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87,90</w:t>
            </w:r>
          </w:p>
        </w:tc>
        <w:tc>
          <w:tcPr>
            <w:tcW w:w="919" w:type="dxa"/>
            <w:vAlign w:val="bottom"/>
          </w:tcPr>
          <w:p w:rsidR="0025522E" w:rsidRPr="004C1013" w:rsidRDefault="0025522E" w:rsidP="0025522E">
            <w:pPr>
              <w:pStyle w:val="tabbielystyl"/>
            </w:pPr>
            <w:r w:rsidRPr="004C1013">
              <w:t>79,10</w:t>
            </w:r>
          </w:p>
        </w:tc>
      </w:tr>
      <w:tr w:rsidR="0025522E" w:rsidRPr="004C1013" w:rsidTr="00404B50">
        <w:trPr>
          <w:trHeight w:val="283"/>
        </w:trPr>
        <w:tc>
          <w:tcPr>
            <w:tcW w:w="1081" w:type="dxa"/>
            <w:hideMark/>
          </w:tcPr>
          <w:p w:rsidR="0025522E" w:rsidRPr="004C1013" w:rsidRDefault="0025522E" w:rsidP="0025522E">
            <w:pPr>
              <w:pStyle w:val="tabbielystyl"/>
            </w:pPr>
            <w:r w:rsidRPr="004C1013">
              <w:t>2014</w:t>
            </w:r>
          </w:p>
        </w:tc>
        <w:tc>
          <w:tcPr>
            <w:tcW w:w="978" w:type="dxa"/>
            <w:hideMark/>
          </w:tcPr>
          <w:p w:rsidR="0025522E" w:rsidRPr="004C1013" w:rsidRDefault="0025522E" w:rsidP="0025522E">
            <w:pPr>
              <w:pStyle w:val="tabbielystyl"/>
            </w:pPr>
            <w:r w:rsidRPr="004C1013">
              <w:t>8.</w:t>
            </w:r>
          </w:p>
        </w:tc>
        <w:tc>
          <w:tcPr>
            <w:tcW w:w="919" w:type="dxa"/>
            <w:hideMark/>
          </w:tcPr>
          <w:p w:rsidR="0025522E" w:rsidRPr="004C1013" w:rsidRDefault="0025522E" w:rsidP="0025522E">
            <w:pPr>
              <w:pStyle w:val="tabbielystyl"/>
            </w:pPr>
            <w:r w:rsidRPr="004C1013">
              <w:t>316,60</w:t>
            </w:r>
          </w:p>
        </w:tc>
        <w:tc>
          <w:tcPr>
            <w:tcW w:w="919" w:type="dxa"/>
            <w:vAlign w:val="bottom"/>
          </w:tcPr>
          <w:p w:rsidR="0025522E" w:rsidRPr="004C1013" w:rsidRDefault="0025522E" w:rsidP="0025522E">
            <w:pPr>
              <w:pStyle w:val="tabbielystyl"/>
            </w:pPr>
            <w:r w:rsidRPr="004C1013">
              <w:t>317,17</w:t>
            </w:r>
          </w:p>
        </w:tc>
        <w:tc>
          <w:tcPr>
            <w:tcW w:w="919" w:type="dxa"/>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316,56</w:t>
            </w:r>
          </w:p>
        </w:tc>
        <w:tc>
          <w:tcPr>
            <w:tcW w:w="919" w:type="dxa"/>
          </w:tcPr>
          <w:p w:rsidR="0025522E" w:rsidRPr="004C1013" w:rsidRDefault="0025522E" w:rsidP="0025522E">
            <w:pPr>
              <w:pStyle w:val="tabbielystyl"/>
            </w:pPr>
            <w:r w:rsidRPr="004C1013">
              <w:t>N/A</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70,88</w:t>
            </w:r>
          </w:p>
        </w:tc>
        <w:tc>
          <w:tcPr>
            <w:tcW w:w="919" w:type="dxa"/>
            <w:vAlign w:val="bottom"/>
          </w:tcPr>
          <w:p w:rsidR="0025522E" w:rsidRPr="004C1013" w:rsidRDefault="0025522E" w:rsidP="0025522E">
            <w:pPr>
              <w:pStyle w:val="tabbielystyl"/>
            </w:pPr>
            <w:r w:rsidRPr="004C1013">
              <w:t>75,83</w:t>
            </w:r>
          </w:p>
        </w:tc>
      </w:tr>
      <w:tr w:rsidR="0025522E" w:rsidRPr="004C1013" w:rsidTr="00404B50">
        <w:trPr>
          <w:trHeight w:val="283"/>
        </w:trPr>
        <w:tc>
          <w:tcPr>
            <w:tcW w:w="1081" w:type="dxa"/>
            <w:hideMark/>
          </w:tcPr>
          <w:p w:rsidR="0025522E" w:rsidRPr="004C1013" w:rsidRDefault="0025522E" w:rsidP="0025522E">
            <w:pPr>
              <w:pStyle w:val="tabbielystyl"/>
            </w:pPr>
            <w:r w:rsidRPr="004C1013">
              <w:t>2015</w:t>
            </w:r>
          </w:p>
        </w:tc>
        <w:tc>
          <w:tcPr>
            <w:tcW w:w="978" w:type="dxa"/>
            <w:hideMark/>
          </w:tcPr>
          <w:p w:rsidR="0025522E" w:rsidRPr="004C1013" w:rsidRDefault="0025522E" w:rsidP="0025522E">
            <w:pPr>
              <w:pStyle w:val="tabbielystyl"/>
            </w:pPr>
            <w:r w:rsidRPr="004C1013">
              <w:t>9.</w:t>
            </w:r>
          </w:p>
        </w:tc>
        <w:tc>
          <w:tcPr>
            <w:tcW w:w="919" w:type="dxa"/>
            <w:hideMark/>
          </w:tcPr>
          <w:p w:rsidR="0025522E" w:rsidRPr="004C1013" w:rsidRDefault="0025522E" w:rsidP="0025522E">
            <w:pPr>
              <w:pStyle w:val="tabbielystyl"/>
            </w:pPr>
            <w:r w:rsidRPr="004C1013">
              <w:t>360,18</w:t>
            </w:r>
          </w:p>
        </w:tc>
        <w:tc>
          <w:tcPr>
            <w:tcW w:w="919" w:type="dxa"/>
            <w:vAlign w:val="bottom"/>
          </w:tcPr>
          <w:p w:rsidR="0025522E" w:rsidRPr="004C1013" w:rsidRDefault="0025522E" w:rsidP="0025522E">
            <w:pPr>
              <w:pStyle w:val="tabbielystyl"/>
            </w:pPr>
            <w:r w:rsidRPr="004C1013">
              <w:t>356,92</w:t>
            </w:r>
          </w:p>
        </w:tc>
        <w:tc>
          <w:tcPr>
            <w:tcW w:w="919" w:type="dxa"/>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356,75</w:t>
            </w:r>
          </w:p>
        </w:tc>
        <w:tc>
          <w:tcPr>
            <w:tcW w:w="919" w:type="dxa"/>
          </w:tcPr>
          <w:p w:rsidR="0025522E" w:rsidRPr="004C1013" w:rsidRDefault="0025522E" w:rsidP="0025522E">
            <w:pPr>
              <w:pStyle w:val="tabbielystyl"/>
            </w:pPr>
            <w:r w:rsidRPr="004C1013">
              <w:t>N/A</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54,24</w:t>
            </w:r>
          </w:p>
        </w:tc>
        <w:tc>
          <w:tcPr>
            <w:tcW w:w="919" w:type="dxa"/>
            <w:vAlign w:val="bottom"/>
          </w:tcPr>
          <w:p w:rsidR="0025522E" w:rsidRPr="004C1013" w:rsidRDefault="0025522E" w:rsidP="0025522E">
            <w:pPr>
              <w:pStyle w:val="tabbielystyl"/>
            </w:pPr>
            <w:r w:rsidRPr="004C1013">
              <w:t>74,56</w:t>
            </w:r>
          </w:p>
        </w:tc>
      </w:tr>
      <w:tr w:rsidR="0025522E" w:rsidRPr="004C1013" w:rsidTr="00404B50">
        <w:trPr>
          <w:trHeight w:val="283"/>
        </w:trPr>
        <w:tc>
          <w:tcPr>
            <w:tcW w:w="1081" w:type="dxa"/>
            <w:hideMark/>
          </w:tcPr>
          <w:p w:rsidR="0025522E" w:rsidRPr="004C1013" w:rsidRDefault="0025522E" w:rsidP="0025522E">
            <w:pPr>
              <w:pStyle w:val="tabbielystyl"/>
            </w:pPr>
            <w:r w:rsidRPr="004C1013">
              <w:t>2016</w:t>
            </w:r>
          </w:p>
        </w:tc>
        <w:tc>
          <w:tcPr>
            <w:tcW w:w="978" w:type="dxa"/>
            <w:hideMark/>
          </w:tcPr>
          <w:p w:rsidR="0025522E" w:rsidRPr="004C1013" w:rsidRDefault="0025522E" w:rsidP="0025522E">
            <w:pPr>
              <w:pStyle w:val="tabbielystyl"/>
            </w:pPr>
            <w:r w:rsidRPr="004C1013">
              <w:t>10.</w:t>
            </w:r>
          </w:p>
        </w:tc>
        <w:tc>
          <w:tcPr>
            <w:tcW w:w="919" w:type="dxa"/>
            <w:hideMark/>
          </w:tcPr>
          <w:p w:rsidR="0025522E" w:rsidRPr="004C1013" w:rsidRDefault="0025522E" w:rsidP="0025522E">
            <w:pPr>
              <w:pStyle w:val="tabbielystyl"/>
            </w:pPr>
            <w:r w:rsidRPr="004C1013">
              <w:t>366,21</w:t>
            </w:r>
          </w:p>
        </w:tc>
        <w:tc>
          <w:tcPr>
            <w:tcW w:w="919" w:type="dxa"/>
            <w:vAlign w:val="bottom"/>
          </w:tcPr>
          <w:p w:rsidR="0025522E" w:rsidRPr="004C1013" w:rsidRDefault="0025522E" w:rsidP="0025522E">
            <w:pPr>
              <w:pStyle w:val="tabbielystyl"/>
            </w:pPr>
            <w:r w:rsidRPr="004C1013">
              <w:t>365,85</w:t>
            </w:r>
          </w:p>
        </w:tc>
        <w:tc>
          <w:tcPr>
            <w:tcW w:w="919" w:type="dxa"/>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366,21</w:t>
            </w:r>
          </w:p>
        </w:tc>
        <w:tc>
          <w:tcPr>
            <w:tcW w:w="919" w:type="dxa"/>
          </w:tcPr>
          <w:p w:rsidR="0025522E" w:rsidRPr="004C1013" w:rsidRDefault="0025522E" w:rsidP="0025522E">
            <w:pPr>
              <w:pStyle w:val="tabbielystyl"/>
            </w:pPr>
            <w:r w:rsidRPr="004C1013">
              <w:t>N/A</w:t>
            </w:r>
          </w:p>
        </w:tc>
        <w:tc>
          <w:tcPr>
            <w:tcW w:w="919" w:type="dxa"/>
            <w:vMerge/>
            <w:vAlign w:val="bottom"/>
          </w:tcPr>
          <w:p w:rsidR="0025522E" w:rsidRPr="004C1013" w:rsidRDefault="0025522E" w:rsidP="0025522E">
            <w:pPr>
              <w:pStyle w:val="tabbielystyl"/>
            </w:pPr>
          </w:p>
        </w:tc>
        <w:tc>
          <w:tcPr>
            <w:tcW w:w="919" w:type="dxa"/>
            <w:vAlign w:val="bottom"/>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72,78</w:t>
            </w:r>
          </w:p>
        </w:tc>
      </w:tr>
      <w:tr w:rsidR="0025522E" w:rsidRPr="004C1013" w:rsidTr="00404B50">
        <w:trPr>
          <w:trHeight w:val="77"/>
        </w:trPr>
        <w:tc>
          <w:tcPr>
            <w:tcW w:w="1081" w:type="dxa"/>
            <w:hideMark/>
          </w:tcPr>
          <w:p w:rsidR="0025522E" w:rsidRPr="004C1013" w:rsidRDefault="0025522E" w:rsidP="0025522E">
            <w:pPr>
              <w:pStyle w:val="tabbielystyl"/>
            </w:pPr>
            <w:r w:rsidRPr="004C1013">
              <w:t>2017</w:t>
            </w:r>
          </w:p>
        </w:tc>
        <w:tc>
          <w:tcPr>
            <w:tcW w:w="978" w:type="dxa"/>
            <w:hideMark/>
          </w:tcPr>
          <w:p w:rsidR="0025522E" w:rsidRPr="004C1013" w:rsidRDefault="0025522E" w:rsidP="0025522E">
            <w:pPr>
              <w:pStyle w:val="tabbielystyl"/>
            </w:pPr>
            <w:r w:rsidRPr="004C1013">
              <w:t>11.</w:t>
            </w:r>
          </w:p>
        </w:tc>
        <w:tc>
          <w:tcPr>
            <w:tcW w:w="919" w:type="dxa"/>
            <w:hideMark/>
          </w:tcPr>
          <w:p w:rsidR="0025522E" w:rsidRPr="004C1013" w:rsidRDefault="0025522E" w:rsidP="0025522E">
            <w:pPr>
              <w:pStyle w:val="tabbielystyl"/>
            </w:pPr>
            <w:r w:rsidRPr="004C1013">
              <w:t>395,13</w:t>
            </w:r>
          </w:p>
        </w:tc>
        <w:tc>
          <w:tcPr>
            <w:tcW w:w="919" w:type="dxa"/>
            <w:vAlign w:val="bottom"/>
          </w:tcPr>
          <w:p w:rsidR="0025522E" w:rsidRPr="004C1013" w:rsidRDefault="0025522E" w:rsidP="0025522E">
            <w:pPr>
              <w:pStyle w:val="tabbielystyl"/>
            </w:pPr>
            <w:r w:rsidRPr="004C1013">
              <w:t>395,27</w:t>
            </w:r>
          </w:p>
        </w:tc>
        <w:tc>
          <w:tcPr>
            <w:tcW w:w="919" w:type="dxa"/>
          </w:tcPr>
          <w:p w:rsidR="0025522E" w:rsidRPr="004C1013" w:rsidRDefault="0025522E" w:rsidP="0025522E">
            <w:pPr>
              <w:pStyle w:val="tabbielystyl"/>
            </w:pPr>
            <w:r w:rsidRPr="004C1013">
              <w:t>N/A</w:t>
            </w:r>
          </w:p>
        </w:tc>
        <w:tc>
          <w:tcPr>
            <w:tcW w:w="919" w:type="dxa"/>
          </w:tcPr>
          <w:p w:rsidR="0025522E" w:rsidRPr="004C1013" w:rsidRDefault="0025522E" w:rsidP="0025522E">
            <w:pPr>
              <w:pStyle w:val="tabbielystyl"/>
            </w:pPr>
            <w:r w:rsidRPr="004C1013">
              <w:t>N/A</w:t>
            </w:r>
          </w:p>
        </w:tc>
        <w:tc>
          <w:tcPr>
            <w:tcW w:w="919" w:type="dxa"/>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N/A</w:t>
            </w:r>
          </w:p>
        </w:tc>
        <w:tc>
          <w:tcPr>
            <w:tcW w:w="919" w:type="dxa"/>
            <w:vAlign w:val="bottom"/>
          </w:tcPr>
          <w:p w:rsidR="0025522E" w:rsidRPr="004C1013" w:rsidRDefault="0025522E" w:rsidP="0025522E">
            <w:pPr>
              <w:pStyle w:val="tabbielystyl"/>
            </w:pPr>
            <w:r w:rsidRPr="004C1013">
              <w:t>57,94</w:t>
            </w:r>
          </w:p>
        </w:tc>
      </w:tr>
      <w:tr w:rsidR="0025522E" w:rsidRPr="004C1013" w:rsidTr="00404B50">
        <w:trPr>
          <w:trHeight w:val="283"/>
        </w:trPr>
        <w:tc>
          <w:tcPr>
            <w:tcW w:w="1081" w:type="dxa"/>
            <w:hideMark/>
          </w:tcPr>
          <w:p w:rsidR="0025522E" w:rsidRPr="004C1013" w:rsidRDefault="0025522E" w:rsidP="0025522E">
            <w:pPr>
              <w:pStyle w:val="tabbielystyl"/>
            </w:pPr>
            <w:r w:rsidRPr="004C1013">
              <w:t>2018</w:t>
            </w:r>
          </w:p>
        </w:tc>
        <w:tc>
          <w:tcPr>
            <w:tcW w:w="978" w:type="dxa"/>
            <w:hideMark/>
          </w:tcPr>
          <w:p w:rsidR="0025522E" w:rsidRPr="004C1013" w:rsidRDefault="0025522E" w:rsidP="0025522E">
            <w:pPr>
              <w:pStyle w:val="tabbielystyl"/>
            </w:pPr>
            <w:r w:rsidRPr="004C1013">
              <w:t>12.</w:t>
            </w:r>
          </w:p>
        </w:tc>
        <w:tc>
          <w:tcPr>
            <w:tcW w:w="919" w:type="dxa"/>
            <w:hideMark/>
          </w:tcPr>
          <w:p w:rsidR="0025522E" w:rsidRPr="004C1013" w:rsidRDefault="0025522E" w:rsidP="0025522E">
            <w:pPr>
              <w:pStyle w:val="tabbielystyl"/>
            </w:pPr>
            <w:r w:rsidRPr="004C1013">
              <w:t>419,00</w:t>
            </w:r>
          </w:p>
        </w:tc>
        <w:tc>
          <w:tcPr>
            <w:tcW w:w="919" w:type="dxa"/>
            <w:vAlign w:val="bottom"/>
          </w:tcPr>
          <w:p w:rsidR="0025522E" w:rsidRPr="004C1013" w:rsidRDefault="0025522E" w:rsidP="0025522E">
            <w:pPr>
              <w:pStyle w:val="tabbielystyl"/>
            </w:pPr>
            <w:r w:rsidRPr="004C1013">
              <w:t>421,31</w:t>
            </w:r>
          </w:p>
        </w:tc>
        <w:tc>
          <w:tcPr>
            <w:tcW w:w="919" w:type="dxa"/>
          </w:tcPr>
          <w:p w:rsidR="0025522E" w:rsidRPr="004C1013" w:rsidRDefault="0025522E" w:rsidP="0025522E">
            <w:pPr>
              <w:pStyle w:val="tabbielystyl"/>
            </w:pPr>
            <w:r w:rsidRPr="004C1013">
              <w:t>N/A</w:t>
            </w:r>
          </w:p>
        </w:tc>
        <w:tc>
          <w:tcPr>
            <w:tcW w:w="919" w:type="dxa"/>
          </w:tcPr>
          <w:p w:rsidR="0025522E" w:rsidRPr="004C1013" w:rsidRDefault="0025522E" w:rsidP="0025522E">
            <w:pPr>
              <w:pStyle w:val="tabbielystyl"/>
            </w:pPr>
            <w:r w:rsidRPr="004C1013">
              <w:t>N/A</w:t>
            </w:r>
          </w:p>
        </w:tc>
        <w:tc>
          <w:tcPr>
            <w:tcW w:w="919" w:type="dxa"/>
          </w:tcPr>
          <w:p w:rsidR="0025522E" w:rsidRPr="004C1013" w:rsidRDefault="0025522E" w:rsidP="0025522E">
            <w:pPr>
              <w:pStyle w:val="tabbielystyl"/>
            </w:pPr>
            <w:r w:rsidRPr="004C1013">
              <w:t>N/A</w:t>
            </w:r>
          </w:p>
        </w:tc>
        <w:tc>
          <w:tcPr>
            <w:tcW w:w="919" w:type="dxa"/>
          </w:tcPr>
          <w:p w:rsidR="0025522E" w:rsidRPr="004C1013" w:rsidRDefault="0025522E" w:rsidP="0025522E">
            <w:pPr>
              <w:pStyle w:val="tabbielystyl"/>
            </w:pPr>
            <w:r w:rsidRPr="004C1013">
              <w:t>N/A</w:t>
            </w:r>
          </w:p>
        </w:tc>
        <w:tc>
          <w:tcPr>
            <w:tcW w:w="919" w:type="dxa"/>
          </w:tcPr>
          <w:p w:rsidR="0025522E" w:rsidRPr="004C1013" w:rsidRDefault="0025522E" w:rsidP="0025522E">
            <w:pPr>
              <w:pStyle w:val="tabbielystyl"/>
              <w:rPr>
                <w:color w:val="000000"/>
              </w:rPr>
            </w:pPr>
            <w:r w:rsidRPr="004C1013">
              <w:t>N/A</w:t>
            </w:r>
          </w:p>
        </w:tc>
        <w:tc>
          <w:tcPr>
            <w:tcW w:w="919" w:type="dxa"/>
            <w:vAlign w:val="bottom"/>
          </w:tcPr>
          <w:p w:rsidR="0025522E" w:rsidRPr="004C1013" w:rsidRDefault="0025522E" w:rsidP="0025522E">
            <w:pPr>
              <w:pStyle w:val="tabbielystyl"/>
            </w:pPr>
            <w:r w:rsidRPr="004C1013">
              <w:t>58,49</w:t>
            </w:r>
          </w:p>
        </w:tc>
      </w:tr>
      <w:tr w:rsidR="0025522E" w:rsidRPr="004C1013" w:rsidTr="00404B50">
        <w:trPr>
          <w:trHeight w:val="283"/>
        </w:trPr>
        <w:tc>
          <w:tcPr>
            <w:tcW w:w="2059" w:type="dxa"/>
            <w:gridSpan w:val="2"/>
            <w:shd w:val="clear" w:color="auto" w:fill="7F7F7F" w:themeFill="text1" w:themeFillTint="80"/>
            <w:hideMark/>
          </w:tcPr>
          <w:p w:rsidR="0025522E" w:rsidRPr="004C1013" w:rsidRDefault="0025522E" w:rsidP="0025522E">
            <w:pPr>
              <w:pStyle w:val="tabukasivystyl"/>
            </w:pPr>
            <w:r w:rsidRPr="004C1013">
              <w:t>Priemer</w:t>
            </w:r>
          </w:p>
        </w:tc>
        <w:tc>
          <w:tcPr>
            <w:tcW w:w="919" w:type="dxa"/>
            <w:shd w:val="clear" w:color="auto" w:fill="7F7F7F" w:themeFill="text1" w:themeFillTint="80"/>
            <w:vAlign w:val="bottom"/>
            <w:hideMark/>
          </w:tcPr>
          <w:p w:rsidR="0025522E" w:rsidRPr="004C1013" w:rsidRDefault="0025522E" w:rsidP="0025522E">
            <w:pPr>
              <w:pStyle w:val="tabukasivystyl"/>
            </w:pPr>
            <w:r w:rsidRPr="004C1013">
              <w:t>316,60</w:t>
            </w:r>
          </w:p>
        </w:tc>
        <w:tc>
          <w:tcPr>
            <w:tcW w:w="919" w:type="dxa"/>
            <w:shd w:val="clear" w:color="auto" w:fill="7F7F7F" w:themeFill="text1" w:themeFillTint="80"/>
            <w:vAlign w:val="bottom"/>
          </w:tcPr>
          <w:p w:rsidR="0025522E" w:rsidRPr="004C1013" w:rsidRDefault="0025522E" w:rsidP="0025522E">
            <w:pPr>
              <w:pStyle w:val="tabukasivystyl"/>
            </w:pPr>
            <w:r w:rsidRPr="004C1013">
              <w:t>314,69</w:t>
            </w:r>
          </w:p>
        </w:tc>
        <w:tc>
          <w:tcPr>
            <w:tcW w:w="919" w:type="dxa"/>
            <w:shd w:val="clear" w:color="auto" w:fill="7F7F7F" w:themeFill="text1" w:themeFillTint="80"/>
            <w:vAlign w:val="bottom"/>
          </w:tcPr>
          <w:p w:rsidR="0025522E" w:rsidRPr="004C1013" w:rsidRDefault="0025522E" w:rsidP="0025522E">
            <w:pPr>
              <w:pStyle w:val="tabukasivystyl"/>
            </w:pPr>
            <w:r w:rsidRPr="004C1013">
              <w:t>244,61</w:t>
            </w:r>
          </w:p>
        </w:tc>
        <w:tc>
          <w:tcPr>
            <w:tcW w:w="919" w:type="dxa"/>
            <w:shd w:val="clear" w:color="auto" w:fill="7F7F7F" w:themeFill="text1" w:themeFillTint="80"/>
          </w:tcPr>
          <w:p w:rsidR="0025522E" w:rsidRPr="004C1013" w:rsidRDefault="0025522E" w:rsidP="0025522E">
            <w:pPr>
              <w:pStyle w:val="tabukasivystyl"/>
            </w:pPr>
            <w:r w:rsidRPr="004C1013">
              <w:t>296,07</w:t>
            </w:r>
          </w:p>
        </w:tc>
        <w:tc>
          <w:tcPr>
            <w:tcW w:w="919" w:type="dxa"/>
            <w:shd w:val="clear" w:color="auto" w:fill="7F7F7F" w:themeFill="text1" w:themeFillTint="80"/>
            <w:vAlign w:val="bottom"/>
          </w:tcPr>
          <w:p w:rsidR="0025522E" w:rsidRPr="004C1013" w:rsidRDefault="0025522E" w:rsidP="0025522E">
            <w:pPr>
              <w:pStyle w:val="tabukasivystyl"/>
            </w:pPr>
            <w:r w:rsidRPr="004C1013">
              <w:t>120,37</w:t>
            </w:r>
          </w:p>
        </w:tc>
        <w:tc>
          <w:tcPr>
            <w:tcW w:w="919" w:type="dxa"/>
            <w:shd w:val="clear" w:color="auto" w:fill="7F7F7F" w:themeFill="text1" w:themeFillTint="80"/>
            <w:vAlign w:val="bottom"/>
          </w:tcPr>
          <w:p w:rsidR="0025522E" w:rsidRPr="004C1013" w:rsidRDefault="0025522E" w:rsidP="0025522E">
            <w:pPr>
              <w:pStyle w:val="tabukasivystyl"/>
            </w:pPr>
            <w:r w:rsidRPr="004C1013">
              <w:t>91,86</w:t>
            </w:r>
          </w:p>
        </w:tc>
        <w:tc>
          <w:tcPr>
            <w:tcW w:w="919" w:type="dxa"/>
            <w:shd w:val="clear" w:color="auto" w:fill="7F7F7F" w:themeFill="text1" w:themeFillTint="80"/>
            <w:vAlign w:val="bottom"/>
          </w:tcPr>
          <w:p w:rsidR="0025522E" w:rsidRPr="004C1013" w:rsidRDefault="0025522E" w:rsidP="0025522E">
            <w:pPr>
              <w:pStyle w:val="tabukasivystyl"/>
            </w:pPr>
            <w:r w:rsidRPr="004C1013">
              <w:t>80,32</w:t>
            </w:r>
          </w:p>
        </w:tc>
        <w:tc>
          <w:tcPr>
            <w:tcW w:w="919" w:type="dxa"/>
            <w:shd w:val="clear" w:color="auto" w:fill="7F7F7F" w:themeFill="text1" w:themeFillTint="80"/>
            <w:vAlign w:val="bottom"/>
          </w:tcPr>
          <w:p w:rsidR="0025522E" w:rsidRPr="004C1013" w:rsidRDefault="0025522E" w:rsidP="0025522E">
            <w:pPr>
              <w:pStyle w:val="tabukasivystyl"/>
            </w:pPr>
            <w:r w:rsidRPr="004C1013">
              <w:t>74,95</w:t>
            </w:r>
          </w:p>
        </w:tc>
      </w:tr>
    </w:tbl>
    <w:p w:rsidR="0025522E" w:rsidRPr="004C1013" w:rsidRDefault="0025522E" w:rsidP="0025522E">
      <w:pPr>
        <w:rPr>
          <w:szCs w:val="23"/>
        </w:rPr>
      </w:pPr>
      <w:r w:rsidRPr="004C1013">
        <w:t>Pre účely komparatívnej analýzy vybral riešiteľský kolektív údaje o výnosoch systému ETC uvádzané v zdroji [30] ako reprezentatívne (</w:t>
      </w:r>
      <w:r w:rsidR="00C40D3F">
        <w:fldChar w:fldCharType="begin"/>
      </w:r>
      <w:r w:rsidR="00C40D3F">
        <w:instrText xml:space="preserve"> REF _Ref20379215 \h  \* MERGEFORMAT </w:instrText>
      </w:r>
      <w:r w:rsidR="00C40D3F">
        <w:fldChar w:fldCharType="separate"/>
      </w:r>
      <w:r w:rsidR="001E4C1C" w:rsidRPr="004C1013">
        <w:t xml:space="preserve">Tab.  </w:t>
      </w:r>
      <w:r w:rsidR="001E4C1C">
        <w:rPr>
          <w:noProof/>
        </w:rPr>
        <w:t>1</w:t>
      </w:r>
      <w:r w:rsidR="001E4C1C">
        <w:rPr>
          <w:noProof/>
        </w:rPr>
        <w:noBreakHyphen/>
        <w:t>30</w:t>
      </w:r>
      <w:r w:rsidR="00C40D3F">
        <w:fldChar w:fldCharType="end"/>
      </w:r>
      <w:r w:rsidRPr="004C1013">
        <w:t xml:space="preserve">). </w:t>
      </w:r>
    </w:p>
    <w:p w:rsidR="0025522E" w:rsidRPr="004C1013" w:rsidRDefault="0025522E" w:rsidP="006B1C25">
      <w:pPr>
        <w:pStyle w:val="tabstyl"/>
      </w:pPr>
      <w:bookmarkStart w:id="130" w:name="_Ref20379215"/>
      <w:bookmarkStart w:id="131" w:name="_Toc20081964"/>
      <w:bookmarkStart w:id="132" w:name="_Toc36664472"/>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30</w:t>
      </w:r>
      <w:r w:rsidR="00C40D3F">
        <w:rPr>
          <w:noProof/>
        </w:rPr>
        <w:fldChar w:fldCharType="end"/>
      </w:r>
      <w:bookmarkEnd w:id="130"/>
      <w:r w:rsidRPr="004C1013">
        <w:t xml:space="preserve"> </w:t>
      </w:r>
      <w:r w:rsidRPr="004C1013">
        <w:tab/>
        <w:t>Česká republika: ETC indikátor 3. Výnosy</w:t>
      </w:r>
      <w:bookmarkEnd w:id="131"/>
      <w:bookmarkEnd w:id="132"/>
      <w:r w:rsidRPr="004C1013">
        <w:t xml:space="preserve"> </w:t>
      </w:r>
    </w:p>
    <w:tbl>
      <w:tblPr>
        <w:tblStyle w:val="tabulkaVUD"/>
        <w:tblW w:w="5000" w:type="pct"/>
        <w:tblLook w:val="04A0" w:firstRow="1" w:lastRow="0" w:firstColumn="1" w:lastColumn="0" w:noHBand="0" w:noVBand="1"/>
      </w:tblPr>
      <w:tblGrid>
        <w:gridCol w:w="3112"/>
        <w:gridCol w:w="2808"/>
        <w:gridCol w:w="3491"/>
      </w:tblGrid>
      <w:tr w:rsidR="0025522E" w:rsidRPr="004C1013" w:rsidTr="0025522E">
        <w:trPr>
          <w:cnfStyle w:val="100000000000" w:firstRow="1" w:lastRow="0" w:firstColumn="0" w:lastColumn="0" w:oddVBand="0" w:evenVBand="0" w:oddHBand="0" w:evenHBand="0" w:firstRowFirstColumn="0" w:firstRowLastColumn="0" w:lastRowFirstColumn="0" w:lastRowLastColumn="0"/>
          <w:trHeight w:val="472"/>
          <w:tblHeader/>
        </w:trPr>
        <w:tc>
          <w:tcPr>
            <w:tcW w:w="1653" w:type="pct"/>
            <w:shd w:val="clear" w:color="auto" w:fill="7F7F7F" w:themeFill="text1" w:themeFillTint="80"/>
            <w:hideMark/>
          </w:tcPr>
          <w:p w:rsidR="0025522E" w:rsidRPr="004C1013" w:rsidRDefault="0025522E" w:rsidP="009D58D5">
            <w:pPr>
              <w:pStyle w:val="zahltab"/>
            </w:pPr>
            <w:r w:rsidRPr="004C1013">
              <w:t>Kalendárny rok</w:t>
            </w:r>
          </w:p>
        </w:tc>
        <w:tc>
          <w:tcPr>
            <w:tcW w:w="1492" w:type="pct"/>
            <w:hideMark/>
          </w:tcPr>
          <w:p w:rsidR="0025522E" w:rsidRPr="004C1013" w:rsidRDefault="0025522E" w:rsidP="009D58D5">
            <w:pPr>
              <w:pStyle w:val="zahltab"/>
            </w:pPr>
            <w:r w:rsidRPr="004C1013">
              <w:t>Rok prevádzky</w:t>
            </w:r>
          </w:p>
        </w:tc>
        <w:tc>
          <w:tcPr>
            <w:tcW w:w="1855" w:type="pct"/>
          </w:tcPr>
          <w:p w:rsidR="0025522E" w:rsidRPr="004C1013" w:rsidRDefault="0025522E" w:rsidP="009D58D5">
            <w:pPr>
              <w:pStyle w:val="zahltab"/>
            </w:pPr>
            <w:r w:rsidRPr="004C1013">
              <w:t>Výnosy (mil. €)</w:t>
            </w:r>
          </w:p>
        </w:tc>
      </w:tr>
      <w:tr w:rsidR="0025522E" w:rsidRPr="004C1013" w:rsidTr="00404B50">
        <w:trPr>
          <w:trHeight w:val="283"/>
        </w:trPr>
        <w:tc>
          <w:tcPr>
            <w:tcW w:w="1653" w:type="pct"/>
            <w:hideMark/>
          </w:tcPr>
          <w:p w:rsidR="0025522E" w:rsidRPr="004C1013" w:rsidRDefault="0025522E" w:rsidP="0025522E">
            <w:pPr>
              <w:pStyle w:val="tabbielystyl"/>
            </w:pPr>
            <w:r w:rsidRPr="004C1013">
              <w:t>2007</w:t>
            </w:r>
          </w:p>
        </w:tc>
        <w:tc>
          <w:tcPr>
            <w:tcW w:w="1492" w:type="pct"/>
            <w:hideMark/>
          </w:tcPr>
          <w:p w:rsidR="0025522E" w:rsidRPr="004C1013" w:rsidRDefault="0025522E" w:rsidP="0025522E">
            <w:pPr>
              <w:pStyle w:val="tabbielystyl"/>
            </w:pPr>
            <w:r w:rsidRPr="004C1013">
              <w:t>1.</w:t>
            </w:r>
          </w:p>
        </w:tc>
        <w:tc>
          <w:tcPr>
            <w:tcW w:w="1855" w:type="pct"/>
            <w:vAlign w:val="bottom"/>
          </w:tcPr>
          <w:p w:rsidR="0025522E" w:rsidRPr="004C1013" w:rsidRDefault="0025522E" w:rsidP="0025522E">
            <w:pPr>
              <w:pStyle w:val="tabbielystyl"/>
            </w:pPr>
            <w:r w:rsidRPr="004C1013">
              <w:t>200,59</w:t>
            </w:r>
          </w:p>
        </w:tc>
      </w:tr>
      <w:tr w:rsidR="0025522E" w:rsidRPr="004C1013" w:rsidTr="00404B50">
        <w:trPr>
          <w:trHeight w:val="283"/>
        </w:trPr>
        <w:tc>
          <w:tcPr>
            <w:tcW w:w="1653" w:type="pct"/>
            <w:hideMark/>
          </w:tcPr>
          <w:p w:rsidR="0025522E" w:rsidRPr="004C1013" w:rsidRDefault="0025522E" w:rsidP="0025522E">
            <w:pPr>
              <w:pStyle w:val="tabbielystyl"/>
            </w:pPr>
            <w:r w:rsidRPr="004C1013">
              <w:t>2008</w:t>
            </w:r>
          </w:p>
        </w:tc>
        <w:tc>
          <w:tcPr>
            <w:tcW w:w="1492" w:type="pct"/>
            <w:hideMark/>
          </w:tcPr>
          <w:p w:rsidR="0025522E" w:rsidRPr="004C1013" w:rsidRDefault="0025522E" w:rsidP="0025522E">
            <w:pPr>
              <w:pStyle w:val="tabbielystyl"/>
            </w:pPr>
            <w:r w:rsidRPr="004C1013">
              <w:t>2.</w:t>
            </w:r>
          </w:p>
        </w:tc>
        <w:tc>
          <w:tcPr>
            <w:tcW w:w="1855" w:type="pct"/>
            <w:vAlign w:val="bottom"/>
          </w:tcPr>
          <w:p w:rsidR="0025522E" w:rsidRPr="004C1013" w:rsidRDefault="0025522E" w:rsidP="0025522E">
            <w:pPr>
              <w:pStyle w:val="tabbielystyl"/>
            </w:pPr>
            <w:r w:rsidRPr="004C1013">
              <w:t>246,27</w:t>
            </w:r>
          </w:p>
        </w:tc>
      </w:tr>
      <w:tr w:rsidR="0025522E" w:rsidRPr="004C1013" w:rsidTr="00404B50">
        <w:trPr>
          <w:trHeight w:val="283"/>
        </w:trPr>
        <w:tc>
          <w:tcPr>
            <w:tcW w:w="1653" w:type="pct"/>
            <w:hideMark/>
          </w:tcPr>
          <w:p w:rsidR="0025522E" w:rsidRPr="004C1013" w:rsidRDefault="0025522E" w:rsidP="0025522E">
            <w:pPr>
              <w:pStyle w:val="tabbielystyl"/>
            </w:pPr>
            <w:r w:rsidRPr="004C1013">
              <w:t>2009</w:t>
            </w:r>
          </w:p>
        </w:tc>
        <w:tc>
          <w:tcPr>
            <w:tcW w:w="1492" w:type="pct"/>
            <w:hideMark/>
          </w:tcPr>
          <w:p w:rsidR="0025522E" w:rsidRPr="004C1013" w:rsidRDefault="0025522E" w:rsidP="0025522E">
            <w:pPr>
              <w:pStyle w:val="tabbielystyl"/>
            </w:pPr>
            <w:r w:rsidRPr="004C1013">
              <w:t>3.</w:t>
            </w:r>
          </w:p>
        </w:tc>
        <w:tc>
          <w:tcPr>
            <w:tcW w:w="1855" w:type="pct"/>
            <w:vAlign w:val="bottom"/>
          </w:tcPr>
          <w:p w:rsidR="0025522E" w:rsidRPr="004C1013" w:rsidRDefault="0025522E" w:rsidP="0025522E">
            <w:pPr>
              <w:pStyle w:val="tabbielystyl"/>
            </w:pPr>
            <w:r w:rsidRPr="004C1013">
              <w:t>209,72</w:t>
            </w:r>
          </w:p>
        </w:tc>
      </w:tr>
      <w:tr w:rsidR="0025522E" w:rsidRPr="004C1013" w:rsidTr="00404B50">
        <w:trPr>
          <w:trHeight w:val="283"/>
        </w:trPr>
        <w:tc>
          <w:tcPr>
            <w:tcW w:w="1653" w:type="pct"/>
            <w:hideMark/>
          </w:tcPr>
          <w:p w:rsidR="0025522E" w:rsidRPr="004C1013" w:rsidRDefault="0025522E" w:rsidP="0025522E">
            <w:pPr>
              <w:pStyle w:val="tabbielystyl"/>
            </w:pPr>
            <w:r w:rsidRPr="004C1013">
              <w:t>2010</w:t>
            </w:r>
          </w:p>
        </w:tc>
        <w:tc>
          <w:tcPr>
            <w:tcW w:w="1492" w:type="pct"/>
            <w:hideMark/>
          </w:tcPr>
          <w:p w:rsidR="0025522E" w:rsidRPr="004C1013" w:rsidRDefault="0025522E" w:rsidP="0025522E">
            <w:pPr>
              <w:pStyle w:val="tabbielystyl"/>
            </w:pPr>
            <w:r w:rsidRPr="004C1013">
              <w:t>4.</w:t>
            </w:r>
          </w:p>
        </w:tc>
        <w:tc>
          <w:tcPr>
            <w:tcW w:w="1855" w:type="pct"/>
            <w:vAlign w:val="bottom"/>
          </w:tcPr>
          <w:p w:rsidR="0025522E" w:rsidRPr="004C1013" w:rsidRDefault="0025522E" w:rsidP="0025522E">
            <w:pPr>
              <w:pStyle w:val="tabbielystyl"/>
            </w:pPr>
            <w:r w:rsidRPr="004C1013">
              <w:t>258,24</w:t>
            </w:r>
          </w:p>
        </w:tc>
      </w:tr>
      <w:tr w:rsidR="0025522E" w:rsidRPr="004C1013" w:rsidTr="00404B50">
        <w:trPr>
          <w:trHeight w:val="283"/>
        </w:trPr>
        <w:tc>
          <w:tcPr>
            <w:tcW w:w="1653" w:type="pct"/>
            <w:hideMark/>
          </w:tcPr>
          <w:p w:rsidR="0025522E" w:rsidRPr="004C1013" w:rsidRDefault="0025522E" w:rsidP="0025522E">
            <w:pPr>
              <w:pStyle w:val="tabbielystyl"/>
            </w:pPr>
            <w:r w:rsidRPr="004C1013">
              <w:t>2011</w:t>
            </w:r>
          </w:p>
        </w:tc>
        <w:tc>
          <w:tcPr>
            <w:tcW w:w="1492" w:type="pct"/>
            <w:hideMark/>
          </w:tcPr>
          <w:p w:rsidR="0025522E" w:rsidRPr="004C1013" w:rsidRDefault="0025522E" w:rsidP="0025522E">
            <w:pPr>
              <w:pStyle w:val="tabbielystyl"/>
            </w:pPr>
            <w:r w:rsidRPr="004C1013">
              <w:t>5.</w:t>
            </w:r>
          </w:p>
        </w:tc>
        <w:tc>
          <w:tcPr>
            <w:tcW w:w="1855" w:type="pct"/>
            <w:vAlign w:val="bottom"/>
          </w:tcPr>
          <w:p w:rsidR="0025522E" w:rsidRPr="004C1013" w:rsidRDefault="0025522E" w:rsidP="0025522E">
            <w:pPr>
              <w:pStyle w:val="tabbielystyl"/>
            </w:pPr>
            <w:r w:rsidRPr="004C1013">
              <w:t>330,42</w:t>
            </w:r>
          </w:p>
        </w:tc>
      </w:tr>
      <w:tr w:rsidR="0025522E" w:rsidRPr="004C1013" w:rsidTr="00404B50">
        <w:trPr>
          <w:trHeight w:val="283"/>
        </w:trPr>
        <w:tc>
          <w:tcPr>
            <w:tcW w:w="1653" w:type="pct"/>
            <w:hideMark/>
          </w:tcPr>
          <w:p w:rsidR="0025522E" w:rsidRPr="004C1013" w:rsidRDefault="0025522E" w:rsidP="0025522E">
            <w:pPr>
              <w:pStyle w:val="tabbielystyl"/>
            </w:pPr>
            <w:r w:rsidRPr="004C1013">
              <w:t>2012</w:t>
            </w:r>
          </w:p>
        </w:tc>
        <w:tc>
          <w:tcPr>
            <w:tcW w:w="1492" w:type="pct"/>
            <w:hideMark/>
          </w:tcPr>
          <w:p w:rsidR="0025522E" w:rsidRPr="004C1013" w:rsidRDefault="0025522E" w:rsidP="0025522E">
            <w:pPr>
              <w:pStyle w:val="tabbielystyl"/>
            </w:pPr>
            <w:r w:rsidRPr="004C1013">
              <w:t>6.</w:t>
            </w:r>
          </w:p>
        </w:tc>
        <w:tc>
          <w:tcPr>
            <w:tcW w:w="1855" w:type="pct"/>
            <w:vAlign w:val="bottom"/>
          </w:tcPr>
          <w:p w:rsidR="0025522E" w:rsidRPr="004C1013" w:rsidRDefault="0025522E" w:rsidP="0025522E">
            <w:pPr>
              <w:pStyle w:val="tabbielystyl"/>
            </w:pPr>
            <w:r w:rsidRPr="004C1013">
              <w:t>345,14</w:t>
            </w:r>
          </w:p>
        </w:tc>
      </w:tr>
      <w:tr w:rsidR="0025522E" w:rsidRPr="004C1013" w:rsidTr="00404B50">
        <w:trPr>
          <w:trHeight w:val="283"/>
        </w:trPr>
        <w:tc>
          <w:tcPr>
            <w:tcW w:w="1653" w:type="pct"/>
            <w:hideMark/>
          </w:tcPr>
          <w:p w:rsidR="0025522E" w:rsidRPr="004C1013" w:rsidRDefault="0025522E" w:rsidP="0025522E">
            <w:pPr>
              <w:pStyle w:val="tabbielystyl"/>
            </w:pPr>
            <w:r w:rsidRPr="004C1013">
              <w:t>2013</w:t>
            </w:r>
          </w:p>
        </w:tc>
        <w:tc>
          <w:tcPr>
            <w:tcW w:w="1492" w:type="pct"/>
            <w:hideMark/>
          </w:tcPr>
          <w:p w:rsidR="0025522E" w:rsidRPr="004C1013" w:rsidRDefault="0025522E" w:rsidP="0025522E">
            <w:pPr>
              <w:pStyle w:val="tabbielystyl"/>
            </w:pPr>
            <w:r w:rsidRPr="004C1013">
              <w:t>7.</w:t>
            </w:r>
          </w:p>
        </w:tc>
        <w:tc>
          <w:tcPr>
            <w:tcW w:w="1855" w:type="pct"/>
            <w:vAlign w:val="bottom"/>
          </w:tcPr>
          <w:p w:rsidR="0025522E" w:rsidRPr="004C1013" w:rsidRDefault="0025522E" w:rsidP="0025522E">
            <w:pPr>
              <w:pStyle w:val="tabbielystyl"/>
            </w:pPr>
            <w:r w:rsidRPr="004C1013">
              <w:t>329,41</w:t>
            </w:r>
          </w:p>
        </w:tc>
      </w:tr>
      <w:tr w:rsidR="0025522E" w:rsidRPr="004C1013" w:rsidTr="00404B50">
        <w:trPr>
          <w:trHeight w:val="283"/>
        </w:trPr>
        <w:tc>
          <w:tcPr>
            <w:tcW w:w="1653" w:type="pct"/>
            <w:hideMark/>
          </w:tcPr>
          <w:p w:rsidR="0025522E" w:rsidRPr="004C1013" w:rsidRDefault="0025522E" w:rsidP="0025522E">
            <w:pPr>
              <w:pStyle w:val="tabbielystyl"/>
            </w:pPr>
            <w:r w:rsidRPr="004C1013">
              <w:t>2014</w:t>
            </w:r>
          </w:p>
        </w:tc>
        <w:tc>
          <w:tcPr>
            <w:tcW w:w="1492" w:type="pct"/>
            <w:hideMark/>
          </w:tcPr>
          <w:p w:rsidR="0025522E" w:rsidRPr="004C1013" w:rsidRDefault="0025522E" w:rsidP="0025522E">
            <w:pPr>
              <w:pStyle w:val="tabbielystyl"/>
            </w:pPr>
            <w:r w:rsidRPr="004C1013">
              <w:t>8.</w:t>
            </w:r>
          </w:p>
        </w:tc>
        <w:tc>
          <w:tcPr>
            <w:tcW w:w="1855" w:type="pct"/>
            <w:vAlign w:val="bottom"/>
          </w:tcPr>
          <w:p w:rsidR="0025522E" w:rsidRPr="004C1013" w:rsidRDefault="0025522E" w:rsidP="0025522E">
            <w:pPr>
              <w:pStyle w:val="tabbielystyl"/>
            </w:pPr>
            <w:r w:rsidRPr="004C1013">
              <w:t>317,17</w:t>
            </w:r>
          </w:p>
        </w:tc>
      </w:tr>
      <w:tr w:rsidR="0025522E" w:rsidRPr="004C1013" w:rsidTr="00404B50">
        <w:trPr>
          <w:trHeight w:val="283"/>
        </w:trPr>
        <w:tc>
          <w:tcPr>
            <w:tcW w:w="1653" w:type="pct"/>
            <w:hideMark/>
          </w:tcPr>
          <w:p w:rsidR="0025522E" w:rsidRPr="004C1013" w:rsidRDefault="0025522E" w:rsidP="0025522E">
            <w:pPr>
              <w:pStyle w:val="tabbielystyl"/>
            </w:pPr>
            <w:r w:rsidRPr="004C1013">
              <w:t>2015</w:t>
            </w:r>
          </w:p>
        </w:tc>
        <w:tc>
          <w:tcPr>
            <w:tcW w:w="1492" w:type="pct"/>
            <w:hideMark/>
          </w:tcPr>
          <w:p w:rsidR="0025522E" w:rsidRPr="004C1013" w:rsidRDefault="0025522E" w:rsidP="0025522E">
            <w:pPr>
              <w:pStyle w:val="tabbielystyl"/>
            </w:pPr>
            <w:r w:rsidRPr="004C1013">
              <w:t>9.</w:t>
            </w:r>
          </w:p>
        </w:tc>
        <w:tc>
          <w:tcPr>
            <w:tcW w:w="1855" w:type="pct"/>
            <w:vAlign w:val="bottom"/>
          </w:tcPr>
          <w:p w:rsidR="0025522E" w:rsidRPr="004C1013" w:rsidRDefault="0025522E" w:rsidP="0025522E">
            <w:pPr>
              <w:pStyle w:val="tabbielystyl"/>
            </w:pPr>
            <w:r w:rsidRPr="004C1013">
              <w:t>356,92</w:t>
            </w:r>
          </w:p>
        </w:tc>
      </w:tr>
      <w:tr w:rsidR="0025522E" w:rsidRPr="004C1013" w:rsidTr="00404B50">
        <w:trPr>
          <w:trHeight w:val="283"/>
        </w:trPr>
        <w:tc>
          <w:tcPr>
            <w:tcW w:w="1653" w:type="pct"/>
            <w:hideMark/>
          </w:tcPr>
          <w:p w:rsidR="0025522E" w:rsidRPr="004C1013" w:rsidRDefault="0025522E" w:rsidP="0025522E">
            <w:pPr>
              <w:pStyle w:val="tabbielystyl"/>
            </w:pPr>
            <w:r w:rsidRPr="004C1013">
              <w:t>2016</w:t>
            </w:r>
          </w:p>
        </w:tc>
        <w:tc>
          <w:tcPr>
            <w:tcW w:w="1492" w:type="pct"/>
            <w:hideMark/>
          </w:tcPr>
          <w:p w:rsidR="0025522E" w:rsidRPr="004C1013" w:rsidRDefault="0025522E" w:rsidP="0025522E">
            <w:pPr>
              <w:pStyle w:val="tabbielystyl"/>
            </w:pPr>
            <w:r w:rsidRPr="004C1013">
              <w:t>10.</w:t>
            </w:r>
          </w:p>
        </w:tc>
        <w:tc>
          <w:tcPr>
            <w:tcW w:w="1855" w:type="pct"/>
            <w:vAlign w:val="bottom"/>
          </w:tcPr>
          <w:p w:rsidR="0025522E" w:rsidRPr="004C1013" w:rsidRDefault="0025522E" w:rsidP="0025522E">
            <w:pPr>
              <w:pStyle w:val="tabbielystyl"/>
            </w:pPr>
            <w:r w:rsidRPr="004C1013">
              <w:t>365,85</w:t>
            </w:r>
          </w:p>
        </w:tc>
      </w:tr>
      <w:tr w:rsidR="0025522E" w:rsidRPr="004C1013" w:rsidTr="00404B50">
        <w:trPr>
          <w:trHeight w:val="283"/>
        </w:trPr>
        <w:tc>
          <w:tcPr>
            <w:tcW w:w="1653" w:type="pct"/>
            <w:hideMark/>
          </w:tcPr>
          <w:p w:rsidR="0025522E" w:rsidRPr="004C1013" w:rsidRDefault="0025522E" w:rsidP="0025522E">
            <w:pPr>
              <w:pStyle w:val="tabbielystyl"/>
            </w:pPr>
            <w:r w:rsidRPr="004C1013">
              <w:t>2017</w:t>
            </w:r>
          </w:p>
        </w:tc>
        <w:tc>
          <w:tcPr>
            <w:tcW w:w="1492" w:type="pct"/>
            <w:hideMark/>
          </w:tcPr>
          <w:p w:rsidR="0025522E" w:rsidRPr="004C1013" w:rsidRDefault="0025522E" w:rsidP="0025522E">
            <w:pPr>
              <w:pStyle w:val="tabbielystyl"/>
            </w:pPr>
            <w:r w:rsidRPr="004C1013">
              <w:t>11.</w:t>
            </w:r>
          </w:p>
        </w:tc>
        <w:tc>
          <w:tcPr>
            <w:tcW w:w="1855" w:type="pct"/>
            <w:vAlign w:val="bottom"/>
          </w:tcPr>
          <w:p w:rsidR="0025522E" w:rsidRPr="004C1013" w:rsidRDefault="0025522E" w:rsidP="0025522E">
            <w:pPr>
              <w:pStyle w:val="tabbielystyl"/>
            </w:pPr>
            <w:r w:rsidRPr="004C1013">
              <w:t>395,27</w:t>
            </w:r>
          </w:p>
        </w:tc>
      </w:tr>
      <w:tr w:rsidR="0025522E" w:rsidRPr="004C1013" w:rsidTr="00404B50">
        <w:trPr>
          <w:trHeight w:val="283"/>
        </w:trPr>
        <w:tc>
          <w:tcPr>
            <w:tcW w:w="1653" w:type="pct"/>
            <w:hideMark/>
          </w:tcPr>
          <w:p w:rsidR="0025522E" w:rsidRPr="004C1013" w:rsidRDefault="0025522E" w:rsidP="0025522E">
            <w:pPr>
              <w:pStyle w:val="tabbielystyl"/>
            </w:pPr>
            <w:r w:rsidRPr="004C1013">
              <w:t>2018</w:t>
            </w:r>
          </w:p>
        </w:tc>
        <w:tc>
          <w:tcPr>
            <w:tcW w:w="1492" w:type="pct"/>
            <w:hideMark/>
          </w:tcPr>
          <w:p w:rsidR="0025522E" w:rsidRPr="004C1013" w:rsidRDefault="0025522E" w:rsidP="0025522E">
            <w:pPr>
              <w:pStyle w:val="tabbielystyl"/>
            </w:pPr>
            <w:r w:rsidRPr="004C1013">
              <w:t xml:space="preserve">12. </w:t>
            </w:r>
          </w:p>
        </w:tc>
        <w:tc>
          <w:tcPr>
            <w:tcW w:w="1855" w:type="pct"/>
            <w:vAlign w:val="bottom"/>
          </w:tcPr>
          <w:p w:rsidR="0025522E" w:rsidRPr="004C1013" w:rsidRDefault="0025522E" w:rsidP="0025522E">
            <w:pPr>
              <w:pStyle w:val="tabbielystyl"/>
            </w:pPr>
            <w:r w:rsidRPr="004C1013">
              <w:t>421,31</w:t>
            </w:r>
          </w:p>
        </w:tc>
      </w:tr>
      <w:tr w:rsidR="0025522E" w:rsidRPr="004C1013" w:rsidTr="00404B50">
        <w:trPr>
          <w:trHeight w:val="283"/>
        </w:trPr>
        <w:tc>
          <w:tcPr>
            <w:tcW w:w="3145"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55" w:type="pct"/>
            <w:shd w:val="clear" w:color="auto" w:fill="7F7F7F" w:themeFill="text1" w:themeFillTint="80"/>
            <w:vAlign w:val="bottom"/>
          </w:tcPr>
          <w:p w:rsidR="0025522E" w:rsidRPr="004C1013" w:rsidRDefault="0025522E" w:rsidP="0025522E">
            <w:pPr>
              <w:pStyle w:val="tabukasivystyl"/>
            </w:pPr>
            <w:r w:rsidRPr="004C1013">
              <w:t>3776,31</w:t>
            </w:r>
          </w:p>
        </w:tc>
      </w:tr>
      <w:tr w:rsidR="0025522E" w:rsidRPr="004C1013" w:rsidTr="00404B50">
        <w:trPr>
          <w:trHeight w:val="283"/>
        </w:trPr>
        <w:tc>
          <w:tcPr>
            <w:tcW w:w="3145"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855" w:type="pct"/>
            <w:shd w:val="clear" w:color="auto" w:fill="7F7F7F" w:themeFill="text1" w:themeFillTint="80"/>
            <w:vAlign w:val="bottom"/>
          </w:tcPr>
          <w:p w:rsidR="0025522E" w:rsidRPr="004C1013" w:rsidRDefault="0025522E" w:rsidP="0025522E">
            <w:pPr>
              <w:pStyle w:val="tabukasivystyl"/>
            </w:pPr>
            <w:r w:rsidRPr="004C1013">
              <w:t>314,69</w:t>
            </w:r>
          </w:p>
        </w:tc>
      </w:tr>
    </w:tbl>
    <w:p w:rsidR="0025522E" w:rsidRDefault="0025522E" w:rsidP="0025522E">
      <w:bookmarkStart w:id="133" w:name="_Toc20081965"/>
      <w:r w:rsidRPr="0025522E">
        <w:t xml:space="preserve">Náklady systému ETC uvádzané v správach NKÚ, správcu a prevádzkovateľa systému sa významne odlišujú. </w:t>
      </w:r>
      <w:r w:rsidR="007F1253">
        <w:t>Za prvých 5 rokov prevádzky predstavuje rozdiel v uvádzaných nákladoch až 190 až 200 mil.€, čo v priemere predstavuje približne 40 mil.</w:t>
      </w:r>
      <w:r w:rsidR="006C4461">
        <w:t xml:space="preserve"> </w:t>
      </w:r>
      <w:r w:rsidR="007F1253">
        <w:t xml:space="preserve">€ ročne. </w:t>
      </w:r>
      <w:r w:rsidRPr="0025522E">
        <w:t xml:space="preserve">Dôvodom je najmä odlišná štruktúra zahrnutých položiek nákladov do celkových nákladov systému. Správy NKÚ uvádzajú celkové náklady systému, v ktorých nie sú započítané náklady na výkon kontrolnej činnosti a náklady na telematické aplikácie [32], [33], [35].  V nákladoch uvádzaných ŘSD [36] a tlačovej správe citujúcej údaje prevádzkovateľa systému [37] nie sú uvádzané náklady na telematiku, líniové riadenie na D1 a satelitné rozhranie, poprípade ďalšie nešpecifikované položky nákladov. </w:t>
      </w:r>
    </w:p>
    <w:p w:rsidR="0025522E" w:rsidRPr="0025522E" w:rsidRDefault="0025522E" w:rsidP="0025522E">
      <w:r w:rsidRPr="0025522E">
        <w:t xml:space="preserve">Vzhľadom na to, že riešiteľský kolektív považuje oficiálne údaje uvádzané NKÚ za najhodnovernejšie a ktorých pravdivosť súčasne potvrdilo MD ČR vo svojom stanovisku [34] ako aj vláda ČR svojim uznesením, pri kalkulácií nákladov systému ETC vychádzal primárne z uvádzaných nákladov systému v rokoch 2007 až 2011 [31], [32], [33] a kumulovaných nákladov systému za zmluvných 10 rokov prevádzky [34], ktoré predstavovali spolu približne 918,63 </w:t>
      </w:r>
      <w:r w:rsidR="003202AC">
        <w:t xml:space="preserve">mil. </w:t>
      </w:r>
      <w:r w:rsidRPr="0025522E">
        <w:t>€, z čoho 207,50</w:t>
      </w:r>
      <w:r w:rsidR="003202AC">
        <w:t xml:space="preserve"> mil. </w:t>
      </w:r>
      <w:r w:rsidRPr="0025522E">
        <w:t xml:space="preserve">€ tvorili celkové investičné náklady a 711,13 </w:t>
      </w:r>
      <w:r w:rsidR="003202AC">
        <w:t xml:space="preserve">mil. </w:t>
      </w:r>
      <w:r w:rsidRPr="0025522E">
        <w:t xml:space="preserve">€ prevádzkové náklady systému. </w:t>
      </w:r>
    </w:p>
    <w:p w:rsidR="0025522E" w:rsidRPr="0025522E" w:rsidRDefault="0025522E" w:rsidP="0025522E">
      <w:r w:rsidRPr="0025522E">
        <w:t>Chýbajúce údaje za roky 2012 až 2016 boli dopočítané extrapoláciou na základe hodnôt údajov [32], [37] tak, aby bola dodržaná výška kumulovaných nákladov za roky 2007 až 2016 podľa [34]. Suma vyčíslených nákladov za roky 2017 a 2018 bola prevzatá z tlačových správ odkazujúcich sa na údaje prevádzkovateľa systému [38], [39]. Zníženie nákladov systému v týchto rokoch prevádzky bolo jednou z požiadaviek správcu pri predĺžení zmluvy s jej prevádzkovateľom (</w:t>
      </w:r>
      <w:r w:rsidR="00C40D3F">
        <w:fldChar w:fldCharType="begin"/>
      </w:r>
      <w:r w:rsidR="00C40D3F">
        <w:instrText xml:space="preserve"> REF _Ref20392354 \h  \* MERGEFORMAT </w:instrText>
      </w:r>
      <w:r w:rsidR="00C40D3F">
        <w:fldChar w:fldCharType="separate"/>
      </w:r>
      <w:r w:rsidR="001E4C1C" w:rsidRPr="004C1013">
        <w:t xml:space="preserve">Tab.  </w:t>
      </w:r>
      <w:r w:rsidR="001E4C1C">
        <w:t>1</w:t>
      </w:r>
      <w:r w:rsidR="001E4C1C">
        <w:noBreakHyphen/>
        <w:t>31</w:t>
      </w:r>
      <w:r w:rsidR="00C40D3F">
        <w:fldChar w:fldCharType="end"/>
      </w:r>
      <w:r w:rsidRPr="0025522E">
        <w:t xml:space="preserve">). </w:t>
      </w:r>
    </w:p>
    <w:p w:rsidR="0025522E" w:rsidRPr="004C1013" w:rsidRDefault="0025522E" w:rsidP="006B1C25">
      <w:pPr>
        <w:pStyle w:val="tabstyl"/>
      </w:pPr>
      <w:bookmarkStart w:id="134" w:name="_Ref20392354"/>
      <w:bookmarkStart w:id="135" w:name="_Toc36664473"/>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31</w:t>
      </w:r>
      <w:r w:rsidR="00C40D3F">
        <w:rPr>
          <w:noProof/>
        </w:rPr>
        <w:fldChar w:fldCharType="end"/>
      </w:r>
      <w:bookmarkEnd w:id="134"/>
      <w:r w:rsidRPr="004C1013">
        <w:t xml:space="preserve"> </w:t>
      </w:r>
      <w:r w:rsidRPr="004C1013">
        <w:tab/>
        <w:t>Česká republika: ETC indikátor 4. Náklady</w:t>
      </w:r>
      <w:bookmarkEnd w:id="133"/>
      <w:bookmarkEnd w:id="135"/>
    </w:p>
    <w:tbl>
      <w:tblPr>
        <w:tblStyle w:val="tabulkaVUD"/>
        <w:tblW w:w="5000" w:type="pct"/>
        <w:tblLook w:val="04A0" w:firstRow="1" w:lastRow="0" w:firstColumn="1" w:lastColumn="0" w:noHBand="0" w:noVBand="1"/>
      </w:tblPr>
      <w:tblGrid>
        <w:gridCol w:w="3100"/>
        <w:gridCol w:w="2797"/>
        <w:gridCol w:w="3514"/>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766"/>
          <w:tblHeader/>
        </w:trPr>
        <w:tc>
          <w:tcPr>
            <w:tcW w:w="1647" w:type="pct"/>
            <w:shd w:val="clear" w:color="auto" w:fill="7F7F7F" w:themeFill="text1" w:themeFillTint="80"/>
            <w:hideMark/>
          </w:tcPr>
          <w:p w:rsidR="0025522E" w:rsidRPr="004C1013" w:rsidRDefault="0025522E" w:rsidP="009D58D5">
            <w:pPr>
              <w:pStyle w:val="zahltab"/>
            </w:pPr>
            <w:r w:rsidRPr="004C1013">
              <w:t>Kalendárny rok</w:t>
            </w:r>
          </w:p>
        </w:tc>
        <w:tc>
          <w:tcPr>
            <w:tcW w:w="1486" w:type="pct"/>
            <w:hideMark/>
          </w:tcPr>
          <w:p w:rsidR="0025522E" w:rsidRPr="004C1013" w:rsidRDefault="0025522E" w:rsidP="009D58D5">
            <w:pPr>
              <w:pStyle w:val="zahltab"/>
            </w:pPr>
            <w:r w:rsidRPr="004C1013">
              <w:t>Rok prevádzky</w:t>
            </w:r>
          </w:p>
        </w:tc>
        <w:tc>
          <w:tcPr>
            <w:tcW w:w="1867" w:type="pct"/>
          </w:tcPr>
          <w:p w:rsidR="0025522E" w:rsidRPr="004C1013" w:rsidRDefault="0025522E" w:rsidP="009D58D5">
            <w:pPr>
              <w:pStyle w:val="zahltab"/>
            </w:pPr>
            <w:r w:rsidRPr="004C1013">
              <w:t>Náklady (mil. €)</w:t>
            </w:r>
          </w:p>
        </w:tc>
      </w:tr>
      <w:tr w:rsidR="0025522E" w:rsidRPr="004C1013" w:rsidTr="00404B50">
        <w:trPr>
          <w:trHeight w:val="283"/>
        </w:trPr>
        <w:tc>
          <w:tcPr>
            <w:tcW w:w="1647" w:type="pct"/>
            <w:hideMark/>
          </w:tcPr>
          <w:p w:rsidR="0025522E" w:rsidRPr="004C1013" w:rsidRDefault="0025522E" w:rsidP="0025522E">
            <w:pPr>
              <w:pStyle w:val="tabbielystyl"/>
            </w:pPr>
            <w:r w:rsidRPr="004C1013">
              <w:t>2007</w:t>
            </w:r>
          </w:p>
        </w:tc>
        <w:tc>
          <w:tcPr>
            <w:tcW w:w="1486" w:type="pct"/>
            <w:hideMark/>
          </w:tcPr>
          <w:p w:rsidR="0025522E" w:rsidRPr="004C1013" w:rsidRDefault="0025522E" w:rsidP="0025522E">
            <w:pPr>
              <w:pStyle w:val="tabbielystyl"/>
            </w:pPr>
            <w:r w:rsidRPr="004C1013">
              <w:t>1.</w:t>
            </w:r>
          </w:p>
        </w:tc>
        <w:tc>
          <w:tcPr>
            <w:tcW w:w="1867" w:type="pct"/>
            <w:vAlign w:val="bottom"/>
          </w:tcPr>
          <w:p w:rsidR="0025522E" w:rsidRPr="004C1013" w:rsidRDefault="0025522E" w:rsidP="0025522E">
            <w:pPr>
              <w:pStyle w:val="tabbielystyl"/>
            </w:pPr>
            <w:r w:rsidRPr="004C1013">
              <w:t>68,91</w:t>
            </w:r>
          </w:p>
        </w:tc>
      </w:tr>
      <w:tr w:rsidR="0025522E" w:rsidRPr="004C1013" w:rsidTr="00404B50">
        <w:trPr>
          <w:trHeight w:val="283"/>
        </w:trPr>
        <w:tc>
          <w:tcPr>
            <w:tcW w:w="1647" w:type="pct"/>
            <w:hideMark/>
          </w:tcPr>
          <w:p w:rsidR="0025522E" w:rsidRPr="004C1013" w:rsidRDefault="0025522E" w:rsidP="0025522E">
            <w:pPr>
              <w:pStyle w:val="tabbielystyl"/>
            </w:pPr>
            <w:r w:rsidRPr="004C1013">
              <w:t>2008</w:t>
            </w:r>
          </w:p>
        </w:tc>
        <w:tc>
          <w:tcPr>
            <w:tcW w:w="1486" w:type="pct"/>
            <w:hideMark/>
          </w:tcPr>
          <w:p w:rsidR="0025522E" w:rsidRPr="004C1013" w:rsidRDefault="0025522E" w:rsidP="0025522E">
            <w:pPr>
              <w:pStyle w:val="tabbielystyl"/>
            </w:pPr>
            <w:r w:rsidRPr="004C1013">
              <w:t>2.</w:t>
            </w:r>
          </w:p>
        </w:tc>
        <w:tc>
          <w:tcPr>
            <w:tcW w:w="1867" w:type="pct"/>
            <w:vAlign w:val="bottom"/>
          </w:tcPr>
          <w:p w:rsidR="0025522E" w:rsidRPr="004C1013" w:rsidRDefault="0025522E" w:rsidP="0025522E">
            <w:pPr>
              <w:pStyle w:val="tabbielystyl"/>
            </w:pPr>
            <w:r w:rsidRPr="004C1013">
              <w:t>137,36</w:t>
            </w:r>
          </w:p>
        </w:tc>
      </w:tr>
      <w:tr w:rsidR="0025522E" w:rsidRPr="004C1013" w:rsidTr="00404B50">
        <w:trPr>
          <w:trHeight w:val="283"/>
        </w:trPr>
        <w:tc>
          <w:tcPr>
            <w:tcW w:w="1647" w:type="pct"/>
            <w:hideMark/>
          </w:tcPr>
          <w:p w:rsidR="0025522E" w:rsidRPr="004C1013" w:rsidRDefault="0025522E" w:rsidP="0025522E">
            <w:pPr>
              <w:pStyle w:val="tabbielystyl"/>
            </w:pPr>
            <w:r w:rsidRPr="004C1013">
              <w:t>2009</w:t>
            </w:r>
          </w:p>
        </w:tc>
        <w:tc>
          <w:tcPr>
            <w:tcW w:w="1486" w:type="pct"/>
            <w:hideMark/>
          </w:tcPr>
          <w:p w:rsidR="0025522E" w:rsidRPr="004C1013" w:rsidRDefault="0025522E" w:rsidP="0025522E">
            <w:pPr>
              <w:pStyle w:val="tabbielystyl"/>
            </w:pPr>
            <w:r w:rsidRPr="004C1013">
              <w:t>3.</w:t>
            </w:r>
          </w:p>
        </w:tc>
        <w:tc>
          <w:tcPr>
            <w:tcW w:w="1867" w:type="pct"/>
            <w:vAlign w:val="bottom"/>
          </w:tcPr>
          <w:p w:rsidR="0025522E" w:rsidRPr="004C1013" w:rsidRDefault="0025522E" w:rsidP="0025522E">
            <w:pPr>
              <w:pStyle w:val="tabbielystyl"/>
            </w:pPr>
            <w:r w:rsidRPr="004C1013">
              <w:t>179,80</w:t>
            </w:r>
          </w:p>
        </w:tc>
      </w:tr>
      <w:tr w:rsidR="0025522E" w:rsidRPr="004C1013" w:rsidTr="00404B50">
        <w:trPr>
          <w:trHeight w:val="283"/>
        </w:trPr>
        <w:tc>
          <w:tcPr>
            <w:tcW w:w="1647" w:type="pct"/>
            <w:hideMark/>
          </w:tcPr>
          <w:p w:rsidR="0025522E" w:rsidRPr="004C1013" w:rsidRDefault="0025522E" w:rsidP="0025522E">
            <w:pPr>
              <w:pStyle w:val="tabbielystyl"/>
            </w:pPr>
            <w:r w:rsidRPr="004C1013">
              <w:t>2010</w:t>
            </w:r>
          </w:p>
        </w:tc>
        <w:tc>
          <w:tcPr>
            <w:tcW w:w="1486" w:type="pct"/>
            <w:hideMark/>
          </w:tcPr>
          <w:p w:rsidR="0025522E" w:rsidRPr="004C1013" w:rsidRDefault="0025522E" w:rsidP="0025522E">
            <w:pPr>
              <w:pStyle w:val="tabbielystyl"/>
            </w:pPr>
            <w:r w:rsidRPr="004C1013">
              <w:t>4.</w:t>
            </w:r>
          </w:p>
        </w:tc>
        <w:tc>
          <w:tcPr>
            <w:tcW w:w="1867" w:type="pct"/>
            <w:vAlign w:val="bottom"/>
          </w:tcPr>
          <w:p w:rsidR="0025522E" w:rsidRPr="004C1013" w:rsidRDefault="0025522E" w:rsidP="0025522E">
            <w:pPr>
              <w:pStyle w:val="tabbielystyl"/>
            </w:pPr>
            <w:r w:rsidRPr="004C1013">
              <w:t>109,10</w:t>
            </w:r>
          </w:p>
        </w:tc>
      </w:tr>
      <w:tr w:rsidR="0025522E" w:rsidRPr="004C1013" w:rsidTr="00404B50">
        <w:trPr>
          <w:trHeight w:val="283"/>
        </w:trPr>
        <w:tc>
          <w:tcPr>
            <w:tcW w:w="1647" w:type="pct"/>
            <w:hideMark/>
          </w:tcPr>
          <w:p w:rsidR="0025522E" w:rsidRPr="004C1013" w:rsidRDefault="0025522E" w:rsidP="0025522E">
            <w:pPr>
              <w:pStyle w:val="tabbielystyl"/>
            </w:pPr>
            <w:r w:rsidRPr="004C1013">
              <w:t>2011</w:t>
            </w:r>
          </w:p>
        </w:tc>
        <w:tc>
          <w:tcPr>
            <w:tcW w:w="1486" w:type="pct"/>
            <w:hideMark/>
          </w:tcPr>
          <w:p w:rsidR="0025522E" w:rsidRPr="004C1013" w:rsidRDefault="0025522E" w:rsidP="0025522E">
            <w:pPr>
              <w:pStyle w:val="tabbielystyl"/>
            </w:pPr>
            <w:r w:rsidRPr="004C1013">
              <w:t>5.</w:t>
            </w:r>
          </w:p>
        </w:tc>
        <w:tc>
          <w:tcPr>
            <w:tcW w:w="1867" w:type="pct"/>
            <w:vAlign w:val="bottom"/>
          </w:tcPr>
          <w:p w:rsidR="0025522E" w:rsidRPr="004C1013" w:rsidRDefault="0025522E" w:rsidP="0025522E">
            <w:pPr>
              <w:pStyle w:val="tabbielystyl"/>
            </w:pPr>
            <w:r w:rsidRPr="004C1013">
              <w:t>106,68</w:t>
            </w:r>
          </w:p>
        </w:tc>
      </w:tr>
      <w:tr w:rsidR="0025522E" w:rsidRPr="004C1013" w:rsidTr="00404B50">
        <w:trPr>
          <w:trHeight w:val="283"/>
        </w:trPr>
        <w:tc>
          <w:tcPr>
            <w:tcW w:w="1647" w:type="pct"/>
            <w:hideMark/>
          </w:tcPr>
          <w:p w:rsidR="0025522E" w:rsidRPr="004C1013" w:rsidRDefault="0025522E" w:rsidP="0025522E">
            <w:pPr>
              <w:pStyle w:val="tabbielystyl"/>
            </w:pPr>
            <w:r w:rsidRPr="004C1013">
              <w:t>2012</w:t>
            </w:r>
          </w:p>
        </w:tc>
        <w:tc>
          <w:tcPr>
            <w:tcW w:w="1486" w:type="pct"/>
            <w:hideMark/>
          </w:tcPr>
          <w:p w:rsidR="0025522E" w:rsidRPr="004C1013" w:rsidRDefault="0025522E" w:rsidP="0025522E">
            <w:pPr>
              <w:pStyle w:val="tabbielystyl"/>
            </w:pPr>
            <w:r w:rsidRPr="004C1013">
              <w:t>6.</w:t>
            </w:r>
          </w:p>
        </w:tc>
        <w:tc>
          <w:tcPr>
            <w:tcW w:w="1867" w:type="pct"/>
            <w:vAlign w:val="bottom"/>
          </w:tcPr>
          <w:p w:rsidR="0025522E" w:rsidRPr="004C1013" w:rsidRDefault="0025522E" w:rsidP="0025522E">
            <w:pPr>
              <w:pStyle w:val="tabbielystyl"/>
            </w:pPr>
            <w:r w:rsidRPr="004C1013">
              <w:t>64,09</w:t>
            </w:r>
          </w:p>
        </w:tc>
      </w:tr>
      <w:tr w:rsidR="0025522E" w:rsidRPr="004C1013" w:rsidTr="00404B50">
        <w:trPr>
          <w:trHeight w:val="283"/>
        </w:trPr>
        <w:tc>
          <w:tcPr>
            <w:tcW w:w="1647" w:type="pct"/>
            <w:hideMark/>
          </w:tcPr>
          <w:p w:rsidR="0025522E" w:rsidRPr="004C1013" w:rsidRDefault="0025522E" w:rsidP="0025522E">
            <w:pPr>
              <w:pStyle w:val="tabbielystyl"/>
            </w:pPr>
            <w:r w:rsidRPr="004C1013">
              <w:t>2013</w:t>
            </w:r>
          </w:p>
        </w:tc>
        <w:tc>
          <w:tcPr>
            <w:tcW w:w="1486" w:type="pct"/>
            <w:hideMark/>
          </w:tcPr>
          <w:p w:rsidR="0025522E" w:rsidRPr="004C1013" w:rsidRDefault="0025522E" w:rsidP="0025522E">
            <w:pPr>
              <w:pStyle w:val="tabbielystyl"/>
            </w:pPr>
            <w:r w:rsidRPr="004C1013">
              <w:t>7.</w:t>
            </w:r>
          </w:p>
        </w:tc>
        <w:tc>
          <w:tcPr>
            <w:tcW w:w="1867" w:type="pct"/>
            <w:vAlign w:val="bottom"/>
          </w:tcPr>
          <w:p w:rsidR="0025522E" w:rsidRPr="004C1013" w:rsidRDefault="0025522E" w:rsidP="0025522E">
            <w:pPr>
              <w:pStyle w:val="tabbielystyl"/>
            </w:pPr>
            <w:r w:rsidRPr="004C1013">
              <w:t>68,21</w:t>
            </w:r>
          </w:p>
        </w:tc>
      </w:tr>
      <w:tr w:rsidR="0025522E" w:rsidRPr="004C1013" w:rsidTr="00404B50">
        <w:trPr>
          <w:trHeight w:val="283"/>
        </w:trPr>
        <w:tc>
          <w:tcPr>
            <w:tcW w:w="1647" w:type="pct"/>
            <w:hideMark/>
          </w:tcPr>
          <w:p w:rsidR="0025522E" w:rsidRPr="004C1013" w:rsidRDefault="0025522E" w:rsidP="0025522E">
            <w:pPr>
              <w:pStyle w:val="tabbielystyl"/>
            </w:pPr>
            <w:r w:rsidRPr="004C1013">
              <w:t>2014</w:t>
            </w:r>
          </w:p>
        </w:tc>
        <w:tc>
          <w:tcPr>
            <w:tcW w:w="1486" w:type="pct"/>
            <w:hideMark/>
          </w:tcPr>
          <w:p w:rsidR="0025522E" w:rsidRPr="004C1013" w:rsidRDefault="0025522E" w:rsidP="0025522E">
            <w:pPr>
              <w:pStyle w:val="tabbielystyl"/>
            </w:pPr>
            <w:r w:rsidRPr="004C1013">
              <w:t>8.</w:t>
            </w:r>
          </w:p>
        </w:tc>
        <w:tc>
          <w:tcPr>
            <w:tcW w:w="1867" w:type="pct"/>
            <w:vAlign w:val="bottom"/>
          </w:tcPr>
          <w:p w:rsidR="0025522E" w:rsidRPr="004C1013" w:rsidRDefault="0025522E" w:rsidP="0025522E">
            <w:pPr>
              <w:pStyle w:val="tabbielystyl"/>
            </w:pPr>
            <w:r w:rsidRPr="004C1013">
              <w:t>66,08</w:t>
            </w:r>
          </w:p>
        </w:tc>
      </w:tr>
      <w:tr w:rsidR="0025522E" w:rsidRPr="004C1013" w:rsidTr="00404B50">
        <w:trPr>
          <w:trHeight w:val="283"/>
        </w:trPr>
        <w:tc>
          <w:tcPr>
            <w:tcW w:w="1647" w:type="pct"/>
            <w:hideMark/>
          </w:tcPr>
          <w:p w:rsidR="0025522E" w:rsidRPr="004C1013" w:rsidRDefault="0025522E" w:rsidP="0025522E">
            <w:pPr>
              <w:pStyle w:val="tabbielystyl"/>
            </w:pPr>
            <w:r w:rsidRPr="004C1013">
              <w:t>2015</w:t>
            </w:r>
          </w:p>
        </w:tc>
        <w:tc>
          <w:tcPr>
            <w:tcW w:w="1486" w:type="pct"/>
            <w:hideMark/>
          </w:tcPr>
          <w:p w:rsidR="0025522E" w:rsidRPr="004C1013" w:rsidRDefault="0025522E" w:rsidP="0025522E">
            <w:pPr>
              <w:pStyle w:val="tabbielystyl"/>
            </w:pPr>
            <w:r w:rsidRPr="004C1013">
              <w:t>9.</w:t>
            </w:r>
          </w:p>
        </w:tc>
        <w:tc>
          <w:tcPr>
            <w:tcW w:w="1867" w:type="pct"/>
            <w:vAlign w:val="bottom"/>
          </w:tcPr>
          <w:p w:rsidR="0025522E" w:rsidRPr="004C1013" w:rsidRDefault="0025522E" w:rsidP="0025522E">
            <w:pPr>
              <w:pStyle w:val="tabbielystyl"/>
            </w:pPr>
            <w:r w:rsidRPr="004C1013">
              <w:t>63,85</w:t>
            </w:r>
          </w:p>
        </w:tc>
      </w:tr>
      <w:tr w:rsidR="0025522E" w:rsidRPr="004C1013" w:rsidTr="00404B50">
        <w:trPr>
          <w:trHeight w:val="283"/>
        </w:trPr>
        <w:tc>
          <w:tcPr>
            <w:tcW w:w="1647" w:type="pct"/>
            <w:hideMark/>
          </w:tcPr>
          <w:p w:rsidR="0025522E" w:rsidRPr="004C1013" w:rsidRDefault="0025522E" w:rsidP="0025522E">
            <w:pPr>
              <w:pStyle w:val="tabbielystyl"/>
            </w:pPr>
            <w:r w:rsidRPr="004C1013">
              <w:t>2016</w:t>
            </w:r>
          </w:p>
        </w:tc>
        <w:tc>
          <w:tcPr>
            <w:tcW w:w="1486" w:type="pct"/>
            <w:hideMark/>
          </w:tcPr>
          <w:p w:rsidR="0025522E" w:rsidRPr="004C1013" w:rsidRDefault="0025522E" w:rsidP="0025522E">
            <w:pPr>
              <w:pStyle w:val="tabbielystyl"/>
            </w:pPr>
            <w:r w:rsidRPr="004C1013">
              <w:t>10.</w:t>
            </w:r>
          </w:p>
        </w:tc>
        <w:tc>
          <w:tcPr>
            <w:tcW w:w="1867" w:type="pct"/>
            <w:vAlign w:val="bottom"/>
          </w:tcPr>
          <w:p w:rsidR="0025522E" w:rsidRPr="004C1013" w:rsidRDefault="0025522E" w:rsidP="0025522E">
            <w:pPr>
              <w:pStyle w:val="tabbielystyl"/>
            </w:pPr>
            <w:r w:rsidRPr="004C1013">
              <w:t>60,87</w:t>
            </w:r>
          </w:p>
        </w:tc>
      </w:tr>
      <w:tr w:rsidR="0025522E" w:rsidRPr="004C1013" w:rsidTr="00404B50">
        <w:trPr>
          <w:trHeight w:val="283"/>
        </w:trPr>
        <w:tc>
          <w:tcPr>
            <w:tcW w:w="1647" w:type="pct"/>
            <w:hideMark/>
          </w:tcPr>
          <w:p w:rsidR="0025522E" w:rsidRPr="004C1013" w:rsidRDefault="0025522E" w:rsidP="0025522E">
            <w:pPr>
              <w:pStyle w:val="tabbielystyl"/>
            </w:pPr>
            <w:r w:rsidRPr="004C1013">
              <w:t>2017</w:t>
            </w:r>
          </w:p>
        </w:tc>
        <w:tc>
          <w:tcPr>
            <w:tcW w:w="1486" w:type="pct"/>
            <w:hideMark/>
          </w:tcPr>
          <w:p w:rsidR="0025522E" w:rsidRPr="004C1013" w:rsidRDefault="0025522E" w:rsidP="0025522E">
            <w:pPr>
              <w:pStyle w:val="tabbielystyl"/>
            </w:pPr>
            <w:r w:rsidRPr="004C1013">
              <w:t>11.</w:t>
            </w:r>
          </w:p>
        </w:tc>
        <w:tc>
          <w:tcPr>
            <w:tcW w:w="1867" w:type="pct"/>
            <w:vAlign w:val="bottom"/>
          </w:tcPr>
          <w:p w:rsidR="0025522E" w:rsidRPr="004C1013" w:rsidRDefault="0025522E" w:rsidP="0025522E">
            <w:pPr>
              <w:pStyle w:val="tabbielystyl"/>
            </w:pPr>
            <w:r w:rsidRPr="004C1013">
              <w:t>57,94</w:t>
            </w:r>
          </w:p>
        </w:tc>
      </w:tr>
      <w:tr w:rsidR="0025522E" w:rsidRPr="004C1013" w:rsidTr="00404B50">
        <w:trPr>
          <w:trHeight w:val="283"/>
        </w:trPr>
        <w:tc>
          <w:tcPr>
            <w:tcW w:w="1647" w:type="pct"/>
            <w:hideMark/>
          </w:tcPr>
          <w:p w:rsidR="0025522E" w:rsidRPr="004C1013" w:rsidRDefault="0025522E" w:rsidP="0025522E">
            <w:pPr>
              <w:pStyle w:val="tabbielystyl"/>
            </w:pPr>
            <w:r w:rsidRPr="004C1013">
              <w:t>2018</w:t>
            </w:r>
          </w:p>
        </w:tc>
        <w:tc>
          <w:tcPr>
            <w:tcW w:w="1486" w:type="pct"/>
            <w:hideMark/>
          </w:tcPr>
          <w:p w:rsidR="0025522E" w:rsidRPr="004C1013" w:rsidRDefault="0025522E" w:rsidP="0025522E">
            <w:pPr>
              <w:pStyle w:val="tabbielystyl"/>
            </w:pPr>
            <w:r w:rsidRPr="004C1013">
              <w:t xml:space="preserve">12. </w:t>
            </w:r>
          </w:p>
        </w:tc>
        <w:tc>
          <w:tcPr>
            <w:tcW w:w="1867" w:type="pct"/>
            <w:vAlign w:val="bottom"/>
          </w:tcPr>
          <w:p w:rsidR="0025522E" w:rsidRPr="004C1013" w:rsidRDefault="0025522E" w:rsidP="0025522E">
            <w:pPr>
              <w:pStyle w:val="tabbielystyl"/>
            </w:pPr>
            <w:r w:rsidRPr="004C1013">
              <w:t>58,49</w:t>
            </w:r>
          </w:p>
        </w:tc>
      </w:tr>
      <w:tr w:rsidR="0025522E" w:rsidRPr="004C1013" w:rsidTr="00404B50">
        <w:trPr>
          <w:trHeight w:val="283"/>
        </w:trPr>
        <w:tc>
          <w:tcPr>
            <w:tcW w:w="3133"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67" w:type="pct"/>
            <w:shd w:val="clear" w:color="auto" w:fill="7F7F7F" w:themeFill="text1" w:themeFillTint="80"/>
            <w:vAlign w:val="bottom"/>
          </w:tcPr>
          <w:p w:rsidR="0025522E" w:rsidRPr="004C1013" w:rsidRDefault="0025522E" w:rsidP="0025522E">
            <w:pPr>
              <w:pStyle w:val="tabukasivystyl"/>
            </w:pPr>
            <w:r w:rsidRPr="004C1013">
              <w:t>1041,39</w:t>
            </w:r>
          </w:p>
        </w:tc>
      </w:tr>
      <w:tr w:rsidR="0025522E" w:rsidRPr="004C1013" w:rsidTr="00404B50">
        <w:trPr>
          <w:trHeight w:val="283"/>
        </w:trPr>
        <w:tc>
          <w:tcPr>
            <w:tcW w:w="3133"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867" w:type="pct"/>
            <w:shd w:val="clear" w:color="auto" w:fill="7F7F7F" w:themeFill="text1" w:themeFillTint="80"/>
            <w:vAlign w:val="bottom"/>
          </w:tcPr>
          <w:p w:rsidR="0025522E" w:rsidRPr="004C1013" w:rsidRDefault="0025522E" w:rsidP="0025522E">
            <w:pPr>
              <w:pStyle w:val="tabukasivystyl"/>
            </w:pPr>
            <w:r w:rsidRPr="004C1013">
              <w:t>86,78</w:t>
            </w:r>
          </w:p>
        </w:tc>
      </w:tr>
    </w:tbl>
    <w:p w:rsidR="0025522E" w:rsidRPr="004C1013" w:rsidRDefault="0025522E" w:rsidP="0025522E">
      <w:pPr>
        <w:pStyle w:val="Nadpis2"/>
        <w:rPr>
          <w:rFonts w:asciiTheme="minorHAnsi" w:hAnsiTheme="minorHAnsi" w:cstheme="minorHAnsi"/>
        </w:rPr>
      </w:pPr>
      <w:bookmarkStart w:id="136" w:name="_Toc20687938"/>
      <w:bookmarkStart w:id="137" w:name="_Toc36664381"/>
      <w:r w:rsidRPr="004C1013">
        <w:rPr>
          <w:rFonts w:asciiTheme="minorHAnsi" w:hAnsiTheme="minorHAnsi" w:cstheme="minorHAnsi"/>
        </w:rPr>
        <w:t>Poľsko</w:t>
      </w:r>
      <w:bookmarkEnd w:id="136"/>
      <w:bookmarkEnd w:id="137"/>
    </w:p>
    <w:p w:rsidR="0025522E" w:rsidRPr="004C1013" w:rsidRDefault="0025522E" w:rsidP="0025522E">
      <w:pPr>
        <w:pStyle w:val="Nadpis3"/>
        <w:rPr>
          <w:rFonts w:asciiTheme="minorHAnsi" w:hAnsiTheme="minorHAnsi" w:cstheme="minorHAnsi"/>
        </w:rPr>
      </w:pPr>
      <w:bookmarkStart w:id="138" w:name="_Toc20687939"/>
      <w:bookmarkStart w:id="139" w:name="_Toc36664382"/>
      <w:r w:rsidRPr="004C1013">
        <w:rPr>
          <w:rFonts w:asciiTheme="minorHAnsi" w:hAnsiTheme="minorHAnsi" w:cstheme="minorHAnsi"/>
        </w:rPr>
        <w:t>Základné charakteristiky systému ETC</w:t>
      </w:r>
      <w:bookmarkEnd w:id="138"/>
      <w:bookmarkEnd w:id="139"/>
    </w:p>
    <w:p w:rsidR="0025522E" w:rsidRPr="004C1013" w:rsidRDefault="0025522E" w:rsidP="0025522E">
      <w:r w:rsidRPr="004C1013">
        <w:t>Systém ETC (viaTOLL) je v Poľsku prevádzkovaný od 1. júla 2011. Správcom systému je spoločnosť GDDKiA - Generálne riaditeľstvo pre národné cesty a diaľnice. Prevádzkovaním systému ETC bola na základe zmluvy z 2. novembra 2010 poverená spoločnosť Kapsch Telematic Services. Zmluva bola platná do 2. novembra 2018.</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Elektronický výber mýta v Poľsku sa vykonáva prostredníctvom zariadenia viaBOX. Systém využíva technológiu DSRC.  Povinnými vozidlami podliehajúcim plateniu mýta za užívanie vymedzených úsekov ciest sú v Poľsku nákladné vozidla s hmotnosťou nad 3,5 tony vrátane autobusov.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Okrem systému viaTOLL fungujú v Poľsku dva ďalšie systémy elektronického výberu mýta, a to na diaľničných úsekoch spravovaných súkromnými koncesionármi </w:t>
      </w:r>
      <w:r w:rsidRPr="00E442EA">
        <w:rPr>
          <w:rFonts w:asciiTheme="minorHAnsi" w:hAnsiTheme="minorHAnsi" w:cstheme="minorHAnsi"/>
        </w:rPr>
        <w:t>[42], [43]</w:t>
      </w:r>
      <w:r w:rsidRPr="004C1013">
        <w:rPr>
          <w:rFonts w:asciiTheme="minorHAnsi" w:hAnsiTheme="minorHAnsi" w:cstheme="minorHAnsi"/>
        </w:rPr>
        <w:t>:</w:t>
      </w:r>
    </w:p>
    <w:p w:rsidR="0025522E" w:rsidRPr="004C1013" w:rsidRDefault="0025522E" w:rsidP="002812CC">
      <w:pPr>
        <w:pStyle w:val="Normaltext"/>
        <w:numPr>
          <w:ilvl w:val="0"/>
          <w:numId w:val="24"/>
        </w:numPr>
        <w:spacing w:line="276" w:lineRule="auto"/>
        <w:rPr>
          <w:rFonts w:asciiTheme="minorHAnsi" w:hAnsiTheme="minorHAnsi" w:cstheme="minorHAnsi"/>
        </w:rPr>
      </w:pPr>
      <w:r w:rsidRPr="004C1013">
        <w:rPr>
          <w:rFonts w:asciiTheme="minorHAnsi" w:hAnsiTheme="minorHAnsi" w:cstheme="minorHAnsi"/>
        </w:rPr>
        <w:t>na diaľnici A1 (úsek: Toruń-Gdansk), koncesionárom je dopravná spoločnosť v Gdansku (152 km),</w:t>
      </w:r>
    </w:p>
    <w:p w:rsidR="0025522E" w:rsidRDefault="0025522E" w:rsidP="002812CC">
      <w:pPr>
        <w:pStyle w:val="Normaltext"/>
        <w:numPr>
          <w:ilvl w:val="0"/>
          <w:numId w:val="24"/>
        </w:numPr>
        <w:rPr>
          <w:rFonts w:asciiTheme="minorHAnsi" w:hAnsiTheme="minorHAnsi" w:cstheme="minorHAnsi"/>
        </w:rPr>
      </w:pPr>
      <w:r w:rsidRPr="004C1013">
        <w:rPr>
          <w:rFonts w:asciiTheme="minorHAnsi" w:hAnsiTheme="minorHAnsi" w:cstheme="minorHAnsi"/>
        </w:rPr>
        <w:t>na diaľnici A4 (úsek: Kraków-Katowice), držiteľom licencie je Stalexport Autostrada Małopolska (61 km)</w:t>
      </w:r>
      <w:r w:rsidR="00A14DB0">
        <w:rPr>
          <w:rFonts w:asciiTheme="minorHAnsi" w:hAnsiTheme="minorHAnsi" w:cstheme="minorHAnsi"/>
        </w:rPr>
        <w:t>,</w:t>
      </w:r>
    </w:p>
    <w:p w:rsidR="00A14DB0" w:rsidRDefault="00A14DB0" w:rsidP="002812CC">
      <w:pPr>
        <w:pStyle w:val="Normaltext"/>
        <w:numPr>
          <w:ilvl w:val="0"/>
          <w:numId w:val="24"/>
        </w:numPr>
        <w:rPr>
          <w:rFonts w:asciiTheme="minorHAnsi" w:hAnsiTheme="minorHAnsi" w:cstheme="minorHAnsi"/>
        </w:rPr>
      </w:pPr>
      <w:r>
        <w:rPr>
          <w:rFonts w:asciiTheme="minorHAnsi" w:hAnsiTheme="minorHAnsi" w:cstheme="minorHAnsi"/>
        </w:rPr>
        <w:t xml:space="preserve">na diaľnici </w:t>
      </w:r>
      <w:r w:rsidR="0007251A">
        <w:rPr>
          <w:rFonts w:asciiTheme="minorHAnsi" w:hAnsiTheme="minorHAnsi" w:cstheme="minorHAnsi"/>
        </w:rPr>
        <w:t xml:space="preserve">A2 (úsek: </w:t>
      </w:r>
      <w:r w:rsidR="0007251A" w:rsidRPr="0007251A">
        <w:rPr>
          <w:rFonts w:asciiTheme="minorHAnsi" w:hAnsiTheme="minorHAnsi" w:cstheme="minorHAnsi"/>
        </w:rPr>
        <w:t xml:space="preserve">Świecka </w:t>
      </w:r>
      <w:r w:rsidR="0007251A">
        <w:rPr>
          <w:rFonts w:asciiTheme="minorHAnsi" w:hAnsiTheme="minorHAnsi" w:cstheme="minorHAnsi"/>
        </w:rPr>
        <w:t xml:space="preserve">– Konin), </w:t>
      </w:r>
      <w:r w:rsidR="0007251A" w:rsidRPr="004C1013">
        <w:rPr>
          <w:rFonts w:asciiTheme="minorHAnsi" w:hAnsiTheme="minorHAnsi" w:cstheme="minorHAnsi"/>
        </w:rPr>
        <w:t>držiteľom licencie</w:t>
      </w:r>
      <w:r w:rsidR="0007251A">
        <w:t xml:space="preserve"> je </w:t>
      </w:r>
      <w:r w:rsidR="0007251A" w:rsidRPr="0007251A">
        <w:rPr>
          <w:rFonts w:asciiTheme="minorHAnsi" w:hAnsiTheme="minorHAnsi" w:cstheme="minorHAnsi"/>
        </w:rPr>
        <w:t>spoločnosť Autostrada Wielkopolska I S.A. a Autostrada Wielkopolska II S.A</w:t>
      </w:r>
      <w:r w:rsidR="00AA5C68">
        <w:rPr>
          <w:rFonts w:asciiTheme="minorHAnsi" w:hAnsiTheme="minorHAnsi" w:cstheme="minorHAnsi"/>
        </w:rPr>
        <w:t xml:space="preserve"> (255 km).</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Pre účely komparatívnej analýzy riešiteľský kolektív využíva údaje výhradne systému viaToll spravovaného štátom v zastúpení Ministerstvom dopravy, výstavby a námornej ekonomiky Poľska. Základné charakteristiky systému platné ku koncu roka 2018 sú uvedené v nasledujúcej tabuľke (</w:t>
      </w:r>
      <w:r w:rsidR="00C40D3F">
        <w:fldChar w:fldCharType="begin"/>
      </w:r>
      <w:r w:rsidR="00C40D3F">
        <w:instrText xml:space="preserve"> REF _Ref20467218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32</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140" w:name="_Ref20467218"/>
      <w:bookmarkStart w:id="141" w:name="_Toc36664474"/>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32</w:t>
      </w:r>
      <w:r w:rsidR="00C40D3F">
        <w:rPr>
          <w:noProof/>
        </w:rPr>
        <w:fldChar w:fldCharType="end"/>
      </w:r>
      <w:bookmarkEnd w:id="140"/>
      <w:r w:rsidRPr="004C1013">
        <w:tab/>
        <w:t>Prehľad základných charakteristík systému ETC v Poľsku</w:t>
      </w:r>
      <w:bookmarkEnd w:id="141"/>
    </w:p>
    <w:tbl>
      <w:tblPr>
        <w:tblStyle w:val="tabulkaVUD"/>
        <w:tblW w:w="5000" w:type="pct"/>
        <w:tblLook w:val="04A0" w:firstRow="1" w:lastRow="0" w:firstColumn="1" w:lastColumn="0" w:noHBand="0" w:noVBand="1"/>
      </w:tblPr>
      <w:tblGrid>
        <w:gridCol w:w="3288"/>
        <w:gridCol w:w="6123"/>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rPr>
        <w:tc>
          <w:tcPr>
            <w:tcW w:w="1747" w:type="pct"/>
            <w:shd w:val="clear" w:color="auto" w:fill="7F7F7F" w:themeFill="text1" w:themeFillTint="80"/>
            <w:hideMark/>
          </w:tcPr>
          <w:p w:rsidR="0025522E" w:rsidRPr="004C1013" w:rsidRDefault="0025522E" w:rsidP="0025522E">
            <w:pPr>
              <w:pStyle w:val="tabukasivystyl"/>
            </w:pPr>
            <w:r w:rsidRPr="004C1013">
              <w:t>Technológia</w:t>
            </w:r>
          </w:p>
        </w:tc>
        <w:tc>
          <w:tcPr>
            <w:tcW w:w="3253" w:type="pct"/>
            <w:shd w:val="clear" w:color="auto" w:fill="auto"/>
            <w:vAlign w:val="bottom"/>
            <w:hideMark/>
          </w:tcPr>
          <w:p w:rsidR="0025522E" w:rsidRPr="004C1013" w:rsidRDefault="00C96EFB" w:rsidP="0025522E">
            <w:pPr>
              <w:pStyle w:val="tabbielystyl"/>
            </w:pPr>
            <w:r>
              <w:t>D</w:t>
            </w:r>
            <w:r w:rsidR="0025522E" w:rsidRPr="004C1013">
              <w:t>S</w:t>
            </w:r>
            <w:r>
              <w:t>R</w:t>
            </w:r>
            <w:r w:rsidR="0025522E" w:rsidRPr="004C1013">
              <w:t>C</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Správca systému</w:t>
            </w:r>
          </w:p>
        </w:tc>
        <w:tc>
          <w:tcPr>
            <w:tcW w:w="3253" w:type="pct"/>
            <w:vAlign w:val="bottom"/>
            <w:hideMark/>
          </w:tcPr>
          <w:p w:rsidR="0025522E" w:rsidRPr="004C1013" w:rsidRDefault="0025522E" w:rsidP="0025522E">
            <w:pPr>
              <w:pStyle w:val="tabbielystyl"/>
            </w:pPr>
            <w:r w:rsidRPr="004C1013">
              <w:t>Generálne riaditeľstvo pre národné cesty a diaľnice</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Prevádzkovateľ systému</w:t>
            </w:r>
          </w:p>
        </w:tc>
        <w:tc>
          <w:tcPr>
            <w:tcW w:w="3253" w:type="pct"/>
            <w:vAlign w:val="bottom"/>
            <w:hideMark/>
          </w:tcPr>
          <w:p w:rsidR="0025522E" w:rsidRPr="004C1013" w:rsidRDefault="0025522E" w:rsidP="0025522E">
            <w:pPr>
              <w:pStyle w:val="tabbielystyl"/>
            </w:pPr>
            <w:r w:rsidRPr="004C1013">
              <w:t>Kapsch Telematic Services</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Uvedenie do prevádzky</w:t>
            </w:r>
          </w:p>
        </w:tc>
        <w:tc>
          <w:tcPr>
            <w:tcW w:w="3253" w:type="pct"/>
            <w:vAlign w:val="bottom"/>
            <w:hideMark/>
          </w:tcPr>
          <w:p w:rsidR="0025522E" w:rsidRPr="004C1013" w:rsidRDefault="0025522E" w:rsidP="0025522E">
            <w:pPr>
              <w:pStyle w:val="tabbielystyl"/>
            </w:pPr>
            <w:r w:rsidRPr="004C1013">
              <w:t>1.7.2011</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Zmluvná doba prevádzky</w:t>
            </w:r>
          </w:p>
        </w:tc>
        <w:tc>
          <w:tcPr>
            <w:tcW w:w="3253" w:type="pct"/>
            <w:vAlign w:val="bottom"/>
            <w:hideMark/>
          </w:tcPr>
          <w:p w:rsidR="0025522E" w:rsidRPr="004C1013" w:rsidRDefault="0025522E" w:rsidP="0025522E">
            <w:pPr>
              <w:pStyle w:val="tabbielystyl"/>
            </w:pPr>
            <w:r w:rsidRPr="004C1013">
              <w:t>7</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Doba prevádzky k 31.12.2018  (roky)</w:t>
            </w:r>
          </w:p>
        </w:tc>
        <w:tc>
          <w:tcPr>
            <w:tcW w:w="3253" w:type="pct"/>
            <w:vAlign w:val="bottom"/>
            <w:hideMark/>
          </w:tcPr>
          <w:p w:rsidR="0025522E" w:rsidRPr="004C1013" w:rsidRDefault="0025522E" w:rsidP="0025522E">
            <w:pPr>
              <w:pStyle w:val="tabbielystyl"/>
            </w:pPr>
            <w:r w:rsidRPr="004C1013">
              <w:t>8</w:t>
            </w:r>
          </w:p>
        </w:tc>
      </w:tr>
      <w:tr w:rsidR="0025522E" w:rsidRPr="004C1013" w:rsidTr="00404B50">
        <w:trPr>
          <w:trHeight w:val="283"/>
        </w:trPr>
        <w:tc>
          <w:tcPr>
            <w:tcW w:w="1747" w:type="pct"/>
            <w:shd w:val="clear" w:color="auto" w:fill="7F7F7F" w:themeFill="text1" w:themeFillTint="80"/>
            <w:hideMark/>
          </w:tcPr>
          <w:p w:rsidR="0025522E" w:rsidRPr="004C1013" w:rsidRDefault="0025522E" w:rsidP="0025522E">
            <w:pPr>
              <w:pStyle w:val="tabukasivystyl"/>
            </w:pPr>
            <w:r w:rsidRPr="004C1013">
              <w:t>Spoplatnené vozidlá (kategória)</w:t>
            </w:r>
          </w:p>
        </w:tc>
        <w:tc>
          <w:tcPr>
            <w:tcW w:w="3253" w:type="pct"/>
            <w:vAlign w:val="bottom"/>
            <w:hideMark/>
          </w:tcPr>
          <w:p w:rsidR="0025522E" w:rsidRPr="004C1013" w:rsidRDefault="0025522E" w:rsidP="0025522E">
            <w:pPr>
              <w:pStyle w:val="tabbielystyl"/>
            </w:pPr>
            <w:r w:rsidRPr="004C1013">
              <w:t xml:space="preserve">Nákladné vozidlá &gt;3,5t, autobusy </w:t>
            </w:r>
          </w:p>
        </w:tc>
      </w:tr>
    </w:tbl>
    <w:p w:rsidR="0025522E" w:rsidRPr="004C1013" w:rsidRDefault="0025522E" w:rsidP="0025522E">
      <w:pPr>
        <w:pStyle w:val="Nadpis3"/>
        <w:rPr>
          <w:rFonts w:asciiTheme="minorHAnsi" w:hAnsiTheme="minorHAnsi" w:cstheme="minorHAnsi"/>
        </w:rPr>
      </w:pPr>
      <w:bookmarkStart w:id="142" w:name="_Toc20687940"/>
      <w:bookmarkStart w:id="143" w:name="_Toc36664383"/>
      <w:r w:rsidRPr="004C1013">
        <w:rPr>
          <w:rFonts w:asciiTheme="minorHAnsi" w:hAnsiTheme="minorHAnsi" w:cstheme="minorHAnsi"/>
        </w:rPr>
        <w:t>Sieť vymedzených úsekov ciest</w:t>
      </w:r>
      <w:bookmarkEnd w:id="142"/>
      <w:bookmarkEnd w:id="143"/>
    </w:p>
    <w:p w:rsidR="0025522E"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Vymedzené úseky ciest zaťažené výkonovým spoplatnením nákladných vozidiel nad 3,5 tony prostredníctvom systému ViaTOLL tvoria vybrané úseky diaľnic, rýchlostných ciest a  štátnych ciest (</w:t>
      </w:r>
      <w:r w:rsidR="00C40D3F">
        <w:fldChar w:fldCharType="begin"/>
      </w:r>
      <w:r w:rsidR="00C40D3F">
        <w:instrText xml:space="preserve"> REF _Ref20615775 \h  \* MERGEFORMAT </w:instrText>
      </w:r>
      <w:r w:rsidR="00C40D3F">
        <w:fldChar w:fldCharType="separate"/>
      </w:r>
      <w:r w:rsidR="001E4C1C" w:rsidRPr="001E4C1C">
        <w:rPr>
          <w:rFonts w:asciiTheme="minorHAnsi" w:hAnsiTheme="minorHAnsi" w:cstheme="minorHAnsi"/>
        </w:rPr>
        <w:t xml:space="preserve">Obr.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5</w:t>
      </w:r>
      <w:r w:rsidR="00C40D3F">
        <w:fldChar w:fldCharType="end"/>
      </w:r>
      <w:r w:rsidRPr="004C1013">
        <w:rPr>
          <w:rFonts w:asciiTheme="minorHAnsi" w:hAnsiTheme="minorHAnsi" w:cstheme="minorHAnsi"/>
        </w:rPr>
        <w:t>).</w:t>
      </w:r>
    </w:p>
    <w:p w:rsidR="00151CA6" w:rsidRPr="004C1013" w:rsidRDefault="00151CA6" w:rsidP="00151CA6">
      <w:pPr>
        <w:pStyle w:val="Normaltext"/>
        <w:spacing w:line="276" w:lineRule="auto"/>
        <w:rPr>
          <w:rFonts w:asciiTheme="minorHAnsi" w:hAnsiTheme="minorHAnsi" w:cstheme="minorHAnsi"/>
        </w:rPr>
      </w:pPr>
      <w:r w:rsidRPr="004C1013">
        <w:rPr>
          <w:rFonts w:asciiTheme="minorHAnsi" w:hAnsiTheme="minorHAnsi" w:cstheme="minorHAnsi"/>
        </w:rPr>
        <w:t xml:space="preserve">Údaje o počte kilometrov vymedzených úsekoch ciest systému ETC v Poľsku v jednotlivých rokoch prevádzky systému boli prepočítané na základe údajov získaných z tlačových správ publikovaných na webových stránkach systému ViaTOLL </w:t>
      </w:r>
      <w:r w:rsidRPr="00E442EA">
        <w:rPr>
          <w:rFonts w:asciiTheme="minorHAnsi" w:hAnsiTheme="minorHAnsi" w:cstheme="minorHAnsi"/>
        </w:rPr>
        <w:t xml:space="preserve">[42] - [47] </w:t>
      </w:r>
      <w:r w:rsidRPr="004C1013">
        <w:rPr>
          <w:rFonts w:asciiTheme="minorHAnsi" w:hAnsiTheme="minorHAnsi" w:cstheme="minorHAnsi"/>
        </w:rPr>
        <w:t>odkazujúcich sa na legislatívne akty Rady ministrov</w:t>
      </w:r>
      <w:r w:rsidRPr="00E442EA">
        <w:rPr>
          <w:rFonts w:asciiTheme="minorHAnsi" w:hAnsiTheme="minorHAnsi" w:cstheme="minorHAnsi"/>
        </w:rPr>
        <w:t xml:space="preserve">, </w:t>
      </w:r>
      <w:r w:rsidRPr="004C1013">
        <w:rPr>
          <w:rFonts w:asciiTheme="minorHAnsi" w:hAnsiTheme="minorHAnsi" w:cstheme="minorHAnsi"/>
        </w:rPr>
        <w:t xml:space="preserve">oficiálnych správ Najvyššieho kontrolného úradu (NIK) </w:t>
      </w:r>
      <w:r w:rsidRPr="00E442EA">
        <w:rPr>
          <w:rFonts w:asciiTheme="minorHAnsi" w:hAnsiTheme="minorHAnsi" w:cstheme="minorHAnsi"/>
        </w:rPr>
        <w:t>[53]</w:t>
      </w:r>
      <w:r w:rsidRPr="004C1013">
        <w:rPr>
          <w:rFonts w:asciiTheme="minorHAnsi" w:hAnsiTheme="minorHAnsi" w:cstheme="minorHAnsi"/>
        </w:rPr>
        <w:t xml:space="preserve"> a odborných štúdií </w:t>
      </w:r>
      <w:r w:rsidRPr="00E442EA">
        <w:rPr>
          <w:rFonts w:asciiTheme="minorHAnsi" w:hAnsiTheme="minorHAnsi" w:cstheme="minorHAnsi"/>
        </w:rPr>
        <w:t xml:space="preserve">[50], [51]. </w:t>
      </w:r>
      <w:r w:rsidRPr="004C1013">
        <w:rPr>
          <w:rFonts w:asciiTheme="minorHAnsi" w:hAnsiTheme="minorHAnsi" w:cstheme="minorHAnsi"/>
        </w:rPr>
        <w:t>Údaje uvádzané v správach ASECAP zohľadňujú len dĺžku koncesných úsekov diaľnic A1, A2 a A4 a nie vymedzenú sieť systému viaTOLL (</w:t>
      </w:r>
      <w:r w:rsidR="00C40D3F">
        <w:fldChar w:fldCharType="begin"/>
      </w:r>
      <w:r w:rsidR="00C40D3F">
        <w:instrText xml:space="preserve"> REF _Ref20074252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10</w:t>
      </w:r>
      <w:r w:rsidR="00C40D3F">
        <w:fldChar w:fldCharType="end"/>
      </w:r>
      <w:r w:rsidRPr="004C1013">
        <w:rPr>
          <w:rFonts w:asciiTheme="minorHAnsi" w:hAnsiTheme="minorHAnsi" w:cstheme="minorHAnsi"/>
        </w:rPr>
        <w:t xml:space="preserve">). Z toho dôvodu tieto údaje nepovažuje riešiteľský kolektív za relevantné vo vzťahu k skutočnému definovaniu dĺžky spoplatnenej siete systémom viaTOLL v Poľsku. V súčasnosti je v Poľsku spoplatnených 1162 km diaľnic, 1357 km rýchlostných ciest a 1158 km štátnych ciest </w:t>
      </w:r>
      <w:r w:rsidRPr="00E442EA">
        <w:rPr>
          <w:rFonts w:asciiTheme="minorHAnsi" w:hAnsiTheme="minorHAnsi" w:cstheme="minorHAnsi"/>
        </w:rPr>
        <w:t>[48], [49].</w:t>
      </w:r>
      <w:r w:rsidRPr="004C1013">
        <w:rPr>
          <w:rFonts w:asciiTheme="minorHAnsi" w:hAnsiTheme="minorHAnsi" w:cstheme="minorHAnsi"/>
        </w:rPr>
        <w:t xml:space="preserve"> </w:t>
      </w:r>
    </w:p>
    <w:p w:rsidR="00151CA6" w:rsidRPr="004C1013" w:rsidRDefault="00151CA6" w:rsidP="0025522E">
      <w:pPr>
        <w:pStyle w:val="Normaltext"/>
        <w:spacing w:line="276" w:lineRule="auto"/>
        <w:rPr>
          <w:rFonts w:asciiTheme="minorHAnsi" w:hAnsiTheme="minorHAnsi" w:cstheme="minorHAnsi"/>
        </w:rPr>
      </w:pPr>
    </w:p>
    <w:p w:rsidR="0025522E" w:rsidRPr="004C1013" w:rsidRDefault="0025522E" w:rsidP="0025522E">
      <w:pPr>
        <w:pStyle w:val="Normaltext"/>
        <w:spacing w:line="276" w:lineRule="auto"/>
        <w:jc w:val="center"/>
        <w:rPr>
          <w:rFonts w:asciiTheme="minorHAnsi" w:hAnsiTheme="minorHAnsi" w:cstheme="minorHAnsi"/>
        </w:rPr>
      </w:pPr>
      <w:r w:rsidRPr="004C1013">
        <w:rPr>
          <w:rFonts w:asciiTheme="minorHAnsi" w:hAnsiTheme="minorHAnsi" w:cstheme="minorHAnsi"/>
          <w:noProof/>
          <w:lang w:eastAsia="sk-SK"/>
        </w:rPr>
        <w:drawing>
          <wp:inline distT="0" distB="0" distL="0" distR="0">
            <wp:extent cx="5488615" cy="5883880"/>
            <wp:effectExtent l="19050" t="0" r="0" b="0"/>
            <wp:docPr id="46" name="Obrázek 2" descr="pl_mapa_rozszerzenie_2017_viato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_mapa_rozszerzenie_2017_viatoll.jpg"/>
                    <pic:cNvPicPr/>
                  </pic:nvPicPr>
                  <pic:blipFill>
                    <a:blip r:embed="rId23" cstate="print"/>
                    <a:srcRect t="3409"/>
                    <a:stretch>
                      <a:fillRect/>
                    </a:stretch>
                  </pic:blipFill>
                  <pic:spPr>
                    <a:xfrm>
                      <a:off x="0" y="0"/>
                      <a:ext cx="5490386" cy="5885779"/>
                    </a:xfrm>
                    <a:prstGeom prst="rect">
                      <a:avLst/>
                    </a:prstGeom>
                  </pic:spPr>
                </pic:pic>
              </a:graphicData>
            </a:graphic>
          </wp:inline>
        </w:drawing>
      </w:r>
    </w:p>
    <w:p w:rsidR="0025522E" w:rsidRPr="004C1013" w:rsidRDefault="0025522E" w:rsidP="006B1C25">
      <w:pPr>
        <w:pStyle w:val="Popis"/>
      </w:pPr>
      <w:bookmarkStart w:id="144" w:name="_Ref20615775"/>
      <w:bookmarkStart w:id="145" w:name="_Toc36664509"/>
      <w:r w:rsidRPr="004C1013">
        <w:t xml:space="preserve">Obr. </w:t>
      </w:r>
      <w:r w:rsidR="00C40D3F">
        <w:fldChar w:fldCharType="begin"/>
      </w:r>
      <w:r w:rsidR="00C40D3F">
        <w:instrText xml:space="preserve"> STYLEREF 1 \s </w:instrText>
      </w:r>
      <w:r w:rsidR="00C40D3F">
        <w:fldChar w:fldCharType="separate"/>
      </w:r>
      <w:r w:rsidR="00D61B89">
        <w:rPr>
          <w:noProof/>
        </w:rPr>
        <w:t>1</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5</w:t>
      </w:r>
      <w:r w:rsidR="00C40D3F">
        <w:rPr>
          <w:noProof/>
        </w:rPr>
        <w:fldChar w:fldCharType="end"/>
      </w:r>
      <w:bookmarkEnd w:id="144"/>
      <w:r w:rsidRPr="004C1013">
        <w:tab/>
        <w:t xml:space="preserve">Sieť vymedzených úsekov ciest v Poľsku </w:t>
      </w:r>
      <w:r w:rsidRPr="00E442EA">
        <w:t>[41]</w:t>
      </w:r>
      <w:bookmarkEnd w:id="145"/>
    </w:p>
    <w:p w:rsidR="0007251A" w:rsidRDefault="0007251A" w:rsidP="0025522E">
      <w:pPr>
        <w:pStyle w:val="Normaltext"/>
        <w:spacing w:line="276" w:lineRule="auto"/>
        <w:rPr>
          <w:rFonts w:asciiTheme="minorHAnsi" w:hAnsiTheme="minorHAnsi" w:cstheme="minorHAnsi"/>
        </w:rPr>
      </w:pPr>
      <w:bookmarkStart w:id="146" w:name="_Ref20564613"/>
    </w:p>
    <w:p w:rsidR="0007251A" w:rsidRDefault="0007251A" w:rsidP="0025522E">
      <w:pPr>
        <w:pStyle w:val="Normaltext"/>
        <w:spacing w:line="276" w:lineRule="auto"/>
        <w:rPr>
          <w:rFonts w:asciiTheme="minorHAnsi" w:hAnsiTheme="minorHAnsi" w:cstheme="minorHAnsi"/>
        </w:rPr>
      </w:pPr>
    </w:p>
    <w:p w:rsidR="0007251A" w:rsidRDefault="0007251A" w:rsidP="0025522E">
      <w:pPr>
        <w:pStyle w:val="Normaltext"/>
        <w:spacing w:line="276" w:lineRule="auto"/>
        <w:rPr>
          <w:rFonts w:asciiTheme="minorHAnsi" w:hAnsiTheme="minorHAnsi" w:cstheme="minorHAnsi"/>
        </w:rPr>
      </w:pPr>
    </w:p>
    <w:p w:rsidR="0025522E" w:rsidRPr="004C1013" w:rsidRDefault="0025522E" w:rsidP="0025522E">
      <w:pPr>
        <w:pStyle w:val="Normaltext"/>
        <w:spacing w:line="276" w:lineRule="auto"/>
        <w:rPr>
          <w:rFonts w:asciiTheme="minorHAnsi" w:hAnsiTheme="minorHAnsi" w:cstheme="minorHAnsi"/>
        </w:rPr>
      </w:pPr>
      <w:bookmarkStart w:id="147" w:name="_Toc36664475"/>
      <w:r w:rsidRPr="004C1013">
        <w:rPr>
          <w:rFonts w:asciiTheme="minorHAnsi" w:hAnsiTheme="minorHAnsi" w:cstheme="minorHAnsi"/>
        </w:rPr>
        <w:t xml:space="preserve">Tab.  </w:t>
      </w:r>
      <w:r w:rsidR="00AE19F9">
        <w:rPr>
          <w:rFonts w:asciiTheme="minorHAnsi" w:hAnsiTheme="minorHAnsi" w:cstheme="minorHAnsi"/>
        </w:rPr>
        <w:fldChar w:fldCharType="begin"/>
      </w:r>
      <w:r w:rsidR="00AE19F9">
        <w:rPr>
          <w:rFonts w:asciiTheme="minorHAnsi" w:hAnsiTheme="minorHAnsi" w:cstheme="minorHAnsi"/>
        </w:rPr>
        <w:instrText xml:space="preserve"> STYLEREF 1 \s </w:instrText>
      </w:r>
      <w:r w:rsidR="00AE19F9">
        <w:rPr>
          <w:rFonts w:asciiTheme="minorHAnsi" w:hAnsiTheme="minorHAnsi" w:cstheme="minorHAnsi"/>
        </w:rPr>
        <w:fldChar w:fldCharType="separate"/>
      </w:r>
      <w:r w:rsidR="00AE19F9">
        <w:rPr>
          <w:rFonts w:asciiTheme="minorHAnsi" w:hAnsiTheme="minorHAnsi" w:cstheme="minorHAnsi"/>
          <w:noProof/>
        </w:rPr>
        <w:t>1</w:t>
      </w:r>
      <w:r w:rsidR="00AE19F9">
        <w:rPr>
          <w:rFonts w:asciiTheme="minorHAnsi" w:hAnsiTheme="minorHAnsi" w:cstheme="minorHAnsi"/>
        </w:rPr>
        <w:fldChar w:fldCharType="end"/>
      </w:r>
      <w:r w:rsidR="00AE19F9">
        <w:rPr>
          <w:rFonts w:asciiTheme="minorHAnsi" w:hAnsiTheme="minorHAnsi" w:cstheme="minorHAnsi"/>
        </w:rPr>
        <w:noBreakHyphen/>
      </w:r>
      <w:r w:rsidR="00AE19F9">
        <w:rPr>
          <w:rFonts w:asciiTheme="minorHAnsi" w:hAnsiTheme="minorHAnsi" w:cstheme="minorHAnsi"/>
        </w:rPr>
        <w:fldChar w:fldCharType="begin"/>
      </w:r>
      <w:r w:rsidR="00AE19F9">
        <w:rPr>
          <w:rFonts w:asciiTheme="minorHAnsi" w:hAnsiTheme="minorHAnsi" w:cstheme="minorHAnsi"/>
        </w:rPr>
        <w:instrText xml:space="preserve"> SEQ Tab._ \* ARABIC \s 1 </w:instrText>
      </w:r>
      <w:r w:rsidR="00AE19F9">
        <w:rPr>
          <w:rFonts w:asciiTheme="minorHAnsi" w:hAnsiTheme="minorHAnsi" w:cstheme="minorHAnsi"/>
        </w:rPr>
        <w:fldChar w:fldCharType="separate"/>
      </w:r>
      <w:r w:rsidR="00AE19F9">
        <w:rPr>
          <w:rFonts w:asciiTheme="minorHAnsi" w:hAnsiTheme="minorHAnsi" w:cstheme="minorHAnsi"/>
          <w:noProof/>
        </w:rPr>
        <w:t>33</w:t>
      </w:r>
      <w:r w:rsidR="00AE19F9">
        <w:rPr>
          <w:rFonts w:asciiTheme="minorHAnsi" w:hAnsiTheme="minorHAnsi" w:cstheme="minorHAnsi"/>
        </w:rPr>
        <w:fldChar w:fldCharType="end"/>
      </w:r>
      <w:bookmarkEnd w:id="146"/>
      <w:r w:rsidRPr="004C1013">
        <w:rPr>
          <w:rFonts w:asciiTheme="minorHAnsi" w:hAnsiTheme="minorHAnsi" w:cstheme="minorHAnsi"/>
        </w:rPr>
        <w:t xml:space="preserve"> </w:t>
      </w:r>
      <w:r w:rsidRPr="004C1013">
        <w:rPr>
          <w:rFonts w:asciiTheme="minorHAnsi" w:hAnsiTheme="minorHAnsi" w:cstheme="minorHAnsi"/>
        </w:rPr>
        <w:tab/>
        <w:t>Rešerš dostupnej literatúry  - dĺžka vymedzených úsekov ciest v Poľsku</w:t>
      </w:r>
      <w:bookmarkEnd w:id="147"/>
    </w:p>
    <w:tbl>
      <w:tblPr>
        <w:tblStyle w:val="tabulkaVUD"/>
        <w:tblW w:w="5000" w:type="pct"/>
        <w:tblLook w:val="04A0" w:firstRow="1" w:lastRow="0" w:firstColumn="1" w:lastColumn="0" w:noHBand="0" w:noVBand="1"/>
      </w:tblPr>
      <w:tblGrid>
        <w:gridCol w:w="1617"/>
        <w:gridCol w:w="1558"/>
        <w:gridCol w:w="1559"/>
        <w:gridCol w:w="1559"/>
        <w:gridCol w:w="1559"/>
        <w:gridCol w:w="1559"/>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427"/>
          <w:tblHeader/>
        </w:trPr>
        <w:tc>
          <w:tcPr>
            <w:tcW w:w="1617" w:type="dxa"/>
            <w:vMerge w:val="restart"/>
            <w:shd w:val="clear" w:color="auto" w:fill="7F7F7F" w:themeFill="text1" w:themeFillTint="80"/>
            <w:hideMark/>
          </w:tcPr>
          <w:p w:rsidR="0025522E" w:rsidRPr="004C1013" w:rsidRDefault="0025522E" w:rsidP="009D58D5">
            <w:pPr>
              <w:pStyle w:val="zahltab"/>
            </w:pPr>
            <w:r w:rsidRPr="004C1013">
              <w:t>Kalendárny rok</w:t>
            </w:r>
          </w:p>
        </w:tc>
        <w:tc>
          <w:tcPr>
            <w:tcW w:w="1558" w:type="dxa"/>
            <w:vMerge w:val="restart"/>
            <w:hideMark/>
          </w:tcPr>
          <w:p w:rsidR="0025522E" w:rsidRPr="004C1013" w:rsidRDefault="0025522E" w:rsidP="009D58D5">
            <w:pPr>
              <w:pStyle w:val="zahltab"/>
            </w:pPr>
            <w:r w:rsidRPr="004C1013">
              <w:t>Rok prevádzky</w:t>
            </w:r>
          </w:p>
        </w:tc>
        <w:tc>
          <w:tcPr>
            <w:tcW w:w="6236" w:type="dxa"/>
            <w:gridSpan w:val="4"/>
            <w:hideMark/>
          </w:tcPr>
          <w:p w:rsidR="0025522E" w:rsidRPr="004C1013" w:rsidRDefault="0025522E" w:rsidP="009D58D5">
            <w:pPr>
              <w:pStyle w:val="zahltab"/>
            </w:pPr>
            <w:r w:rsidRPr="004C1013">
              <w:t>Dĺžka spoplatnených úsekov ciest</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379"/>
          <w:tblHeader/>
        </w:trPr>
        <w:tc>
          <w:tcPr>
            <w:tcW w:w="1617" w:type="dxa"/>
            <w:vMerge/>
            <w:shd w:val="clear" w:color="auto" w:fill="7F7F7F" w:themeFill="text1" w:themeFillTint="80"/>
            <w:hideMark/>
          </w:tcPr>
          <w:p w:rsidR="0025522E" w:rsidRPr="004C1013" w:rsidRDefault="0025522E" w:rsidP="009D58D5">
            <w:pPr>
              <w:pStyle w:val="zahltab"/>
            </w:pPr>
          </w:p>
        </w:tc>
        <w:tc>
          <w:tcPr>
            <w:tcW w:w="1558" w:type="dxa"/>
            <w:vMerge/>
            <w:hideMark/>
          </w:tcPr>
          <w:p w:rsidR="0025522E" w:rsidRPr="004C1013" w:rsidRDefault="0025522E" w:rsidP="009D58D5">
            <w:pPr>
              <w:pStyle w:val="zahltab"/>
            </w:pPr>
          </w:p>
        </w:tc>
        <w:tc>
          <w:tcPr>
            <w:tcW w:w="1559" w:type="dxa"/>
            <w:hideMark/>
          </w:tcPr>
          <w:p w:rsidR="0025522E" w:rsidRPr="004C1013" w:rsidRDefault="0025522E" w:rsidP="009D58D5">
            <w:pPr>
              <w:pStyle w:val="zahltab"/>
            </w:pPr>
            <w:r w:rsidRPr="004C1013">
              <w:t>ASECAP [15], [16]</w:t>
            </w:r>
          </w:p>
        </w:tc>
        <w:tc>
          <w:tcPr>
            <w:tcW w:w="1559" w:type="dxa"/>
          </w:tcPr>
          <w:p w:rsidR="0025522E" w:rsidRPr="004C1013" w:rsidRDefault="0025522E" w:rsidP="009D58D5">
            <w:pPr>
              <w:pStyle w:val="zahltab"/>
            </w:pPr>
            <w:r w:rsidRPr="004C1013">
              <w:t>Štátne inštitúcie [53]</w:t>
            </w:r>
          </w:p>
        </w:tc>
        <w:tc>
          <w:tcPr>
            <w:tcW w:w="1559" w:type="dxa"/>
          </w:tcPr>
          <w:p w:rsidR="0025522E" w:rsidRPr="004C1013" w:rsidRDefault="0025522E" w:rsidP="009D58D5">
            <w:pPr>
              <w:pStyle w:val="zahltab"/>
            </w:pPr>
            <w:r w:rsidRPr="004C1013">
              <w:t xml:space="preserve">Tlačové správy  </w:t>
            </w:r>
            <w:r w:rsidRPr="004C1013">
              <w:rPr>
                <w:lang w:val="en-US"/>
              </w:rPr>
              <w:t>[41] - [47]</w:t>
            </w:r>
          </w:p>
        </w:tc>
        <w:tc>
          <w:tcPr>
            <w:tcW w:w="1559" w:type="dxa"/>
          </w:tcPr>
          <w:p w:rsidR="0025522E" w:rsidRPr="004C1013" w:rsidRDefault="0025522E" w:rsidP="009D58D5">
            <w:pPr>
              <w:pStyle w:val="zahltab"/>
            </w:pPr>
            <w:r w:rsidRPr="004C1013">
              <w:t xml:space="preserve">Odborné štúdie  </w:t>
            </w:r>
            <w:r w:rsidRPr="004C1013">
              <w:rPr>
                <w:lang w:val="en-US"/>
              </w:rPr>
              <w:t>[50], [51]</w:t>
            </w:r>
          </w:p>
        </w:tc>
      </w:tr>
      <w:tr w:rsidR="0025522E" w:rsidRPr="004C1013" w:rsidTr="00404B50">
        <w:trPr>
          <w:trHeight w:val="300"/>
        </w:trPr>
        <w:tc>
          <w:tcPr>
            <w:tcW w:w="1617" w:type="dxa"/>
            <w:hideMark/>
          </w:tcPr>
          <w:p w:rsidR="0025522E" w:rsidRPr="004C1013" w:rsidRDefault="0025522E" w:rsidP="0025522E">
            <w:pPr>
              <w:pStyle w:val="tabbielystyl"/>
            </w:pPr>
            <w:r w:rsidRPr="004C1013">
              <w:t>2011</w:t>
            </w:r>
          </w:p>
        </w:tc>
        <w:tc>
          <w:tcPr>
            <w:tcW w:w="1558" w:type="dxa"/>
            <w:hideMark/>
          </w:tcPr>
          <w:p w:rsidR="0025522E" w:rsidRPr="004C1013" w:rsidRDefault="0025522E" w:rsidP="0025522E">
            <w:pPr>
              <w:pStyle w:val="tabbielystyl"/>
            </w:pPr>
            <w:r w:rsidRPr="004C1013">
              <w:t>1.</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N/A</w:t>
            </w:r>
          </w:p>
        </w:tc>
        <w:tc>
          <w:tcPr>
            <w:tcW w:w="1559" w:type="dxa"/>
          </w:tcPr>
          <w:p w:rsidR="0025522E" w:rsidRPr="004C1013" w:rsidRDefault="0025522E" w:rsidP="0025522E">
            <w:pPr>
              <w:pStyle w:val="tabbielystyl"/>
            </w:pPr>
            <w:r w:rsidRPr="004C1013">
              <w:t>1 565</w:t>
            </w:r>
          </w:p>
        </w:tc>
        <w:tc>
          <w:tcPr>
            <w:tcW w:w="1559" w:type="dxa"/>
          </w:tcPr>
          <w:p w:rsidR="0025522E" w:rsidRPr="004C1013" w:rsidRDefault="0025522E" w:rsidP="0025522E">
            <w:pPr>
              <w:pStyle w:val="tabbielystyl"/>
            </w:pPr>
            <w:r w:rsidRPr="004C1013">
              <w:t>1560</w:t>
            </w:r>
          </w:p>
        </w:tc>
      </w:tr>
      <w:tr w:rsidR="0025522E" w:rsidRPr="004C1013" w:rsidTr="00404B50">
        <w:trPr>
          <w:trHeight w:val="300"/>
        </w:trPr>
        <w:tc>
          <w:tcPr>
            <w:tcW w:w="1617" w:type="dxa"/>
            <w:hideMark/>
          </w:tcPr>
          <w:p w:rsidR="0025522E" w:rsidRPr="004C1013" w:rsidRDefault="0025522E" w:rsidP="0025522E">
            <w:pPr>
              <w:pStyle w:val="tabbielystyl"/>
            </w:pPr>
            <w:r w:rsidRPr="004C1013">
              <w:t>2012</w:t>
            </w:r>
          </w:p>
        </w:tc>
        <w:tc>
          <w:tcPr>
            <w:tcW w:w="1558" w:type="dxa"/>
            <w:hideMark/>
          </w:tcPr>
          <w:p w:rsidR="0025522E" w:rsidRPr="004C1013" w:rsidRDefault="0025522E" w:rsidP="0025522E">
            <w:pPr>
              <w:pStyle w:val="tabbielystyl"/>
            </w:pPr>
            <w:r w:rsidRPr="004C1013">
              <w:t>2.</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N/A</w:t>
            </w:r>
          </w:p>
        </w:tc>
        <w:tc>
          <w:tcPr>
            <w:tcW w:w="1559" w:type="dxa"/>
          </w:tcPr>
          <w:p w:rsidR="0025522E" w:rsidRPr="004C1013" w:rsidRDefault="0025522E" w:rsidP="0025522E">
            <w:pPr>
              <w:pStyle w:val="tabbielystyl"/>
            </w:pPr>
            <w:r w:rsidRPr="004C1013">
              <w:t>1 890</w:t>
            </w:r>
          </w:p>
        </w:tc>
        <w:tc>
          <w:tcPr>
            <w:tcW w:w="1559" w:type="dxa"/>
          </w:tcPr>
          <w:p w:rsidR="0025522E" w:rsidRPr="004C1013" w:rsidRDefault="0025522E" w:rsidP="0025522E">
            <w:pPr>
              <w:pStyle w:val="tabbielystyl"/>
            </w:pPr>
            <w:r w:rsidRPr="004C1013">
              <w:t>N/A</w:t>
            </w:r>
          </w:p>
        </w:tc>
      </w:tr>
      <w:tr w:rsidR="0025522E" w:rsidRPr="004C1013" w:rsidTr="00404B50">
        <w:trPr>
          <w:trHeight w:val="300"/>
        </w:trPr>
        <w:tc>
          <w:tcPr>
            <w:tcW w:w="1617" w:type="dxa"/>
            <w:hideMark/>
          </w:tcPr>
          <w:p w:rsidR="0025522E" w:rsidRPr="004C1013" w:rsidRDefault="0025522E" w:rsidP="0025522E">
            <w:pPr>
              <w:pStyle w:val="tabbielystyl"/>
            </w:pPr>
            <w:r w:rsidRPr="004C1013">
              <w:t>2013</w:t>
            </w:r>
          </w:p>
        </w:tc>
        <w:tc>
          <w:tcPr>
            <w:tcW w:w="1558" w:type="dxa"/>
            <w:hideMark/>
          </w:tcPr>
          <w:p w:rsidR="0025522E" w:rsidRPr="004C1013" w:rsidRDefault="0025522E" w:rsidP="0025522E">
            <w:pPr>
              <w:pStyle w:val="tabbielystyl"/>
            </w:pPr>
            <w:r w:rsidRPr="004C1013">
              <w:t>3.</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N/A</w:t>
            </w:r>
          </w:p>
        </w:tc>
        <w:tc>
          <w:tcPr>
            <w:tcW w:w="1559" w:type="dxa"/>
          </w:tcPr>
          <w:p w:rsidR="0025522E" w:rsidRPr="004C1013" w:rsidRDefault="0025522E" w:rsidP="0025522E">
            <w:pPr>
              <w:pStyle w:val="tabbielystyl"/>
            </w:pPr>
            <w:r w:rsidRPr="004C1013">
              <w:t>2 653</w:t>
            </w:r>
          </w:p>
        </w:tc>
        <w:tc>
          <w:tcPr>
            <w:tcW w:w="1559" w:type="dxa"/>
          </w:tcPr>
          <w:p w:rsidR="0025522E" w:rsidRPr="004C1013" w:rsidRDefault="0025522E" w:rsidP="0025522E">
            <w:pPr>
              <w:pStyle w:val="tabbielystyl"/>
            </w:pPr>
            <w:r w:rsidRPr="004C1013">
              <w:t>N/A</w:t>
            </w:r>
          </w:p>
        </w:tc>
      </w:tr>
      <w:tr w:rsidR="0025522E" w:rsidRPr="004C1013" w:rsidTr="00404B50">
        <w:trPr>
          <w:trHeight w:val="300"/>
        </w:trPr>
        <w:tc>
          <w:tcPr>
            <w:tcW w:w="1617" w:type="dxa"/>
            <w:hideMark/>
          </w:tcPr>
          <w:p w:rsidR="0025522E" w:rsidRPr="004C1013" w:rsidRDefault="0025522E" w:rsidP="0025522E">
            <w:pPr>
              <w:pStyle w:val="tabbielystyl"/>
            </w:pPr>
            <w:r w:rsidRPr="004C1013">
              <w:t>2014</w:t>
            </w:r>
          </w:p>
        </w:tc>
        <w:tc>
          <w:tcPr>
            <w:tcW w:w="1558" w:type="dxa"/>
            <w:hideMark/>
          </w:tcPr>
          <w:p w:rsidR="0025522E" w:rsidRPr="004C1013" w:rsidRDefault="0025522E" w:rsidP="0025522E">
            <w:pPr>
              <w:pStyle w:val="tabbielystyl"/>
            </w:pPr>
            <w:r w:rsidRPr="004C1013">
              <w:t>4.</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N/A</w:t>
            </w:r>
          </w:p>
        </w:tc>
        <w:tc>
          <w:tcPr>
            <w:tcW w:w="1559" w:type="dxa"/>
          </w:tcPr>
          <w:p w:rsidR="0025522E" w:rsidRPr="004C1013" w:rsidRDefault="0025522E" w:rsidP="0025522E">
            <w:pPr>
              <w:pStyle w:val="tabbielystyl"/>
            </w:pPr>
            <w:r w:rsidRPr="004C1013">
              <w:t>2 917</w:t>
            </w:r>
          </w:p>
        </w:tc>
        <w:tc>
          <w:tcPr>
            <w:tcW w:w="1559" w:type="dxa"/>
          </w:tcPr>
          <w:p w:rsidR="0025522E" w:rsidRPr="004C1013" w:rsidRDefault="0025522E" w:rsidP="0025522E">
            <w:pPr>
              <w:pStyle w:val="tabbielystyl"/>
            </w:pPr>
            <w:r w:rsidRPr="004C1013">
              <w:t>3000</w:t>
            </w:r>
          </w:p>
        </w:tc>
      </w:tr>
      <w:tr w:rsidR="0025522E" w:rsidRPr="004C1013" w:rsidTr="00404B50">
        <w:trPr>
          <w:trHeight w:val="300"/>
        </w:trPr>
        <w:tc>
          <w:tcPr>
            <w:tcW w:w="1617" w:type="dxa"/>
            <w:hideMark/>
          </w:tcPr>
          <w:p w:rsidR="0025522E" w:rsidRPr="004C1013" w:rsidRDefault="0025522E" w:rsidP="0025522E">
            <w:pPr>
              <w:pStyle w:val="tabbielystyl"/>
            </w:pPr>
            <w:r w:rsidRPr="004C1013">
              <w:t>2015</w:t>
            </w:r>
          </w:p>
        </w:tc>
        <w:tc>
          <w:tcPr>
            <w:tcW w:w="1558" w:type="dxa"/>
            <w:hideMark/>
          </w:tcPr>
          <w:p w:rsidR="0025522E" w:rsidRPr="004C1013" w:rsidRDefault="0025522E" w:rsidP="0025522E">
            <w:pPr>
              <w:pStyle w:val="tabbielystyl"/>
            </w:pPr>
            <w:r w:rsidRPr="004C1013">
              <w:t>5.</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2899,2</w:t>
            </w:r>
          </w:p>
        </w:tc>
        <w:tc>
          <w:tcPr>
            <w:tcW w:w="1559" w:type="dxa"/>
          </w:tcPr>
          <w:p w:rsidR="0025522E" w:rsidRPr="004C1013" w:rsidRDefault="0025522E" w:rsidP="0025522E">
            <w:pPr>
              <w:pStyle w:val="tabbielystyl"/>
            </w:pPr>
            <w:r w:rsidRPr="004C1013">
              <w:t>3 168</w:t>
            </w:r>
          </w:p>
        </w:tc>
        <w:tc>
          <w:tcPr>
            <w:tcW w:w="1559" w:type="dxa"/>
          </w:tcPr>
          <w:p w:rsidR="0025522E" w:rsidRPr="004C1013" w:rsidRDefault="0025522E" w:rsidP="0025522E">
            <w:pPr>
              <w:pStyle w:val="tabbielystyl"/>
            </w:pPr>
            <w:r w:rsidRPr="004C1013">
              <w:t>3200</w:t>
            </w:r>
          </w:p>
        </w:tc>
      </w:tr>
      <w:tr w:rsidR="0025522E" w:rsidRPr="004C1013" w:rsidTr="00404B50">
        <w:trPr>
          <w:trHeight w:val="300"/>
        </w:trPr>
        <w:tc>
          <w:tcPr>
            <w:tcW w:w="1617" w:type="dxa"/>
            <w:hideMark/>
          </w:tcPr>
          <w:p w:rsidR="0025522E" w:rsidRPr="004C1013" w:rsidRDefault="0025522E" w:rsidP="0025522E">
            <w:pPr>
              <w:pStyle w:val="tabbielystyl"/>
            </w:pPr>
            <w:r w:rsidRPr="004C1013">
              <w:t>2016</w:t>
            </w:r>
          </w:p>
        </w:tc>
        <w:tc>
          <w:tcPr>
            <w:tcW w:w="1558" w:type="dxa"/>
            <w:hideMark/>
          </w:tcPr>
          <w:p w:rsidR="0025522E" w:rsidRPr="004C1013" w:rsidRDefault="0025522E" w:rsidP="0025522E">
            <w:pPr>
              <w:pStyle w:val="tabbielystyl"/>
            </w:pPr>
            <w:r w:rsidRPr="004C1013">
              <w:t>6.</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3049,5</w:t>
            </w:r>
          </w:p>
        </w:tc>
        <w:tc>
          <w:tcPr>
            <w:tcW w:w="1559" w:type="dxa"/>
          </w:tcPr>
          <w:p w:rsidR="0025522E" w:rsidRPr="004C1013" w:rsidRDefault="0025522E" w:rsidP="0025522E">
            <w:pPr>
              <w:pStyle w:val="tabbielystyl"/>
            </w:pPr>
            <w:r w:rsidRPr="004C1013">
              <w:t>3 318</w:t>
            </w:r>
          </w:p>
        </w:tc>
        <w:tc>
          <w:tcPr>
            <w:tcW w:w="1559" w:type="dxa"/>
          </w:tcPr>
          <w:p w:rsidR="0025522E" w:rsidRPr="004C1013" w:rsidRDefault="0025522E" w:rsidP="0025522E">
            <w:pPr>
              <w:pStyle w:val="tabbielystyl"/>
            </w:pPr>
            <w:r w:rsidRPr="004C1013">
              <w:t>3300</w:t>
            </w:r>
          </w:p>
        </w:tc>
      </w:tr>
      <w:tr w:rsidR="0025522E" w:rsidRPr="004C1013" w:rsidTr="00404B50">
        <w:trPr>
          <w:trHeight w:val="300"/>
        </w:trPr>
        <w:tc>
          <w:tcPr>
            <w:tcW w:w="1617" w:type="dxa"/>
            <w:hideMark/>
          </w:tcPr>
          <w:p w:rsidR="0025522E" w:rsidRPr="004C1013" w:rsidRDefault="0025522E" w:rsidP="0025522E">
            <w:pPr>
              <w:pStyle w:val="tabbielystyl"/>
            </w:pPr>
            <w:r w:rsidRPr="004C1013">
              <w:t>2017</w:t>
            </w:r>
          </w:p>
        </w:tc>
        <w:tc>
          <w:tcPr>
            <w:tcW w:w="1558" w:type="dxa"/>
            <w:hideMark/>
          </w:tcPr>
          <w:p w:rsidR="0025522E" w:rsidRPr="004C1013" w:rsidRDefault="0025522E" w:rsidP="0025522E">
            <w:pPr>
              <w:pStyle w:val="tabbielystyl"/>
            </w:pPr>
            <w:r w:rsidRPr="004C1013">
              <w:t>7.</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3402,8</w:t>
            </w:r>
          </w:p>
        </w:tc>
        <w:tc>
          <w:tcPr>
            <w:tcW w:w="1559" w:type="dxa"/>
          </w:tcPr>
          <w:p w:rsidR="0025522E" w:rsidRPr="004C1013" w:rsidRDefault="0025522E" w:rsidP="0025522E">
            <w:pPr>
              <w:pStyle w:val="tabbielystyl"/>
            </w:pPr>
            <w:r w:rsidRPr="004C1013">
              <w:t>3 678</w:t>
            </w:r>
          </w:p>
        </w:tc>
        <w:tc>
          <w:tcPr>
            <w:tcW w:w="1559" w:type="dxa"/>
          </w:tcPr>
          <w:p w:rsidR="0025522E" w:rsidRPr="004C1013" w:rsidRDefault="0025522E" w:rsidP="0025522E">
            <w:pPr>
              <w:pStyle w:val="tabbielystyl"/>
            </w:pPr>
            <w:r w:rsidRPr="004C1013">
              <w:t>N/A</w:t>
            </w:r>
          </w:p>
        </w:tc>
      </w:tr>
      <w:tr w:rsidR="0025522E" w:rsidRPr="004C1013" w:rsidTr="00404B50">
        <w:trPr>
          <w:trHeight w:val="300"/>
        </w:trPr>
        <w:tc>
          <w:tcPr>
            <w:tcW w:w="1617" w:type="dxa"/>
            <w:hideMark/>
          </w:tcPr>
          <w:p w:rsidR="0025522E" w:rsidRPr="004C1013" w:rsidRDefault="0025522E" w:rsidP="0025522E">
            <w:pPr>
              <w:pStyle w:val="tabbielystyl"/>
            </w:pPr>
            <w:r w:rsidRPr="004C1013">
              <w:t>2018</w:t>
            </w:r>
          </w:p>
        </w:tc>
        <w:tc>
          <w:tcPr>
            <w:tcW w:w="1558" w:type="dxa"/>
            <w:hideMark/>
          </w:tcPr>
          <w:p w:rsidR="0025522E" w:rsidRPr="004C1013" w:rsidRDefault="0025522E" w:rsidP="0025522E">
            <w:pPr>
              <w:pStyle w:val="tabbielystyl"/>
            </w:pPr>
            <w:r w:rsidRPr="004C1013">
              <w:t>8.</w:t>
            </w:r>
          </w:p>
        </w:tc>
        <w:tc>
          <w:tcPr>
            <w:tcW w:w="1559" w:type="dxa"/>
            <w:hideMark/>
          </w:tcPr>
          <w:p w:rsidR="0025522E" w:rsidRPr="004C1013" w:rsidRDefault="0025522E" w:rsidP="0025522E">
            <w:pPr>
              <w:pStyle w:val="tabbielystyl"/>
            </w:pPr>
            <w:r w:rsidRPr="004C1013">
              <w:t>468,00</w:t>
            </w:r>
          </w:p>
        </w:tc>
        <w:tc>
          <w:tcPr>
            <w:tcW w:w="1559" w:type="dxa"/>
          </w:tcPr>
          <w:p w:rsidR="0025522E" w:rsidRPr="004C1013" w:rsidRDefault="0025522E" w:rsidP="0025522E">
            <w:pPr>
              <w:pStyle w:val="tabbielystyl"/>
            </w:pPr>
            <w:r w:rsidRPr="004C1013">
              <w:t>3673,2</w:t>
            </w:r>
          </w:p>
        </w:tc>
        <w:tc>
          <w:tcPr>
            <w:tcW w:w="1559" w:type="dxa"/>
          </w:tcPr>
          <w:p w:rsidR="0025522E" w:rsidRPr="004C1013" w:rsidRDefault="0025522E" w:rsidP="0025522E">
            <w:pPr>
              <w:pStyle w:val="tabbielystyl"/>
            </w:pPr>
            <w:r w:rsidRPr="004C1013">
              <w:t>N/A</w:t>
            </w:r>
          </w:p>
        </w:tc>
        <w:tc>
          <w:tcPr>
            <w:tcW w:w="1559" w:type="dxa"/>
          </w:tcPr>
          <w:p w:rsidR="0025522E" w:rsidRPr="004C1013" w:rsidRDefault="0025522E" w:rsidP="0025522E">
            <w:pPr>
              <w:pStyle w:val="tabbielystyl"/>
            </w:pPr>
            <w:r w:rsidRPr="004C1013">
              <w:t>3731</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Aj napriek nízkym rozdielom v uvádzaných údajoch o dĺžkach vymedzených úsekov ciest systému viaTOLL v jednotlivých rokoch prevádzky vybral riešiteľský kolektív ako reprezentatívne údaje dĺžky siete zverejnené na oficiálnych webových stránkach systému viaTOLL </w:t>
      </w:r>
      <w:r w:rsidRPr="00E442EA">
        <w:rPr>
          <w:rFonts w:asciiTheme="minorHAnsi" w:hAnsiTheme="minorHAnsi" w:cstheme="minorHAnsi"/>
        </w:rPr>
        <w:t>[41] - [47]</w:t>
      </w:r>
      <w:r w:rsidRPr="004C1013">
        <w:rPr>
          <w:rFonts w:asciiTheme="minorHAnsi" w:hAnsiTheme="minorHAnsi" w:cstheme="minorHAnsi"/>
        </w:rPr>
        <w:t xml:space="preserve">, ktoré vychádzajú z príslušných nariadení Rady ministrov. Tieto údaje sa zhodujú tiež s údajmi v odborných štúdiách </w:t>
      </w:r>
      <w:r w:rsidRPr="00E442EA">
        <w:rPr>
          <w:rFonts w:asciiTheme="minorHAnsi" w:hAnsiTheme="minorHAnsi" w:cstheme="minorHAnsi"/>
        </w:rPr>
        <w:t>[50]</w:t>
      </w:r>
      <w:r w:rsidRPr="004C1013">
        <w:rPr>
          <w:rFonts w:asciiTheme="minorHAnsi" w:hAnsiTheme="minorHAnsi" w:cstheme="minorHAnsi"/>
        </w:rPr>
        <w:t>,</w:t>
      </w:r>
      <w:r w:rsidRPr="00E442EA">
        <w:rPr>
          <w:rFonts w:asciiTheme="minorHAnsi" w:hAnsiTheme="minorHAnsi" w:cstheme="minorHAnsi"/>
        </w:rPr>
        <w:t xml:space="preserve"> [51]</w:t>
      </w:r>
      <w:r w:rsidRPr="004C1013">
        <w:rPr>
          <w:rFonts w:asciiTheme="minorHAnsi" w:hAnsiTheme="minorHAnsi" w:cstheme="minorHAnsi"/>
        </w:rPr>
        <w:t xml:space="preserve">. Chýbajúci údaj o dĺžke siete v roku 2018 je prevzatý zo zdrojov </w:t>
      </w:r>
      <w:r w:rsidRPr="00E442EA">
        <w:rPr>
          <w:rFonts w:asciiTheme="minorHAnsi" w:hAnsiTheme="minorHAnsi" w:cstheme="minorHAnsi"/>
        </w:rPr>
        <w:t>[50]</w:t>
      </w:r>
      <w:r w:rsidRPr="004C1013">
        <w:rPr>
          <w:rFonts w:asciiTheme="minorHAnsi" w:hAnsiTheme="minorHAnsi" w:cstheme="minorHAnsi"/>
        </w:rPr>
        <w:t>,</w:t>
      </w:r>
      <w:r w:rsidRPr="00E442EA">
        <w:rPr>
          <w:rFonts w:asciiTheme="minorHAnsi" w:hAnsiTheme="minorHAnsi" w:cstheme="minorHAnsi"/>
        </w:rPr>
        <w:t xml:space="preserve"> [51]</w:t>
      </w:r>
      <w:r w:rsidRPr="004C1013">
        <w:rPr>
          <w:rFonts w:asciiTheme="minorHAnsi" w:hAnsiTheme="minorHAnsi" w:cstheme="minorHAnsi"/>
        </w:rPr>
        <w:t>. Prehľad rozšírení spoplatnenej siete za jednotlivé roky prevádzky systému ETC v Poľsku je uvedený v nasledujúcej tabuľke (</w:t>
      </w:r>
      <w:r w:rsidR="00C40D3F">
        <w:fldChar w:fldCharType="begin"/>
      </w:r>
      <w:r w:rsidR="00C40D3F">
        <w:instrText xml:space="preserve"> REF _Ref20421463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34</w:t>
      </w:r>
      <w:r w:rsidR="00C40D3F">
        <w:fldChar w:fldCharType="end"/>
      </w:r>
      <w:r w:rsidRPr="004C1013">
        <w:rPr>
          <w:rFonts w:asciiTheme="minorHAnsi" w:hAnsiTheme="minorHAnsi" w:cstheme="minorHAnsi"/>
        </w:rPr>
        <w:t>).</w:t>
      </w:r>
    </w:p>
    <w:p w:rsidR="0025522E" w:rsidRPr="004C1013" w:rsidRDefault="0025522E" w:rsidP="006B1C25">
      <w:pPr>
        <w:pStyle w:val="tabstyl"/>
      </w:pPr>
      <w:bookmarkStart w:id="148" w:name="_Ref20421463"/>
      <w:bookmarkStart w:id="149" w:name="_Toc36664476"/>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34</w:t>
      </w:r>
      <w:r w:rsidR="00C40D3F">
        <w:rPr>
          <w:noProof/>
        </w:rPr>
        <w:fldChar w:fldCharType="end"/>
      </w:r>
      <w:bookmarkEnd w:id="148"/>
      <w:r w:rsidRPr="004C1013">
        <w:t xml:space="preserve"> </w:t>
      </w:r>
      <w:r w:rsidRPr="004C1013">
        <w:tab/>
        <w:t>Poľsko: ETC indikátor 1. Dĺžka siete</w:t>
      </w:r>
      <w:bookmarkEnd w:id="149"/>
    </w:p>
    <w:tbl>
      <w:tblPr>
        <w:tblStyle w:val="tabulkaVUD"/>
        <w:tblW w:w="5000" w:type="pct"/>
        <w:tblLook w:val="04A0" w:firstRow="1" w:lastRow="0" w:firstColumn="1" w:lastColumn="0" w:noHBand="0" w:noVBand="1"/>
      </w:tblPr>
      <w:tblGrid>
        <w:gridCol w:w="2533"/>
        <w:gridCol w:w="2494"/>
        <w:gridCol w:w="4384"/>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610"/>
          <w:tblHeader/>
        </w:trPr>
        <w:tc>
          <w:tcPr>
            <w:tcW w:w="1346" w:type="pct"/>
            <w:shd w:val="clear" w:color="auto" w:fill="7F7F7F" w:themeFill="text1" w:themeFillTint="80"/>
            <w:hideMark/>
          </w:tcPr>
          <w:p w:rsidR="0025522E" w:rsidRPr="004C1013" w:rsidRDefault="0025522E" w:rsidP="009D58D5">
            <w:pPr>
              <w:pStyle w:val="zahltab"/>
            </w:pPr>
            <w:r w:rsidRPr="004C1013">
              <w:t>Kalendárny rok</w:t>
            </w:r>
          </w:p>
        </w:tc>
        <w:tc>
          <w:tcPr>
            <w:tcW w:w="1325" w:type="pct"/>
            <w:hideMark/>
          </w:tcPr>
          <w:p w:rsidR="0025522E" w:rsidRPr="004C1013" w:rsidRDefault="0025522E" w:rsidP="009D58D5">
            <w:pPr>
              <w:pStyle w:val="zahltab"/>
            </w:pPr>
            <w:r w:rsidRPr="004C1013">
              <w:t>Rok prevádzky</w:t>
            </w:r>
          </w:p>
        </w:tc>
        <w:tc>
          <w:tcPr>
            <w:tcW w:w="2329" w:type="pct"/>
            <w:hideMark/>
          </w:tcPr>
          <w:p w:rsidR="0025522E" w:rsidRPr="004C1013" w:rsidRDefault="0025522E" w:rsidP="009D58D5">
            <w:pPr>
              <w:pStyle w:val="zahltab"/>
            </w:pPr>
            <w:r w:rsidRPr="004C1013">
              <w:t>Dĺžka spoplatnených úsekov ciest</w:t>
            </w:r>
          </w:p>
        </w:tc>
      </w:tr>
      <w:tr w:rsidR="0025522E" w:rsidRPr="004C1013" w:rsidTr="00404B50">
        <w:trPr>
          <w:trHeight w:val="300"/>
        </w:trPr>
        <w:tc>
          <w:tcPr>
            <w:tcW w:w="1346" w:type="pct"/>
            <w:hideMark/>
          </w:tcPr>
          <w:p w:rsidR="0025522E" w:rsidRPr="004C1013" w:rsidRDefault="0025522E" w:rsidP="0025522E">
            <w:pPr>
              <w:pStyle w:val="tabbielystyl"/>
            </w:pPr>
            <w:r w:rsidRPr="004C1013">
              <w:t>2011</w:t>
            </w:r>
          </w:p>
        </w:tc>
        <w:tc>
          <w:tcPr>
            <w:tcW w:w="1325" w:type="pct"/>
            <w:hideMark/>
          </w:tcPr>
          <w:p w:rsidR="0025522E" w:rsidRPr="004C1013" w:rsidRDefault="0025522E" w:rsidP="0025522E">
            <w:pPr>
              <w:pStyle w:val="tabbielystyl"/>
            </w:pPr>
            <w:r w:rsidRPr="004C1013">
              <w:t>1.</w:t>
            </w:r>
          </w:p>
        </w:tc>
        <w:tc>
          <w:tcPr>
            <w:tcW w:w="2329" w:type="pct"/>
            <w:hideMark/>
          </w:tcPr>
          <w:p w:rsidR="0025522E" w:rsidRPr="004C1013" w:rsidRDefault="0025522E" w:rsidP="0025522E">
            <w:pPr>
              <w:pStyle w:val="tabbielystyl"/>
            </w:pPr>
            <w:r w:rsidRPr="004C1013">
              <w:t>1 565</w:t>
            </w:r>
          </w:p>
        </w:tc>
      </w:tr>
      <w:tr w:rsidR="0025522E" w:rsidRPr="004C1013" w:rsidTr="00404B50">
        <w:trPr>
          <w:trHeight w:val="300"/>
        </w:trPr>
        <w:tc>
          <w:tcPr>
            <w:tcW w:w="1346" w:type="pct"/>
            <w:hideMark/>
          </w:tcPr>
          <w:p w:rsidR="0025522E" w:rsidRPr="004C1013" w:rsidRDefault="0025522E" w:rsidP="0025522E">
            <w:pPr>
              <w:pStyle w:val="tabbielystyl"/>
            </w:pPr>
            <w:r w:rsidRPr="004C1013">
              <w:t>2012</w:t>
            </w:r>
          </w:p>
        </w:tc>
        <w:tc>
          <w:tcPr>
            <w:tcW w:w="1325" w:type="pct"/>
            <w:hideMark/>
          </w:tcPr>
          <w:p w:rsidR="0025522E" w:rsidRPr="004C1013" w:rsidRDefault="0025522E" w:rsidP="0025522E">
            <w:pPr>
              <w:pStyle w:val="tabbielystyl"/>
            </w:pPr>
            <w:r w:rsidRPr="004C1013">
              <w:t>2.</w:t>
            </w:r>
          </w:p>
        </w:tc>
        <w:tc>
          <w:tcPr>
            <w:tcW w:w="2329" w:type="pct"/>
            <w:hideMark/>
          </w:tcPr>
          <w:p w:rsidR="0025522E" w:rsidRPr="004C1013" w:rsidRDefault="0025522E" w:rsidP="0025522E">
            <w:pPr>
              <w:pStyle w:val="tabbielystyl"/>
            </w:pPr>
            <w:r w:rsidRPr="004C1013">
              <w:t>1 890</w:t>
            </w:r>
          </w:p>
        </w:tc>
      </w:tr>
      <w:tr w:rsidR="0025522E" w:rsidRPr="004C1013" w:rsidTr="00404B50">
        <w:trPr>
          <w:trHeight w:val="300"/>
        </w:trPr>
        <w:tc>
          <w:tcPr>
            <w:tcW w:w="1346" w:type="pct"/>
            <w:hideMark/>
          </w:tcPr>
          <w:p w:rsidR="0025522E" w:rsidRPr="004C1013" w:rsidRDefault="0025522E" w:rsidP="0025522E">
            <w:pPr>
              <w:pStyle w:val="tabbielystyl"/>
            </w:pPr>
            <w:r w:rsidRPr="004C1013">
              <w:t>2013</w:t>
            </w:r>
          </w:p>
        </w:tc>
        <w:tc>
          <w:tcPr>
            <w:tcW w:w="1325" w:type="pct"/>
            <w:hideMark/>
          </w:tcPr>
          <w:p w:rsidR="0025522E" w:rsidRPr="004C1013" w:rsidRDefault="0025522E" w:rsidP="0025522E">
            <w:pPr>
              <w:pStyle w:val="tabbielystyl"/>
            </w:pPr>
            <w:r w:rsidRPr="004C1013">
              <w:t>3.</w:t>
            </w:r>
          </w:p>
        </w:tc>
        <w:tc>
          <w:tcPr>
            <w:tcW w:w="2329" w:type="pct"/>
            <w:hideMark/>
          </w:tcPr>
          <w:p w:rsidR="0025522E" w:rsidRPr="004C1013" w:rsidRDefault="0025522E" w:rsidP="0025522E">
            <w:pPr>
              <w:pStyle w:val="tabbielystyl"/>
            </w:pPr>
            <w:r w:rsidRPr="004C1013">
              <w:t>2 653</w:t>
            </w:r>
          </w:p>
        </w:tc>
      </w:tr>
      <w:tr w:rsidR="0025522E" w:rsidRPr="004C1013" w:rsidTr="00404B50">
        <w:trPr>
          <w:trHeight w:val="300"/>
        </w:trPr>
        <w:tc>
          <w:tcPr>
            <w:tcW w:w="1346" w:type="pct"/>
            <w:hideMark/>
          </w:tcPr>
          <w:p w:rsidR="0025522E" w:rsidRPr="004C1013" w:rsidRDefault="0025522E" w:rsidP="0025522E">
            <w:pPr>
              <w:pStyle w:val="tabbielystyl"/>
            </w:pPr>
            <w:r w:rsidRPr="004C1013">
              <w:t>2014</w:t>
            </w:r>
          </w:p>
        </w:tc>
        <w:tc>
          <w:tcPr>
            <w:tcW w:w="1325" w:type="pct"/>
            <w:hideMark/>
          </w:tcPr>
          <w:p w:rsidR="0025522E" w:rsidRPr="004C1013" w:rsidRDefault="0025522E" w:rsidP="0025522E">
            <w:pPr>
              <w:pStyle w:val="tabbielystyl"/>
            </w:pPr>
            <w:r w:rsidRPr="004C1013">
              <w:t>4.</w:t>
            </w:r>
          </w:p>
        </w:tc>
        <w:tc>
          <w:tcPr>
            <w:tcW w:w="2329" w:type="pct"/>
            <w:hideMark/>
          </w:tcPr>
          <w:p w:rsidR="0025522E" w:rsidRPr="004C1013" w:rsidRDefault="0025522E" w:rsidP="0025522E">
            <w:pPr>
              <w:pStyle w:val="tabbielystyl"/>
            </w:pPr>
            <w:r w:rsidRPr="004C1013">
              <w:t>2 917</w:t>
            </w:r>
          </w:p>
        </w:tc>
      </w:tr>
      <w:tr w:rsidR="0025522E" w:rsidRPr="004C1013" w:rsidTr="00404B50">
        <w:trPr>
          <w:trHeight w:val="300"/>
        </w:trPr>
        <w:tc>
          <w:tcPr>
            <w:tcW w:w="1346" w:type="pct"/>
            <w:hideMark/>
          </w:tcPr>
          <w:p w:rsidR="0025522E" w:rsidRPr="004C1013" w:rsidRDefault="0025522E" w:rsidP="0025522E">
            <w:pPr>
              <w:pStyle w:val="tabbielystyl"/>
            </w:pPr>
            <w:r w:rsidRPr="004C1013">
              <w:t>2015</w:t>
            </w:r>
          </w:p>
        </w:tc>
        <w:tc>
          <w:tcPr>
            <w:tcW w:w="1325" w:type="pct"/>
            <w:hideMark/>
          </w:tcPr>
          <w:p w:rsidR="0025522E" w:rsidRPr="004C1013" w:rsidRDefault="0025522E" w:rsidP="0025522E">
            <w:pPr>
              <w:pStyle w:val="tabbielystyl"/>
            </w:pPr>
            <w:r w:rsidRPr="004C1013">
              <w:t>5.</w:t>
            </w:r>
          </w:p>
        </w:tc>
        <w:tc>
          <w:tcPr>
            <w:tcW w:w="2329" w:type="pct"/>
            <w:hideMark/>
          </w:tcPr>
          <w:p w:rsidR="0025522E" w:rsidRPr="004C1013" w:rsidRDefault="0025522E" w:rsidP="0025522E">
            <w:pPr>
              <w:pStyle w:val="tabbielystyl"/>
            </w:pPr>
            <w:r w:rsidRPr="004C1013">
              <w:t>3 168</w:t>
            </w:r>
          </w:p>
        </w:tc>
      </w:tr>
      <w:tr w:rsidR="0025522E" w:rsidRPr="004C1013" w:rsidTr="00404B50">
        <w:trPr>
          <w:trHeight w:val="300"/>
        </w:trPr>
        <w:tc>
          <w:tcPr>
            <w:tcW w:w="1346" w:type="pct"/>
            <w:hideMark/>
          </w:tcPr>
          <w:p w:rsidR="0025522E" w:rsidRPr="004C1013" w:rsidRDefault="0025522E" w:rsidP="0025522E">
            <w:pPr>
              <w:pStyle w:val="tabbielystyl"/>
            </w:pPr>
            <w:r w:rsidRPr="004C1013">
              <w:t>2016</w:t>
            </w:r>
          </w:p>
        </w:tc>
        <w:tc>
          <w:tcPr>
            <w:tcW w:w="1325" w:type="pct"/>
            <w:hideMark/>
          </w:tcPr>
          <w:p w:rsidR="0025522E" w:rsidRPr="004C1013" w:rsidRDefault="0025522E" w:rsidP="0025522E">
            <w:pPr>
              <w:pStyle w:val="tabbielystyl"/>
            </w:pPr>
            <w:r w:rsidRPr="004C1013">
              <w:t>6.</w:t>
            </w:r>
          </w:p>
        </w:tc>
        <w:tc>
          <w:tcPr>
            <w:tcW w:w="2329" w:type="pct"/>
            <w:hideMark/>
          </w:tcPr>
          <w:p w:rsidR="0025522E" w:rsidRPr="004C1013" w:rsidRDefault="0025522E" w:rsidP="0025522E">
            <w:pPr>
              <w:pStyle w:val="tabbielystyl"/>
            </w:pPr>
            <w:r w:rsidRPr="004C1013">
              <w:t>3 318</w:t>
            </w:r>
          </w:p>
        </w:tc>
      </w:tr>
      <w:tr w:rsidR="0025522E" w:rsidRPr="004C1013" w:rsidTr="00404B50">
        <w:trPr>
          <w:trHeight w:val="300"/>
        </w:trPr>
        <w:tc>
          <w:tcPr>
            <w:tcW w:w="1346" w:type="pct"/>
            <w:hideMark/>
          </w:tcPr>
          <w:p w:rsidR="0025522E" w:rsidRPr="004C1013" w:rsidRDefault="0025522E" w:rsidP="0025522E">
            <w:pPr>
              <w:pStyle w:val="tabbielystyl"/>
            </w:pPr>
            <w:r w:rsidRPr="004C1013">
              <w:t>2017</w:t>
            </w:r>
          </w:p>
        </w:tc>
        <w:tc>
          <w:tcPr>
            <w:tcW w:w="1325" w:type="pct"/>
            <w:hideMark/>
          </w:tcPr>
          <w:p w:rsidR="0025522E" w:rsidRPr="004C1013" w:rsidRDefault="0025522E" w:rsidP="0025522E">
            <w:pPr>
              <w:pStyle w:val="tabbielystyl"/>
            </w:pPr>
            <w:r w:rsidRPr="004C1013">
              <w:t>7.</w:t>
            </w:r>
          </w:p>
        </w:tc>
        <w:tc>
          <w:tcPr>
            <w:tcW w:w="2329" w:type="pct"/>
            <w:hideMark/>
          </w:tcPr>
          <w:p w:rsidR="0025522E" w:rsidRPr="004C1013" w:rsidRDefault="0025522E" w:rsidP="0025522E">
            <w:pPr>
              <w:pStyle w:val="tabbielystyl"/>
            </w:pPr>
            <w:r w:rsidRPr="004C1013">
              <w:t>3 678</w:t>
            </w:r>
          </w:p>
        </w:tc>
      </w:tr>
      <w:tr w:rsidR="0025522E" w:rsidRPr="004C1013" w:rsidTr="00404B50">
        <w:trPr>
          <w:trHeight w:val="300"/>
        </w:trPr>
        <w:tc>
          <w:tcPr>
            <w:tcW w:w="1346" w:type="pct"/>
            <w:hideMark/>
          </w:tcPr>
          <w:p w:rsidR="0025522E" w:rsidRPr="004C1013" w:rsidRDefault="0025522E" w:rsidP="0025522E">
            <w:pPr>
              <w:pStyle w:val="tabbielystyl"/>
            </w:pPr>
            <w:r w:rsidRPr="004C1013">
              <w:t>2018</w:t>
            </w:r>
          </w:p>
        </w:tc>
        <w:tc>
          <w:tcPr>
            <w:tcW w:w="1325" w:type="pct"/>
            <w:hideMark/>
          </w:tcPr>
          <w:p w:rsidR="0025522E" w:rsidRPr="004C1013" w:rsidRDefault="0025522E" w:rsidP="0025522E">
            <w:pPr>
              <w:pStyle w:val="tabbielystyl"/>
            </w:pPr>
            <w:r w:rsidRPr="004C1013">
              <w:t>8.</w:t>
            </w:r>
          </w:p>
        </w:tc>
        <w:tc>
          <w:tcPr>
            <w:tcW w:w="2329" w:type="pct"/>
            <w:vAlign w:val="bottom"/>
            <w:hideMark/>
          </w:tcPr>
          <w:p w:rsidR="0025522E" w:rsidRPr="004C1013" w:rsidRDefault="0025522E" w:rsidP="0025522E">
            <w:pPr>
              <w:pStyle w:val="tabbielystyl"/>
            </w:pPr>
            <w:r w:rsidRPr="004C1013">
              <w:t>3 731</w:t>
            </w:r>
          </w:p>
        </w:tc>
      </w:tr>
    </w:tbl>
    <w:p w:rsidR="0025522E" w:rsidRPr="004C1013" w:rsidRDefault="0025522E" w:rsidP="0025522E">
      <w:pPr>
        <w:pStyle w:val="Nadpis3"/>
        <w:rPr>
          <w:rFonts w:asciiTheme="minorHAnsi" w:hAnsiTheme="minorHAnsi" w:cstheme="minorHAnsi"/>
        </w:rPr>
      </w:pPr>
      <w:bookmarkStart w:id="150" w:name="_Toc20687941"/>
      <w:bookmarkStart w:id="151" w:name="_Toc36664384"/>
      <w:r w:rsidRPr="004C1013">
        <w:rPr>
          <w:rFonts w:asciiTheme="minorHAnsi" w:hAnsiTheme="minorHAnsi" w:cstheme="minorHAnsi"/>
        </w:rPr>
        <w:t>Dopravné výkony na vymedzených úsekoch ciest</w:t>
      </w:r>
      <w:bookmarkEnd w:id="150"/>
      <w:bookmarkEnd w:id="151"/>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Povinné výkonové spoplatnenie vozidiel prostredníctvom elektronického mýtneho systému viaTOLL platí od začiatku jeho prevádzky pre všetky vozidlá nad 3,5 tony vrátane autobusov.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Z dostupných zdrojov informácií riešiteľský kolektív nezískal kompletné údaje o skutočnom objeme dopravy týchto povinných vozidiel na spoplatnenej sieti za jednotlivé roky prevádzky systému. Pri špecifikácii dopravných parametrov siete vychádzal primárne zo správ ASECAP [15], [16] a výsledkov celoštátneho sčítania dopravy z roku 2015 </w:t>
      </w:r>
      <w:r w:rsidRPr="00E442EA">
        <w:rPr>
          <w:rFonts w:asciiTheme="minorHAnsi" w:hAnsiTheme="minorHAnsi" w:cstheme="minorHAnsi"/>
          <w:sz w:val="20"/>
        </w:rPr>
        <w:t xml:space="preserve">[54].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Na základe analýzy ukazovateľov dopravy uvádzaných v správach ASECAP bolo zistené, že zdroj </w:t>
      </w:r>
      <w:r w:rsidRPr="00E442EA">
        <w:rPr>
          <w:rFonts w:asciiTheme="minorHAnsi" w:hAnsiTheme="minorHAnsi" w:cstheme="minorHAnsi"/>
        </w:rPr>
        <w:t>[15]</w:t>
      </w:r>
      <w:r w:rsidRPr="004C1013">
        <w:rPr>
          <w:rFonts w:asciiTheme="minorHAnsi" w:hAnsiTheme="minorHAnsi" w:cstheme="minorHAnsi"/>
        </w:rPr>
        <w:t xml:space="preserve"> uvádza priemerné denné intenzity jednotkového kilometra siete len na koncesných úsekoch diaľnic A1, A2 a A4 (</w:t>
      </w:r>
      <w:r w:rsidR="00C40D3F">
        <w:fldChar w:fldCharType="begin"/>
      </w:r>
      <w:r w:rsidR="00C40D3F">
        <w:instrText xml:space="preserve"> REF _Ref20597993 \h  \*</w:instrText>
      </w:r>
      <w:r w:rsidR="00C40D3F">
        <w:instrText xml:space="preserve">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35</w:t>
      </w:r>
      <w:r w:rsidR="00C40D3F">
        <w:fldChar w:fldCharType="end"/>
      </w:r>
      <w:r w:rsidRPr="004C1013">
        <w:rPr>
          <w:rFonts w:asciiTheme="minorHAnsi" w:hAnsiTheme="minorHAnsi" w:cstheme="minorHAnsi"/>
        </w:rPr>
        <w:t>). Zdroj [16] uvádza kumulované dopravné výkony, avšak bez špecifikácie uvažovanej siete a kategórie vozidiel. Výsledky  vzájomných prepočtov preukázali, že jednotlivé ukazovatele dopravy uvádzané v správach ASECAP nie sú viazané k rovnakej cestnej sieti, poprípade kategóriám vozidiel. Z dôvodu neurčitosti údajov zdroja [16] považuje riešiteľský kolektív údaje zdroja [15] za hodnovernejšie, nakoľko pri výpočte priemernej dennej intenzity jednotkového kilometra je známa uvažovaná cestná sieť (468 km), (</w:t>
      </w:r>
      <w:r w:rsidR="00C40D3F">
        <w:fldChar w:fldCharType="begin"/>
      </w:r>
      <w:r w:rsidR="00C40D3F">
        <w:instrText xml:space="preserve"> REF _Ref20597993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35</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152" w:name="_Ref20597993"/>
      <w:bookmarkStart w:id="153" w:name="_Toc36664477"/>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35</w:t>
      </w:r>
      <w:r w:rsidR="00C40D3F">
        <w:rPr>
          <w:noProof/>
        </w:rPr>
        <w:fldChar w:fldCharType="end"/>
      </w:r>
      <w:bookmarkEnd w:id="152"/>
      <w:r w:rsidRPr="004C1013">
        <w:t xml:space="preserve"> </w:t>
      </w:r>
      <w:r w:rsidRPr="004C1013">
        <w:tab/>
        <w:t>Rešerš dostupnej literatúry  - dopravné výkony na sieti v Poľsku</w:t>
      </w:r>
      <w:bookmarkEnd w:id="153"/>
    </w:p>
    <w:tbl>
      <w:tblPr>
        <w:tblStyle w:val="tabulkaVUD"/>
        <w:tblW w:w="5000" w:type="pct"/>
        <w:tblLook w:val="04A0" w:firstRow="1" w:lastRow="0" w:firstColumn="1" w:lastColumn="0" w:noHBand="0" w:noVBand="1"/>
      </w:tblPr>
      <w:tblGrid>
        <w:gridCol w:w="1161"/>
        <w:gridCol w:w="1276"/>
        <w:gridCol w:w="1702"/>
        <w:gridCol w:w="1560"/>
        <w:gridCol w:w="1843"/>
        <w:gridCol w:w="1869"/>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617" w:type="pct"/>
            <w:vMerge w:val="restart"/>
            <w:shd w:val="clear" w:color="auto" w:fill="7F7F7F" w:themeFill="text1" w:themeFillTint="80"/>
            <w:hideMark/>
          </w:tcPr>
          <w:p w:rsidR="0025522E" w:rsidRPr="004C1013" w:rsidRDefault="0025522E" w:rsidP="009D58D5">
            <w:pPr>
              <w:pStyle w:val="zahltab"/>
            </w:pPr>
            <w:r w:rsidRPr="004C1013">
              <w:t>Kalendárny rok</w:t>
            </w:r>
          </w:p>
        </w:tc>
        <w:tc>
          <w:tcPr>
            <w:tcW w:w="678" w:type="pct"/>
            <w:vMerge w:val="restart"/>
            <w:hideMark/>
          </w:tcPr>
          <w:p w:rsidR="0025522E" w:rsidRPr="004C1013" w:rsidRDefault="0025522E" w:rsidP="009D58D5">
            <w:pPr>
              <w:pStyle w:val="zahltab"/>
            </w:pPr>
            <w:r w:rsidRPr="004C1013">
              <w:t>Rok prevádzky</w:t>
            </w:r>
          </w:p>
        </w:tc>
        <w:tc>
          <w:tcPr>
            <w:tcW w:w="1733" w:type="pct"/>
            <w:gridSpan w:val="2"/>
          </w:tcPr>
          <w:p w:rsidR="0025522E" w:rsidRPr="004C1013" w:rsidRDefault="0025522E" w:rsidP="009D58D5">
            <w:pPr>
              <w:pStyle w:val="zahltab"/>
            </w:pPr>
            <w:r w:rsidRPr="004C1013">
              <w:t>Priemerná intenzita na 1km</w:t>
            </w:r>
          </w:p>
          <w:p w:rsidR="0025522E" w:rsidRPr="004C1013" w:rsidRDefault="0025522E" w:rsidP="009D58D5">
            <w:pPr>
              <w:pStyle w:val="zahltab"/>
            </w:pPr>
            <w:r w:rsidRPr="004C1013">
              <w:t>(voz/deň)</w:t>
            </w:r>
          </w:p>
        </w:tc>
        <w:tc>
          <w:tcPr>
            <w:tcW w:w="1972" w:type="pct"/>
            <w:gridSpan w:val="2"/>
          </w:tcPr>
          <w:p w:rsidR="003202AC" w:rsidRDefault="0025522E" w:rsidP="009D58D5">
            <w:pPr>
              <w:pStyle w:val="zahltab"/>
            </w:pPr>
            <w:r w:rsidRPr="004C1013">
              <w:t xml:space="preserve">Kumulované dopravné výkony </w:t>
            </w:r>
          </w:p>
          <w:p w:rsidR="0025522E" w:rsidRPr="004C1013" w:rsidRDefault="0025522E" w:rsidP="009D58D5">
            <w:pPr>
              <w:pStyle w:val="zahltab"/>
            </w:pPr>
            <w:r w:rsidRPr="004C1013">
              <w:t>(mil. vkm/rok)</w:t>
            </w:r>
          </w:p>
        </w:tc>
      </w:tr>
      <w:tr w:rsidR="0025522E" w:rsidRPr="004C1013" w:rsidTr="00404B50">
        <w:trPr>
          <w:cnfStyle w:val="100000000000" w:firstRow="1" w:lastRow="0" w:firstColumn="0" w:lastColumn="0" w:oddVBand="0" w:evenVBand="0" w:oddHBand="0" w:evenHBand="0" w:firstRowFirstColumn="0" w:firstRowLastColumn="0" w:lastRowFirstColumn="0" w:lastRowLastColumn="0"/>
          <w:trHeight w:val="283"/>
          <w:tblHeader/>
        </w:trPr>
        <w:tc>
          <w:tcPr>
            <w:tcW w:w="617" w:type="pct"/>
            <w:vMerge/>
            <w:shd w:val="clear" w:color="auto" w:fill="7F7F7F" w:themeFill="text1" w:themeFillTint="80"/>
            <w:hideMark/>
          </w:tcPr>
          <w:p w:rsidR="0025522E" w:rsidRPr="004C1013" w:rsidRDefault="0025522E" w:rsidP="009D58D5">
            <w:pPr>
              <w:pStyle w:val="zahltab"/>
            </w:pPr>
          </w:p>
        </w:tc>
        <w:tc>
          <w:tcPr>
            <w:tcW w:w="678" w:type="pct"/>
            <w:vMerge/>
            <w:hideMark/>
          </w:tcPr>
          <w:p w:rsidR="0025522E" w:rsidRPr="004C1013" w:rsidRDefault="0025522E" w:rsidP="009D58D5">
            <w:pPr>
              <w:pStyle w:val="zahltab"/>
            </w:pPr>
          </w:p>
        </w:tc>
        <w:tc>
          <w:tcPr>
            <w:tcW w:w="904" w:type="pct"/>
            <w:hideMark/>
          </w:tcPr>
          <w:p w:rsidR="0025522E" w:rsidRPr="004C1013" w:rsidRDefault="0025522E" w:rsidP="009D58D5">
            <w:pPr>
              <w:pStyle w:val="zahltab"/>
            </w:pPr>
            <w:r w:rsidRPr="004C1013">
              <w:t>ASECAP-B [15]</w:t>
            </w:r>
          </w:p>
        </w:tc>
        <w:tc>
          <w:tcPr>
            <w:tcW w:w="829" w:type="pct"/>
          </w:tcPr>
          <w:p w:rsidR="0025522E" w:rsidRPr="004C1013" w:rsidRDefault="0025522E" w:rsidP="009D58D5">
            <w:pPr>
              <w:pStyle w:val="zahltab"/>
            </w:pPr>
            <w:r w:rsidRPr="004C1013">
              <w:t>Prepočet  (podľa [16])</w:t>
            </w:r>
          </w:p>
        </w:tc>
        <w:tc>
          <w:tcPr>
            <w:tcW w:w="979" w:type="pct"/>
          </w:tcPr>
          <w:p w:rsidR="0025522E" w:rsidRPr="004C1013" w:rsidRDefault="0025522E" w:rsidP="009D58D5">
            <w:pPr>
              <w:pStyle w:val="zahltab"/>
            </w:pPr>
            <w:r w:rsidRPr="004C1013">
              <w:t>ASECAP-NS</w:t>
            </w:r>
          </w:p>
          <w:p w:rsidR="0025522E" w:rsidRPr="004C1013" w:rsidRDefault="0025522E" w:rsidP="009D58D5">
            <w:pPr>
              <w:pStyle w:val="zahltab"/>
              <w:rPr>
                <w:bCs/>
              </w:rPr>
            </w:pPr>
            <w:r w:rsidRPr="004C1013">
              <w:t>[16]</w:t>
            </w:r>
          </w:p>
        </w:tc>
        <w:tc>
          <w:tcPr>
            <w:tcW w:w="993" w:type="pct"/>
          </w:tcPr>
          <w:p w:rsidR="0025522E" w:rsidRPr="004C1013" w:rsidRDefault="0025522E" w:rsidP="009D58D5">
            <w:pPr>
              <w:pStyle w:val="zahltab"/>
            </w:pPr>
            <w:r w:rsidRPr="004C1013">
              <w:t xml:space="preserve">Prepočet </w:t>
            </w:r>
            <w:r w:rsidRPr="004C1013">
              <w:rPr>
                <w:bCs/>
              </w:rPr>
              <w:t xml:space="preserve">(podľa </w:t>
            </w:r>
            <w:r w:rsidRPr="004C1013">
              <w:t>[15])</w:t>
            </w:r>
          </w:p>
        </w:tc>
      </w:tr>
      <w:tr w:rsidR="0025522E" w:rsidRPr="004C1013" w:rsidTr="00404B50">
        <w:trPr>
          <w:trHeight w:val="283"/>
        </w:trPr>
        <w:tc>
          <w:tcPr>
            <w:tcW w:w="617" w:type="pct"/>
            <w:hideMark/>
          </w:tcPr>
          <w:p w:rsidR="0025522E" w:rsidRPr="004C1013" w:rsidRDefault="0025522E" w:rsidP="0025522E">
            <w:pPr>
              <w:pStyle w:val="tabbielystyl"/>
            </w:pPr>
            <w:r w:rsidRPr="004C1013">
              <w:t>2011</w:t>
            </w:r>
          </w:p>
        </w:tc>
        <w:tc>
          <w:tcPr>
            <w:tcW w:w="678" w:type="pct"/>
            <w:hideMark/>
          </w:tcPr>
          <w:p w:rsidR="0025522E" w:rsidRPr="004C1013" w:rsidRDefault="0025522E" w:rsidP="0025522E">
            <w:pPr>
              <w:pStyle w:val="tabbielystyl"/>
            </w:pPr>
            <w:r w:rsidRPr="004C1013">
              <w:t>1.</w:t>
            </w:r>
          </w:p>
        </w:tc>
        <w:tc>
          <w:tcPr>
            <w:tcW w:w="904" w:type="pct"/>
            <w:hideMark/>
          </w:tcPr>
          <w:p w:rsidR="0025522E" w:rsidRPr="004C1013" w:rsidRDefault="0025522E" w:rsidP="0025522E">
            <w:pPr>
              <w:pStyle w:val="tabbielystyl"/>
            </w:pPr>
            <w:r w:rsidRPr="004C1013">
              <w:t>6 142</w:t>
            </w:r>
          </w:p>
        </w:tc>
        <w:tc>
          <w:tcPr>
            <w:tcW w:w="829" w:type="pct"/>
            <w:vAlign w:val="bottom"/>
          </w:tcPr>
          <w:p w:rsidR="0025522E" w:rsidRPr="004C1013" w:rsidRDefault="0025522E" w:rsidP="0025522E">
            <w:pPr>
              <w:pStyle w:val="tabbielystyl"/>
            </w:pPr>
            <w:r w:rsidRPr="004C1013">
              <w:t>4108</w:t>
            </w:r>
          </w:p>
        </w:tc>
        <w:tc>
          <w:tcPr>
            <w:tcW w:w="979" w:type="pct"/>
          </w:tcPr>
          <w:p w:rsidR="0025522E" w:rsidRPr="004C1013" w:rsidRDefault="0025522E" w:rsidP="0025522E">
            <w:pPr>
              <w:pStyle w:val="tabbielystyl"/>
            </w:pPr>
            <w:r w:rsidRPr="004C1013">
              <w:t>2 022</w:t>
            </w:r>
          </w:p>
        </w:tc>
        <w:tc>
          <w:tcPr>
            <w:tcW w:w="993" w:type="pct"/>
            <w:vAlign w:val="bottom"/>
          </w:tcPr>
          <w:p w:rsidR="0025522E" w:rsidRPr="004C1013" w:rsidRDefault="0025522E" w:rsidP="0025522E">
            <w:pPr>
              <w:pStyle w:val="tabbielystyl"/>
            </w:pPr>
            <w:r w:rsidRPr="004C1013">
              <w:t>1990</w:t>
            </w:r>
          </w:p>
        </w:tc>
      </w:tr>
      <w:tr w:rsidR="0025522E" w:rsidRPr="004C1013" w:rsidTr="00404B50">
        <w:trPr>
          <w:trHeight w:val="283"/>
        </w:trPr>
        <w:tc>
          <w:tcPr>
            <w:tcW w:w="617" w:type="pct"/>
            <w:hideMark/>
          </w:tcPr>
          <w:p w:rsidR="0025522E" w:rsidRPr="004C1013" w:rsidRDefault="0025522E" w:rsidP="0025522E">
            <w:pPr>
              <w:pStyle w:val="tabbielystyl"/>
            </w:pPr>
            <w:r w:rsidRPr="004C1013">
              <w:t>2012</w:t>
            </w:r>
          </w:p>
        </w:tc>
        <w:tc>
          <w:tcPr>
            <w:tcW w:w="678" w:type="pct"/>
            <w:hideMark/>
          </w:tcPr>
          <w:p w:rsidR="0025522E" w:rsidRPr="004C1013" w:rsidRDefault="0025522E" w:rsidP="0025522E">
            <w:pPr>
              <w:pStyle w:val="tabbielystyl"/>
            </w:pPr>
            <w:r w:rsidRPr="004C1013">
              <w:t>2.</w:t>
            </w:r>
          </w:p>
        </w:tc>
        <w:tc>
          <w:tcPr>
            <w:tcW w:w="904" w:type="pct"/>
            <w:hideMark/>
          </w:tcPr>
          <w:p w:rsidR="0025522E" w:rsidRPr="004C1013" w:rsidRDefault="0025522E" w:rsidP="0025522E">
            <w:pPr>
              <w:pStyle w:val="tabbielystyl"/>
            </w:pPr>
            <w:r w:rsidRPr="004C1013">
              <w:t>5 242</w:t>
            </w:r>
          </w:p>
        </w:tc>
        <w:tc>
          <w:tcPr>
            <w:tcW w:w="829" w:type="pct"/>
            <w:vAlign w:val="bottom"/>
          </w:tcPr>
          <w:p w:rsidR="0025522E" w:rsidRPr="004C1013" w:rsidRDefault="0025522E" w:rsidP="0025522E">
            <w:pPr>
              <w:pStyle w:val="tabbielystyl"/>
            </w:pPr>
            <w:r w:rsidRPr="004C1013">
              <w:t>3919</w:t>
            </w:r>
          </w:p>
        </w:tc>
        <w:tc>
          <w:tcPr>
            <w:tcW w:w="979" w:type="pct"/>
          </w:tcPr>
          <w:p w:rsidR="0025522E" w:rsidRPr="004C1013" w:rsidRDefault="0025522E" w:rsidP="0025522E">
            <w:pPr>
              <w:pStyle w:val="tabbielystyl"/>
            </w:pPr>
            <w:r w:rsidRPr="004C1013">
              <w:t>1 976</w:t>
            </w:r>
          </w:p>
        </w:tc>
        <w:tc>
          <w:tcPr>
            <w:tcW w:w="993" w:type="pct"/>
            <w:vAlign w:val="bottom"/>
          </w:tcPr>
          <w:p w:rsidR="0025522E" w:rsidRPr="004C1013" w:rsidRDefault="0025522E" w:rsidP="0025522E">
            <w:pPr>
              <w:pStyle w:val="tabbielystyl"/>
            </w:pPr>
            <w:r w:rsidRPr="004C1013">
              <w:t>1976</w:t>
            </w:r>
          </w:p>
        </w:tc>
      </w:tr>
      <w:tr w:rsidR="0025522E" w:rsidRPr="004C1013" w:rsidTr="00404B50">
        <w:trPr>
          <w:trHeight w:val="283"/>
        </w:trPr>
        <w:tc>
          <w:tcPr>
            <w:tcW w:w="617" w:type="pct"/>
            <w:hideMark/>
          </w:tcPr>
          <w:p w:rsidR="0025522E" w:rsidRPr="004C1013" w:rsidRDefault="0025522E" w:rsidP="0025522E">
            <w:pPr>
              <w:pStyle w:val="tabbielystyl"/>
            </w:pPr>
            <w:r w:rsidRPr="004C1013">
              <w:t>2013</w:t>
            </w:r>
          </w:p>
        </w:tc>
        <w:tc>
          <w:tcPr>
            <w:tcW w:w="678" w:type="pct"/>
            <w:hideMark/>
          </w:tcPr>
          <w:p w:rsidR="0025522E" w:rsidRPr="004C1013" w:rsidRDefault="0025522E" w:rsidP="0025522E">
            <w:pPr>
              <w:pStyle w:val="tabbielystyl"/>
            </w:pPr>
            <w:r w:rsidRPr="004C1013">
              <w:t>3.</w:t>
            </w:r>
          </w:p>
        </w:tc>
        <w:tc>
          <w:tcPr>
            <w:tcW w:w="904" w:type="pct"/>
            <w:hideMark/>
          </w:tcPr>
          <w:p w:rsidR="0025522E" w:rsidRPr="004C1013" w:rsidRDefault="0025522E" w:rsidP="0025522E">
            <w:pPr>
              <w:pStyle w:val="tabbielystyl"/>
            </w:pPr>
            <w:r w:rsidRPr="004C1013">
              <w:t>5 751</w:t>
            </w:r>
          </w:p>
        </w:tc>
        <w:tc>
          <w:tcPr>
            <w:tcW w:w="829" w:type="pct"/>
            <w:vAlign w:val="bottom"/>
          </w:tcPr>
          <w:p w:rsidR="0025522E" w:rsidRPr="004C1013" w:rsidRDefault="0025522E" w:rsidP="0025522E">
            <w:pPr>
              <w:pStyle w:val="tabbielystyl"/>
            </w:pPr>
            <w:r w:rsidRPr="004C1013">
              <w:t>N/A</w:t>
            </w:r>
          </w:p>
        </w:tc>
        <w:tc>
          <w:tcPr>
            <w:tcW w:w="979" w:type="pct"/>
          </w:tcPr>
          <w:p w:rsidR="0025522E" w:rsidRPr="004C1013" w:rsidRDefault="0025522E" w:rsidP="0025522E">
            <w:pPr>
              <w:pStyle w:val="tabbielystyl"/>
            </w:pPr>
            <w:r w:rsidRPr="004C1013">
              <w:t>N/A</w:t>
            </w:r>
          </w:p>
        </w:tc>
        <w:tc>
          <w:tcPr>
            <w:tcW w:w="993" w:type="pct"/>
            <w:vAlign w:val="bottom"/>
          </w:tcPr>
          <w:p w:rsidR="0025522E" w:rsidRPr="004C1013" w:rsidRDefault="0025522E" w:rsidP="0025522E">
            <w:pPr>
              <w:pStyle w:val="tabbielystyl"/>
            </w:pPr>
            <w:r w:rsidRPr="004C1013">
              <w:t>2077</w:t>
            </w:r>
          </w:p>
        </w:tc>
      </w:tr>
      <w:tr w:rsidR="0025522E" w:rsidRPr="004C1013" w:rsidTr="00404B50">
        <w:trPr>
          <w:trHeight w:val="283"/>
        </w:trPr>
        <w:tc>
          <w:tcPr>
            <w:tcW w:w="617" w:type="pct"/>
            <w:hideMark/>
          </w:tcPr>
          <w:p w:rsidR="0025522E" w:rsidRPr="004C1013" w:rsidRDefault="0025522E" w:rsidP="0025522E">
            <w:pPr>
              <w:pStyle w:val="tabbielystyl"/>
            </w:pPr>
            <w:r w:rsidRPr="004C1013">
              <w:t>2014</w:t>
            </w:r>
          </w:p>
        </w:tc>
        <w:tc>
          <w:tcPr>
            <w:tcW w:w="678" w:type="pct"/>
            <w:hideMark/>
          </w:tcPr>
          <w:p w:rsidR="0025522E" w:rsidRPr="004C1013" w:rsidRDefault="0025522E" w:rsidP="0025522E">
            <w:pPr>
              <w:pStyle w:val="tabbielystyl"/>
            </w:pPr>
            <w:r w:rsidRPr="004C1013">
              <w:t>4.</w:t>
            </w:r>
          </w:p>
        </w:tc>
        <w:tc>
          <w:tcPr>
            <w:tcW w:w="904" w:type="pct"/>
            <w:hideMark/>
          </w:tcPr>
          <w:p w:rsidR="0025522E" w:rsidRPr="004C1013" w:rsidRDefault="0025522E" w:rsidP="0025522E">
            <w:pPr>
              <w:pStyle w:val="tabbielystyl"/>
            </w:pPr>
            <w:r w:rsidRPr="004C1013">
              <w:t>6 117</w:t>
            </w:r>
          </w:p>
        </w:tc>
        <w:tc>
          <w:tcPr>
            <w:tcW w:w="829" w:type="pct"/>
            <w:vAlign w:val="bottom"/>
          </w:tcPr>
          <w:p w:rsidR="0025522E" w:rsidRPr="004C1013" w:rsidRDefault="0025522E" w:rsidP="0025522E">
            <w:pPr>
              <w:pStyle w:val="tabbielystyl"/>
            </w:pPr>
            <w:r w:rsidRPr="004C1013">
              <w:t>4135</w:t>
            </w:r>
          </w:p>
        </w:tc>
        <w:tc>
          <w:tcPr>
            <w:tcW w:w="979" w:type="pct"/>
          </w:tcPr>
          <w:p w:rsidR="0025522E" w:rsidRPr="004C1013" w:rsidRDefault="0025522E" w:rsidP="0025522E">
            <w:pPr>
              <w:pStyle w:val="tabbielystyl"/>
            </w:pPr>
            <w:r w:rsidRPr="004C1013">
              <w:t>2 157</w:t>
            </w:r>
          </w:p>
        </w:tc>
        <w:tc>
          <w:tcPr>
            <w:tcW w:w="993" w:type="pct"/>
            <w:vAlign w:val="bottom"/>
          </w:tcPr>
          <w:p w:rsidR="0025522E" w:rsidRPr="004C1013" w:rsidRDefault="0025522E" w:rsidP="0025522E">
            <w:pPr>
              <w:pStyle w:val="tabbielystyl"/>
            </w:pPr>
            <w:r w:rsidRPr="004C1013">
              <w:t>2716</w:t>
            </w:r>
          </w:p>
        </w:tc>
      </w:tr>
      <w:tr w:rsidR="0025522E" w:rsidRPr="004C1013" w:rsidTr="00404B50">
        <w:trPr>
          <w:trHeight w:val="283"/>
        </w:trPr>
        <w:tc>
          <w:tcPr>
            <w:tcW w:w="617" w:type="pct"/>
            <w:hideMark/>
          </w:tcPr>
          <w:p w:rsidR="0025522E" w:rsidRPr="004C1013" w:rsidRDefault="0025522E" w:rsidP="0025522E">
            <w:pPr>
              <w:pStyle w:val="tabbielystyl"/>
            </w:pPr>
            <w:r w:rsidRPr="004C1013">
              <w:t>2015</w:t>
            </w:r>
          </w:p>
        </w:tc>
        <w:tc>
          <w:tcPr>
            <w:tcW w:w="678" w:type="pct"/>
            <w:hideMark/>
          </w:tcPr>
          <w:p w:rsidR="0025522E" w:rsidRPr="004C1013" w:rsidRDefault="0025522E" w:rsidP="0025522E">
            <w:pPr>
              <w:pStyle w:val="tabbielystyl"/>
            </w:pPr>
            <w:r w:rsidRPr="004C1013">
              <w:t>5.</w:t>
            </w:r>
          </w:p>
        </w:tc>
        <w:tc>
          <w:tcPr>
            <w:tcW w:w="904" w:type="pct"/>
            <w:hideMark/>
          </w:tcPr>
          <w:p w:rsidR="0025522E" w:rsidRPr="004C1013" w:rsidRDefault="0025522E" w:rsidP="0025522E">
            <w:pPr>
              <w:pStyle w:val="tabbielystyl"/>
            </w:pPr>
            <w:r w:rsidRPr="004C1013">
              <w:t>6 571</w:t>
            </w:r>
          </w:p>
        </w:tc>
        <w:tc>
          <w:tcPr>
            <w:tcW w:w="829" w:type="pct"/>
            <w:vAlign w:val="bottom"/>
          </w:tcPr>
          <w:p w:rsidR="0025522E" w:rsidRPr="004C1013" w:rsidRDefault="0025522E" w:rsidP="0025522E">
            <w:pPr>
              <w:pStyle w:val="tabbielystyl"/>
            </w:pPr>
            <w:r w:rsidRPr="004C1013">
              <w:t>N/A</w:t>
            </w:r>
          </w:p>
        </w:tc>
        <w:tc>
          <w:tcPr>
            <w:tcW w:w="979" w:type="pct"/>
          </w:tcPr>
          <w:p w:rsidR="0025522E" w:rsidRPr="004C1013" w:rsidRDefault="0025522E" w:rsidP="0025522E">
            <w:pPr>
              <w:pStyle w:val="tabbielystyl"/>
            </w:pPr>
            <w:r w:rsidRPr="004C1013">
              <w:t>N/A</w:t>
            </w:r>
          </w:p>
        </w:tc>
        <w:tc>
          <w:tcPr>
            <w:tcW w:w="993" w:type="pct"/>
            <w:vAlign w:val="bottom"/>
          </w:tcPr>
          <w:p w:rsidR="0025522E" w:rsidRPr="004C1013" w:rsidRDefault="0025522E" w:rsidP="0025522E">
            <w:pPr>
              <w:pStyle w:val="tabbielystyl"/>
            </w:pPr>
            <w:r w:rsidRPr="004C1013">
              <w:t>2336</w:t>
            </w:r>
          </w:p>
        </w:tc>
      </w:tr>
      <w:tr w:rsidR="0025522E" w:rsidRPr="004C1013" w:rsidTr="00404B50">
        <w:trPr>
          <w:trHeight w:val="283"/>
        </w:trPr>
        <w:tc>
          <w:tcPr>
            <w:tcW w:w="617" w:type="pct"/>
            <w:hideMark/>
          </w:tcPr>
          <w:p w:rsidR="0025522E" w:rsidRPr="004C1013" w:rsidRDefault="0025522E" w:rsidP="0025522E">
            <w:pPr>
              <w:pStyle w:val="tabbielystyl"/>
            </w:pPr>
            <w:r w:rsidRPr="004C1013">
              <w:t>2016</w:t>
            </w:r>
          </w:p>
        </w:tc>
        <w:tc>
          <w:tcPr>
            <w:tcW w:w="678" w:type="pct"/>
            <w:hideMark/>
          </w:tcPr>
          <w:p w:rsidR="0025522E" w:rsidRPr="004C1013" w:rsidRDefault="0025522E" w:rsidP="0025522E">
            <w:pPr>
              <w:pStyle w:val="tabbielystyl"/>
            </w:pPr>
            <w:r w:rsidRPr="004C1013">
              <w:t>6.</w:t>
            </w:r>
          </w:p>
        </w:tc>
        <w:tc>
          <w:tcPr>
            <w:tcW w:w="904" w:type="pct"/>
            <w:hideMark/>
          </w:tcPr>
          <w:p w:rsidR="0025522E" w:rsidRPr="004C1013" w:rsidRDefault="0025522E" w:rsidP="0025522E">
            <w:pPr>
              <w:pStyle w:val="tabbielystyl"/>
            </w:pPr>
            <w:r w:rsidRPr="004C1013">
              <w:t>7 212</w:t>
            </w:r>
          </w:p>
        </w:tc>
        <w:tc>
          <w:tcPr>
            <w:tcW w:w="829" w:type="pct"/>
            <w:vAlign w:val="bottom"/>
          </w:tcPr>
          <w:p w:rsidR="0025522E" w:rsidRPr="004C1013" w:rsidRDefault="0025522E" w:rsidP="0025522E">
            <w:pPr>
              <w:pStyle w:val="tabbielystyl"/>
            </w:pPr>
            <w:r w:rsidRPr="004C1013">
              <w:t>4344</w:t>
            </w:r>
          </w:p>
        </w:tc>
        <w:tc>
          <w:tcPr>
            <w:tcW w:w="979" w:type="pct"/>
          </w:tcPr>
          <w:p w:rsidR="0025522E" w:rsidRPr="004C1013" w:rsidRDefault="0025522E" w:rsidP="0025522E">
            <w:pPr>
              <w:pStyle w:val="tabbielystyl"/>
            </w:pPr>
            <w:r w:rsidRPr="004C1013">
              <w:t>2 295</w:t>
            </w:r>
          </w:p>
        </w:tc>
        <w:tc>
          <w:tcPr>
            <w:tcW w:w="993" w:type="pct"/>
            <w:vAlign w:val="bottom"/>
          </w:tcPr>
          <w:p w:rsidR="0025522E" w:rsidRPr="004C1013" w:rsidRDefault="0025522E" w:rsidP="0025522E">
            <w:pPr>
              <w:pStyle w:val="tabbielystyl"/>
            </w:pPr>
            <w:r w:rsidRPr="004C1013">
              <w:t>2477</w:t>
            </w:r>
          </w:p>
        </w:tc>
      </w:tr>
      <w:tr w:rsidR="0025522E" w:rsidRPr="004C1013" w:rsidTr="00404B50">
        <w:trPr>
          <w:trHeight w:val="283"/>
        </w:trPr>
        <w:tc>
          <w:tcPr>
            <w:tcW w:w="617" w:type="pct"/>
            <w:hideMark/>
          </w:tcPr>
          <w:p w:rsidR="0025522E" w:rsidRPr="004C1013" w:rsidRDefault="0025522E" w:rsidP="0025522E">
            <w:pPr>
              <w:pStyle w:val="tabbielystyl"/>
            </w:pPr>
            <w:r w:rsidRPr="004C1013">
              <w:t>2017</w:t>
            </w:r>
          </w:p>
        </w:tc>
        <w:tc>
          <w:tcPr>
            <w:tcW w:w="678" w:type="pct"/>
            <w:hideMark/>
          </w:tcPr>
          <w:p w:rsidR="0025522E" w:rsidRPr="004C1013" w:rsidRDefault="0025522E" w:rsidP="0025522E">
            <w:pPr>
              <w:pStyle w:val="tabbielystyl"/>
            </w:pPr>
            <w:r w:rsidRPr="004C1013">
              <w:t>7.</w:t>
            </w:r>
          </w:p>
        </w:tc>
        <w:tc>
          <w:tcPr>
            <w:tcW w:w="904" w:type="pct"/>
            <w:hideMark/>
          </w:tcPr>
          <w:p w:rsidR="0025522E" w:rsidRPr="004C1013" w:rsidRDefault="0025522E" w:rsidP="0025522E">
            <w:pPr>
              <w:pStyle w:val="tabbielystyl"/>
            </w:pPr>
            <w:r w:rsidRPr="004C1013">
              <w:t>7 813</w:t>
            </w:r>
          </w:p>
        </w:tc>
        <w:tc>
          <w:tcPr>
            <w:tcW w:w="829" w:type="pct"/>
            <w:vAlign w:val="bottom"/>
          </w:tcPr>
          <w:p w:rsidR="0025522E" w:rsidRPr="004C1013" w:rsidRDefault="0025522E" w:rsidP="0025522E">
            <w:pPr>
              <w:pStyle w:val="tabbielystyl"/>
            </w:pPr>
            <w:r w:rsidRPr="004C1013">
              <w:t>5034</w:t>
            </w:r>
          </w:p>
        </w:tc>
        <w:tc>
          <w:tcPr>
            <w:tcW w:w="979" w:type="pct"/>
          </w:tcPr>
          <w:p w:rsidR="0025522E" w:rsidRPr="004C1013" w:rsidRDefault="0025522E" w:rsidP="0025522E">
            <w:pPr>
              <w:pStyle w:val="tabbielystyl"/>
            </w:pPr>
            <w:r w:rsidRPr="004C1013">
              <w:t>2 698</w:t>
            </w:r>
          </w:p>
        </w:tc>
        <w:tc>
          <w:tcPr>
            <w:tcW w:w="993" w:type="pct"/>
            <w:vAlign w:val="bottom"/>
          </w:tcPr>
          <w:p w:rsidR="0025522E" w:rsidRPr="004C1013" w:rsidRDefault="0025522E" w:rsidP="0025522E">
            <w:pPr>
              <w:pStyle w:val="tabbielystyl"/>
            </w:pPr>
            <w:r w:rsidRPr="004C1013">
              <w:t>2698</w:t>
            </w:r>
          </w:p>
        </w:tc>
      </w:tr>
      <w:tr w:rsidR="0025522E" w:rsidRPr="004C1013" w:rsidTr="00404B50">
        <w:trPr>
          <w:trHeight w:val="283"/>
        </w:trPr>
        <w:tc>
          <w:tcPr>
            <w:tcW w:w="617" w:type="pct"/>
            <w:hideMark/>
          </w:tcPr>
          <w:p w:rsidR="0025522E" w:rsidRPr="004C1013" w:rsidRDefault="0025522E" w:rsidP="0025522E">
            <w:pPr>
              <w:pStyle w:val="tabbielystyl"/>
            </w:pPr>
            <w:r w:rsidRPr="004C1013">
              <w:t>2018</w:t>
            </w:r>
          </w:p>
        </w:tc>
        <w:tc>
          <w:tcPr>
            <w:tcW w:w="678" w:type="pct"/>
            <w:hideMark/>
          </w:tcPr>
          <w:p w:rsidR="0025522E" w:rsidRPr="004C1013" w:rsidRDefault="0025522E" w:rsidP="0025522E">
            <w:pPr>
              <w:pStyle w:val="tabbielystyl"/>
            </w:pPr>
            <w:r w:rsidRPr="004C1013">
              <w:t>8.</w:t>
            </w:r>
          </w:p>
        </w:tc>
        <w:tc>
          <w:tcPr>
            <w:tcW w:w="904" w:type="pct"/>
            <w:hideMark/>
          </w:tcPr>
          <w:p w:rsidR="0025522E" w:rsidRPr="004C1013" w:rsidRDefault="0025522E" w:rsidP="0025522E">
            <w:pPr>
              <w:pStyle w:val="tabbielystyl"/>
            </w:pPr>
            <w:r w:rsidRPr="004C1013">
              <w:t>6 958</w:t>
            </w:r>
          </w:p>
        </w:tc>
        <w:tc>
          <w:tcPr>
            <w:tcW w:w="829" w:type="pct"/>
            <w:vAlign w:val="bottom"/>
          </w:tcPr>
          <w:p w:rsidR="0025522E" w:rsidRPr="004C1013" w:rsidRDefault="0025522E" w:rsidP="0025522E">
            <w:pPr>
              <w:pStyle w:val="tabbielystyl"/>
            </w:pPr>
            <w:r w:rsidRPr="004C1013">
              <w:t>5188</w:t>
            </w:r>
          </w:p>
        </w:tc>
        <w:tc>
          <w:tcPr>
            <w:tcW w:w="979" w:type="pct"/>
          </w:tcPr>
          <w:p w:rsidR="0025522E" w:rsidRPr="004C1013" w:rsidRDefault="0025522E" w:rsidP="0025522E">
            <w:pPr>
              <w:pStyle w:val="tabbielystyl"/>
            </w:pPr>
            <w:r w:rsidRPr="004C1013">
              <w:t>2 788</w:t>
            </w:r>
          </w:p>
        </w:tc>
        <w:tc>
          <w:tcPr>
            <w:tcW w:w="993" w:type="pct"/>
            <w:vAlign w:val="bottom"/>
          </w:tcPr>
          <w:p w:rsidR="0025522E" w:rsidRPr="004C1013" w:rsidRDefault="0025522E" w:rsidP="0025522E">
            <w:pPr>
              <w:pStyle w:val="tabbielystyl"/>
            </w:pPr>
            <w:r w:rsidRPr="004C1013">
              <w:t>2788</w:t>
            </w:r>
          </w:p>
        </w:tc>
      </w:tr>
    </w:tbl>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 xml:space="preserve">Podľa zdroja [46] sú najvýnosnejšími cestami v rámci systému viaTOLL diaľnice A1 a A4 a rýchlostná cesta S8 [46], z čoho vyplýva, že priemerné denné intenzity jednotkového kilometra celej spoplatnenej siete zahrňujúcej tiež rýchlostné cesty (vrátane najvyťaženejšej S8) a štátne cesty budú s určitosťou nižšie.  Pre ten účel realizoval riešiteľský kolektív rad výpočtov priemerných denných intenzít povinných vozidiel na jednotlivých kategóriách ciest a celej spoplatnenej sieti podľa výsledkov celoštátneho sčítania dopravy z roku 2015, ktoré zahŕňa aj intenzity koncesných úsekov diaľnic [54]. Výsledky výpočtov priemerných intenzít povinných vozidiel na celej sieti podľa CSD 2015 porovnal s intenzitou uvádzanou na koncesných úsekoch diaľnic A1, A2 a A4. </w:t>
      </w:r>
    </w:p>
    <w:p w:rsidR="0025522E" w:rsidRPr="004C1013" w:rsidRDefault="0025522E" w:rsidP="0025522E">
      <w:pPr>
        <w:pStyle w:val="Normaltext"/>
        <w:spacing w:line="276" w:lineRule="auto"/>
        <w:rPr>
          <w:rFonts w:asciiTheme="minorHAnsi" w:hAnsiTheme="minorHAnsi" w:cstheme="minorHAnsi"/>
        </w:rPr>
      </w:pPr>
      <w:r w:rsidRPr="004C1013">
        <w:rPr>
          <w:rFonts w:asciiTheme="minorHAnsi" w:hAnsiTheme="minorHAnsi" w:cstheme="minorHAnsi"/>
        </w:rPr>
        <w:t>Na základe výsledkov realizovaných výpočtov riešiteľský kolektív odhaduje 65% podiel dopravných výkonov na celej sieti viaTOLL z uvádzaných priemerných denných intenzít na koncesných úsekoch diaľnic [16]. Kumulované dopravné výkony na sieti sú vyjadrené prostredníctvom prepočtu týchto priemerných denných intenzít (</w:t>
      </w:r>
      <w:r w:rsidR="00C40D3F">
        <w:fldChar w:fldCharType="begin"/>
      </w:r>
      <w:r w:rsidR="00C40D3F">
        <w:instrText xml:space="preserve"> REF _Ref20599889 \h  \* MERGEFORMAT </w:instrText>
      </w:r>
      <w:r w:rsidR="00C40D3F">
        <w:fldChar w:fldCharType="separate"/>
      </w:r>
      <w:r w:rsidR="001E4C1C" w:rsidRPr="001E4C1C">
        <w:rPr>
          <w:rFonts w:asciiTheme="minorHAnsi" w:hAnsiTheme="minorHAnsi" w:cstheme="minorHAnsi"/>
        </w:rPr>
        <w:t xml:space="preserve">Tab.  </w:t>
      </w:r>
      <w:r w:rsidR="001E4C1C" w:rsidRPr="001E4C1C">
        <w:rPr>
          <w:rFonts w:asciiTheme="minorHAnsi" w:hAnsiTheme="minorHAnsi" w:cstheme="minorHAnsi"/>
          <w:noProof/>
        </w:rPr>
        <w:t>1</w:t>
      </w:r>
      <w:r w:rsidR="001E4C1C" w:rsidRPr="001E4C1C">
        <w:rPr>
          <w:rFonts w:asciiTheme="minorHAnsi" w:hAnsiTheme="minorHAnsi" w:cstheme="minorHAnsi"/>
          <w:noProof/>
        </w:rPr>
        <w:noBreakHyphen/>
        <w:t>36</w:t>
      </w:r>
      <w:r w:rsidR="00C40D3F">
        <w:fldChar w:fldCharType="end"/>
      </w:r>
      <w:r w:rsidRPr="004C1013">
        <w:rPr>
          <w:rFonts w:asciiTheme="minorHAnsi" w:hAnsiTheme="minorHAnsi" w:cstheme="minorHAnsi"/>
        </w:rPr>
        <w:t xml:space="preserve">).  </w:t>
      </w:r>
    </w:p>
    <w:p w:rsidR="0025522E" w:rsidRPr="004C1013" w:rsidRDefault="0025522E" w:rsidP="006B1C25">
      <w:pPr>
        <w:pStyle w:val="tabstyl"/>
      </w:pPr>
      <w:bookmarkStart w:id="154" w:name="_Ref20599889"/>
      <w:bookmarkStart w:id="155" w:name="_Toc36664478"/>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36</w:t>
      </w:r>
      <w:r w:rsidR="00C40D3F">
        <w:rPr>
          <w:noProof/>
        </w:rPr>
        <w:fldChar w:fldCharType="end"/>
      </w:r>
      <w:bookmarkEnd w:id="154"/>
      <w:r w:rsidRPr="004C1013">
        <w:t xml:space="preserve"> </w:t>
      </w:r>
      <w:r w:rsidRPr="004C1013">
        <w:tab/>
        <w:t>Poľsko: ETC indikátor 2. Dopravné výkony na sieti</w:t>
      </w:r>
      <w:bookmarkEnd w:id="155"/>
      <w:r w:rsidRPr="004C1013">
        <w:t xml:space="preserve">  </w:t>
      </w:r>
    </w:p>
    <w:tbl>
      <w:tblPr>
        <w:tblStyle w:val="tabulkaVUD"/>
        <w:tblW w:w="5000" w:type="pct"/>
        <w:tblLook w:val="04A0" w:firstRow="1" w:lastRow="0" w:firstColumn="1" w:lastColumn="0" w:noHBand="0" w:noVBand="1"/>
      </w:tblPr>
      <w:tblGrid>
        <w:gridCol w:w="1589"/>
        <w:gridCol w:w="1558"/>
        <w:gridCol w:w="3119"/>
        <w:gridCol w:w="3145"/>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882"/>
          <w:tblHeader/>
        </w:trPr>
        <w:tc>
          <w:tcPr>
            <w:tcW w:w="844" w:type="pct"/>
            <w:shd w:val="clear" w:color="auto" w:fill="7F7F7F" w:themeFill="text1" w:themeFillTint="80"/>
            <w:hideMark/>
          </w:tcPr>
          <w:p w:rsidR="0025522E" w:rsidRPr="004C1013" w:rsidRDefault="0025522E" w:rsidP="009D58D5">
            <w:pPr>
              <w:pStyle w:val="zahltab"/>
            </w:pPr>
            <w:r w:rsidRPr="004C1013">
              <w:t>Kalendárny rok</w:t>
            </w:r>
          </w:p>
        </w:tc>
        <w:tc>
          <w:tcPr>
            <w:tcW w:w="828" w:type="pct"/>
            <w:hideMark/>
          </w:tcPr>
          <w:p w:rsidR="0025522E" w:rsidRPr="004C1013" w:rsidRDefault="0025522E" w:rsidP="009D58D5">
            <w:pPr>
              <w:pStyle w:val="zahltab"/>
            </w:pPr>
            <w:r w:rsidRPr="004C1013">
              <w:t>Rok prevádzky</w:t>
            </w:r>
          </w:p>
        </w:tc>
        <w:tc>
          <w:tcPr>
            <w:tcW w:w="1657" w:type="pct"/>
            <w:hideMark/>
          </w:tcPr>
          <w:p w:rsidR="0025522E" w:rsidRPr="004C1013" w:rsidRDefault="0025522E" w:rsidP="009D58D5">
            <w:pPr>
              <w:pStyle w:val="zahltab"/>
            </w:pPr>
            <w:r w:rsidRPr="004C1013">
              <w:t>Dopravná intenzita na priemernom 1km siete  (voz/deň)</w:t>
            </w:r>
          </w:p>
        </w:tc>
        <w:tc>
          <w:tcPr>
            <w:tcW w:w="1671" w:type="pct"/>
          </w:tcPr>
          <w:p w:rsidR="0025522E" w:rsidRPr="004C1013" w:rsidRDefault="0025522E" w:rsidP="009D58D5">
            <w:pPr>
              <w:pStyle w:val="zahltab"/>
            </w:pPr>
            <w:r w:rsidRPr="004C1013">
              <w:t>Kumulovaný dopravný výkon (vkm/rok)</w:t>
            </w:r>
          </w:p>
        </w:tc>
      </w:tr>
      <w:tr w:rsidR="0025522E" w:rsidRPr="004C1013" w:rsidTr="00404B50">
        <w:trPr>
          <w:trHeight w:val="300"/>
        </w:trPr>
        <w:tc>
          <w:tcPr>
            <w:tcW w:w="844" w:type="pct"/>
            <w:hideMark/>
          </w:tcPr>
          <w:p w:rsidR="0025522E" w:rsidRPr="004C1013" w:rsidRDefault="0025522E" w:rsidP="0025522E">
            <w:pPr>
              <w:pStyle w:val="tabbielystyl"/>
            </w:pPr>
            <w:r w:rsidRPr="004C1013">
              <w:t>2011</w:t>
            </w:r>
          </w:p>
        </w:tc>
        <w:tc>
          <w:tcPr>
            <w:tcW w:w="828" w:type="pct"/>
            <w:hideMark/>
          </w:tcPr>
          <w:p w:rsidR="0025522E" w:rsidRPr="004C1013" w:rsidRDefault="0025522E" w:rsidP="0025522E">
            <w:pPr>
              <w:pStyle w:val="tabbielystyl"/>
            </w:pPr>
            <w:r w:rsidRPr="004C1013">
              <w:t>1.</w:t>
            </w:r>
          </w:p>
        </w:tc>
        <w:tc>
          <w:tcPr>
            <w:tcW w:w="1657" w:type="pct"/>
            <w:vAlign w:val="top"/>
            <w:hideMark/>
          </w:tcPr>
          <w:p w:rsidR="0025522E" w:rsidRPr="004C1013" w:rsidRDefault="0025522E" w:rsidP="0025522E">
            <w:pPr>
              <w:pStyle w:val="tabbielystyl"/>
            </w:pPr>
            <w:r w:rsidRPr="004C1013">
              <w:t>3 992</w:t>
            </w:r>
          </w:p>
        </w:tc>
        <w:tc>
          <w:tcPr>
            <w:tcW w:w="1671" w:type="pct"/>
            <w:vAlign w:val="top"/>
          </w:tcPr>
          <w:p w:rsidR="0025522E" w:rsidRPr="004C1013" w:rsidRDefault="0025522E" w:rsidP="0025522E">
            <w:pPr>
              <w:pStyle w:val="tabbielystyl"/>
            </w:pPr>
            <w:r w:rsidRPr="004C1013">
              <w:t>2 281</w:t>
            </w:r>
          </w:p>
        </w:tc>
      </w:tr>
      <w:tr w:rsidR="0025522E" w:rsidRPr="004C1013" w:rsidTr="00404B50">
        <w:trPr>
          <w:trHeight w:val="300"/>
        </w:trPr>
        <w:tc>
          <w:tcPr>
            <w:tcW w:w="844" w:type="pct"/>
            <w:hideMark/>
          </w:tcPr>
          <w:p w:rsidR="0025522E" w:rsidRPr="004C1013" w:rsidRDefault="0025522E" w:rsidP="0025522E">
            <w:pPr>
              <w:pStyle w:val="tabbielystyl"/>
            </w:pPr>
            <w:r w:rsidRPr="004C1013">
              <w:t>2012</w:t>
            </w:r>
          </w:p>
        </w:tc>
        <w:tc>
          <w:tcPr>
            <w:tcW w:w="828" w:type="pct"/>
            <w:hideMark/>
          </w:tcPr>
          <w:p w:rsidR="0025522E" w:rsidRPr="004C1013" w:rsidRDefault="0025522E" w:rsidP="0025522E">
            <w:pPr>
              <w:pStyle w:val="tabbielystyl"/>
            </w:pPr>
            <w:r w:rsidRPr="004C1013">
              <w:t>2.</w:t>
            </w:r>
          </w:p>
        </w:tc>
        <w:tc>
          <w:tcPr>
            <w:tcW w:w="1657" w:type="pct"/>
            <w:vAlign w:val="top"/>
            <w:hideMark/>
          </w:tcPr>
          <w:p w:rsidR="0025522E" w:rsidRPr="004C1013" w:rsidRDefault="0025522E" w:rsidP="0025522E">
            <w:pPr>
              <w:pStyle w:val="tabbielystyl"/>
            </w:pPr>
            <w:r w:rsidRPr="004C1013">
              <w:t>3 407</w:t>
            </w:r>
          </w:p>
        </w:tc>
        <w:tc>
          <w:tcPr>
            <w:tcW w:w="1671" w:type="pct"/>
            <w:vAlign w:val="top"/>
          </w:tcPr>
          <w:p w:rsidR="0025522E" w:rsidRPr="004C1013" w:rsidRDefault="0025522E" w:rsidP="0025522E">
            <w:pPr>
              <w:pStyle w:val="tabbielystyl"/>
            </w:pPr>
            <w:r w:rsidRPr="004C1013">
              <w:t>2 351</w:t>
            </w:r>
          </w:p>
        </w:tc>
      </w:tr>
      <w:tr w:rsidR="0025522E" w:rsidRPr="004C1013" w:rsidTr="00404B50">
        <w:trPr>
          <w:trHeight w:val="300"/>
        </w:trPr>
        <w:tc>
          <w:tcPr>
            <w:tcW w:w="844" w:type="pct"/>
            <w:hideMark/>
          </w:tcPr>
          <w:p w:rsidR="0025522E" w:rsidRPr="004C1013" w:rsidRDefault="0025522E" w:rsidP="0025522E">
            <w:pPr>
              <w:pStyle w:val="tabbielystyl"/>
            </w:pPr>
            <w:r w:rsidRPr="004C1013">
              <w:t>2013</w:t>
            </w:r>
          </w:p>
        </w:tc>
        <w:tc>
          <w:tcPr>
            <w:tcW w:w="828" w:type="pct"/>
            <w:hideMark/>
          </w:tcPr>
          <w:p w:rsidR="0025522E" w:rsidRPr="004C1013" w:rsidRDefault="0025522E" w:rsidP="0025522E">
            <w:pPr>
              <w:pStyle w:val="tabbielystyl"/>
            </w:pPr>
            <w:r w:rsidRPr="004C1013">
              <w:t>3.</w:t>
            </w:r>
          </w:p>
        </w:tc>
        <w:tc>
          <w:tcPr>
            <w:tcW w:w="1657" w:type="pct"/>
            <w:vAlign w:val="top"/>
            <w:hideMark/>
          </w:tcPr>
          <w:p w:rsidR="0025522E" w:rsidRPr="004C1013" w:rsidRDefault="0025522E" w:rsidP="0025522E">
            <w:pPr>
              <w:pStyle w:val="tabbielystyl"/>
            </w:pPr>
            <w:r w:rsidRPr="004C1013">
              <w:t>3 738</w:t>
            </w:r>
          </w:p>
        </w:tc>
        <w:tc>
          <w:tcPr>
            <w:tcW w:w="1671" w:type="pct"/>
            <w:vAlign w:val="top"/>
          </w:tcPr>
          <w:p w:rsidR="0025522E" w:rsidRPr="004C1013" w:rsidRDefault="0025522E" w:rsidP="0025522E">
            <w:pPr>
              <w:pStyle w:val="tabbielystyl"/>
            </w:pPr>
            <w:r w:rsidRPr="004C1013">
              <w:t>3 620</w:t>
            </w:r>
          </w:p>
        </w:tc>
      </w:tr>
      <w:tr w:rsidR="0025522E" w:rsidRPr="004C1013" w:rsidTr="00404B50">
        <w:trPr>
          <w:trHeight w:val="300"/>
        </w:trPr>
        <w:tc>
          <w:tcPr>
            <w:tcW w:w="844" w:type="pct"/>
            <w:hideMark/>
          </w:tcPr>
          <w:p w:rsidR="0025522E" w:rsidRPr="004C1013" w:rsidRDefault="0025522E" w:rsidP="0025522E">
            <w:pPr>
              <w:pStyle w:val="tabbielystyl"/>
            </w:pPr>
            <w:r w:rsidRPr="004C1013">
              <w:t>2014</w:t>
            </w:r>
          </w:p>
        </w:tc>
        <w:tc>
          <w:tcPr>
            <w:tcW w:w="828" w:type="pct"/>
            <w:hideMark/>
          </w:tcPr>
          <w:p w:rsidR="0025522E" w:rsidRPr="004C1013" w:rsidRDefault="0025522E" w:rsidP="0025522E">
            <w:pPr>
              <w:pStyle w:val="tabbielystyl"/>
            </w:pPr>
            <w:r w:rsidRPr="004C1013">
              <w:t>4.</w:t>
            </w:r>
          </w:p>
        </w:tc>
        <w:tc>
          <w:tcPr>
            <w:tcW w:w="1657" w:type="pct"/>
            <w:vAlign w:val="top"/>
            <w:hideMark/>
          </w:tcPr>
          <w:p w:rsidR="0025522E" w:rsidRPr="004C1013" w:rsidRDefault="0025522E" w:rsidP="0025522E">
            <w:pPr>
              <w:pStyle w:val="tabbielystyl"/>
            </w:pPr>
            <w:r w:rsidRPr="004C1013">
              <w:t>3 976</w:t>
            </w:r>
          </w:p>
        </w:tc>
        <w:tc>
          <w:tcPr>
            <w:tcW w:w="1671" w:type="pct"/>
            <w:vAlign w:val="top"/>
          </w:tcPr>
          <w:p w:rsidR="0025522E" w:rsidRPr="004C1013" w:rsidRDefault="0025522E" w:rsidP="0025522E">
            <w:pPr>
              <w:pStyle w:val="tabbielystyl"/>
            </w:pPr>
            <w:r w:rsidRPr="004C1013">
              <w:t>4 233</w:t>
            </w:r>
          </w:p>
        </w:tc>
      </w:tr>
      <w:tr w:rsidR="0025522E" w:rsidRPr="004C1013" w:rsidTr="00404B50">
        <w:trPr>
          <w:trHeight w:val="300"/>
        </w:trPr>
        <w:tc>
          <w:tcPr>
            <w:tcW w:w="844" w:type="pct"/>
            <w:hideMark/>
          </w:tcPr>
          <w:p w:rsidR="0025522E" w:rsidRPr="004C1013" w:rsidRDefault="0025522E" w:rsidP="0025522E">
            <w:pPr>
              <w:pStyle w:val="tabbielystyl"/>
            </w:pPr>
            <w:r w:rsidRPr="004C1013">
              <w:t>2015</w:t>
            </w:r>
          </w:p>
        </w:tc>
        <w:tc>
          <w:tcPr>
            <w:tcW w:w="828" w:type="pct"/>
            <w:hideMark/>
          </w:tcPr>
          <w:p w:rsidR="0025522E" w:rsidRPr="004C1013" w:rsidRDefault="0025522E" w:rsidP="0025522E">
            <w:pPr>
              <w:pStyle w:val="tabbielystyl"/>
            </w:pPr>
            <w:r w:rsidRPr="004C1013">
              <w:t>5.</w:t>
            </w:r>
          </w:p>
        </w:tc>
        <w:tc>
          <w:tcPr>
            <w:tcW w:w="1657" w:type="pct"/>
            <w:vAlign w:val="top"/>
            <w:hideMark/>
          </w:tcPr>
          <w:p w:rsidR="0025522E" w:rsidRPr="004C1013" w:rsidRDefault="0025522E" w:rsidP="0025522E">
            <w:pPr>
              <w:pStyle w:val="tabbielystyl"/>
            </w:pPr>
            <w:r w:rsidRPr="004C1013">
              <w:t>4 271</w:t>
            </w:r>
          </w:p>
        </w:tc>
        <w:tc>
          <w:tcPr>
            <w:tcW w:w="1671" w:type="pct"/>
            <w:vAlign w:val="top"/>
          </w:tcPr>
          <w:p w:rsidR="0025522E" w:rsidRPr="004C1013" w:rsidRDefault="0025522E" w:rsidP="0025522E">
            <w:pPr>
              <w:pStyle w:val="tabbielystyl"/>
            </w:pPr>
            <w:r w:rsidRPr="004C1013">
              <w:t>4 939</w:t>
            </w:r>
          </w:p>
        </w:tc>
      </w:tr>
      <w:tr w:rsidR="0025522E" w:rsidRPr="004C1013" w:rsidTr="00404B50">
        <w:trPr>
          <w:trHeight w:val="300"/>
        </w:trPr>
        <w:tc>
          <w:tcPr>
            <w:tcW w:w="844" w:type="pct"/>
            <w:hideMark/>
          </w:tcPr>
          <w:p w:rsidR="0025522E" w:rsidRPr="004C1013" w:rsidRDefault="0025522E" w:rsidP="0025522E">
            <w:pPr>
              <w:pStyle w:val="tabbielystyl"/>
            </w:pPr>
            <w:r w:rsidRPr="004C1013">
              <w:t>2016</w:t>
            </w:r>
          </w:p>
        </w:tc>
        <w:tc>
          <w:tcPr>
            <w:tcW w:w="828" w:type="pct"/>
            <w:hideMark/>
          </w:tcPr>
          <w:p w:rsidR="0025522E" w:rsidRPr="004C1013" w:rsidRDefault="0025522E" w:rsidP="0025522E">
            <w:pPr>
              <w:pStyle w:val="tabbielystyl"/>
            </w:pPr>
            <w:r w:rsidRPr="004C1013">
              <w:t>6.</w:t>
            </w:r>
          </w:p>
        </w:tc>
        <w:tc>
          <w:tcPr>
            <w:tcW w:w="1657" w:type="pct"/>
            <w:vAlign w:val="top"/>
            <w:hideMark/>
          </w:tcPr>
          <w:p w:rsidR="0025522E" w:rsidRPr="004C1013" w:rsidRDefault="0025522E" w:rsidP="0025522E">
            <w:pPr>
              <w:pStyle w:val="tabbielystyl"/>
            </w:pPr>
            <w:r w:rsidRPr="004C1013">
              <w:t>4 688</w:t>
            </w:r>
          </w:p>
        </w:tc>
        <w:tc>
          <w:tcPr>
            <w:tcW w:w="1671" w:type="pct"/>
            <w:vAlign w:val="top"/>
          </w:tcPr>
          <w:p w:rsidR="0025522E" w:rsidRPr="004C1013" w:rsidRDefault="0025522E" w:rsidP="0025522E">
            <w:pPr>
              <w:pStyle w:val="tabbielystyl"/>
            </w:pPr>
            <w:r w:rsidRPr="004C1013">
              <w:t>5 677</w:t>
            </w:r>
          </w:p>
        </w:tc>
      </w:tr>
      <w:tr w:rsidR="0025522E" w:rsidRPr="004C1013" w:rsidTr="00404B50">
        <w:trPr>
          <w:trHeight w:val="300"/>
        </w:trPr>
        <w:tc>
          <w:tcPr>
            <w:tcW w:w="844" w:type="pct"/>
            <w:hideMark/>
          </w:tcPr>
          <w:p w:rsidR="0025522E" w:rsidRPr="004C1013" w:rsidRDefault="0025522E" w:rsidP="0025522E">
            <w:pPr>
              <w:pStyle w:val="tabbielystyl"/>
            </w:pPr>
            <w:r w:rsidRPr="004C1013">
              <w:t>2017</w:t>
            </w:r>
          </w:p>
        </w:tc>
        <w:tc>
          <w:tcPr>
            <w:tcW w:w="828" w:type="pct"/>
            <w:hideMark/>
          </w:tcPr>
          <w:p w:rsidR="0025522E" w:rsidRPr="004C1013" w:rsidRDefault="0025522E" w:rsidP="0025522E">
            <w:pPr>
              <w:pStyle w:val="tabbielystyl"/>
            </w:pPr>
            <w:r w:rsidRPr="004C1013">
              <w:t>7.</w:t>
            </w:r>
          </w:p>
        </w:tc>
        <w:tc>
          <w:tcPr>
            <w:tcW w:w="1657" w:type="pct"/>
            <w:vAlign w:val="top"/>
            <w:hideMark/>
          </w:tcPr>
          <w:p w:rsidR="0025522E" w:rsidRPr="004C1013" w:rsidRDefault="0025522E" w:rsidP="0025522E">
            <w:pPr>
              <w:pStyle w:val="tabbielystyl"/>
            </w:pPr>
            <w:r w:rsidRPr="004C1013">
              <w:t>5 078</w:t>
            </w:r>
          </w:p>
        </w:tc>
        <w:tc>
          <w:tcPr>
            <w:tcW w:w="1671" w:type="pct"/>
            <w:vAlign w:val="top"/>
          </w:tcPr>
          <w:p w:rsidR="0025522E" w:rsidRPr="004C1013" w:rsidRDefault="0025522E" w:rsidP="0025522E">
            <w:pPr>
              <w:pStyle w:val="tabbielystyl"/>
            </w:pPr>
            <w:r w:rsidRPr="004C1013">
              <w:t>6 818</w:t>
            </w:r>
          </w:p>
        </w:tc>
      </w:tr>
      <w:tr w:rsidR="0025522E" w:rsidRPr="004C1013" w:rsidTr="00404B50">
        <w:trPr>
          <w:trHeight w:val="300"/>
        </w:trPr>
        <w:tc>
          <w:tcPr>
            <w:tcW w:w="844" w:type="pct"/>
            <w:hideMark/>
          </w:tcPr>
          <w:p w:rsidR="0025522E" w:rsidRPr="004C1013" w:rsidRDefault="0025522E" w:rsidP="0025522E">
            <w:pPr>
              <w:pStyle w:val="tabbielystyl"/>
            </w:pPr>
            <w:r w:rsidRPr="004C1013">
              <w:t>2018</w:t>
            </w:r>
          </w:p>
        </w:tc>
        <w:tc>
          <w:tcPr>
            <w:tcW w:w="828" w:type="pct"/>
            <w:hideMark/>
          </w:tcPr>
          <w:p w:rsidR="0025522E" w:rsidRPr="004C1013" w:rsidRDefault="0025522E" w:rsidP="0025522E">
            <w:pPr>
              <w:pStyle w:val="tabbielystyl"/>
            </w:pPr>
            <w:r w:rsidRPr="004C1013">
              <w:t>8.</w:t>
            </w:r>
          </w:p>
        </w:tc>
        <w:tc>
          <w:tcPr>
            <w:tcW w:w="1657" w:type="pct"/>
            <w:vAlign w:val="top"/>
            <w:hideMark/>
          </w:tcPr>
          <w:p w:rsidR="0025522E" w:rsidRPr="004C1013" w:rsidRDefault="0025522E" w:rsidP="0025522E">
            <w:pPr>
              <w:pStyle w:val="tabbielystyl"/>
            </w:pPr>
            <w:r w:rsidRPr="004C1013">
              <w:t>4 523</w:t>
            </w:r>
          </w:p>
        </w:tc>
        <w:tc>
          <w:tcPr>
            <w:tcW w:w="1671" w:type="pct"/>
            <w:vAlign w:val="top"/>
          </w:tcPr>
          <w:p w:rsidR="0025522E" w:rsidRPr="004C1013" w:rsidRDefault="0025522E" w:rsidP="0025522E">
            <w:pPr>
              <w:pStyle w:val="tabbielystyl"/>
            </w:pPr>
            <w:r w:rsidRPr="004C1013">
              <w:t>6 159</w:t>
            </w:r>
          </w:p>
        </w:tc>
      </w:tr>
    </w:tbl>
    <w:p w:rsidR="0025522E" w:rsidRPr="004C1013" w:rsidRDefault="00BC3F5C" w:rsidP="0025522E">
      <w:pPr>
        <w:pStyle w:val="Nadpis3"/>
        <w:rPr>
          <w:rFonts w:asciiTheme="minorHAnsi" w:hAnsiTheme="minorHAnsi" w:cstheme="minorHAnsi"/>
        </w:rPr>
      </w:pPr>
      <w:bookmarkStart w:id="156" w:name="_Toc20687942"/>
      <w:bookmarkStart w:id="157" w:name="_Toc36664385"/>
      <w:r>
        <w:rPr>
          <w:rFonts w:asciiTheme="minorHAnsi" w:hAnsiTheme="minorHAnsi" w:cstheme="minorHAnsi"/>
        </w:rPr>
        <w:t xml:space="preserve">Výnosy </w:t>
      </w:r>
      <w:r w:rsidR="0025522E" w:rsidRPr="004C1013">
        <w:rPr>
          <w:rFonts w:asciiTheme="minorHAnsi" w:hAnsiTheme="minorHAnsi" w:cstheme="minorHAnsi"/>
        </w:rPr>
        <w:t>a náklady systému ETC</w:t>
      </w:r>
      <w:bookmarkEnd w:id="156"/>
      <w:bookmarkEnd w:id="157"/>
    </w:p>
    <w:p w:rsidR="0025522E" w:rsidRPr="004C1013" w:rsidRDefault="0025522E" w:rsidP="0025522E">
      <w:r w:rsidRPr="004C1013">
        <w:t xml:space="preserve">Informácie o výnosoch a nákladoch systému elektronického výberu mýta viaTOLL v Poľsku boli získané z publikovaných dokumentov Najvyššieho kontrolného úradu (NIK) [53], Generálneho riaditeľstva pre národné cesty a diaľnice (GDDiKA) [55], odbornej štúdie [52] a tlačových správ </w:t>
      </w:r>
      <w:r w:rsidRPr="002F470D">
        <w:t>[56]</w:t>
      </w:r>
      <w:r w:rsidR="002F470D">
        <w:t xml:space="preserve">, </w:t>
      </w:r>
      <w:r w:rsidR="002F470D" w:rsidRPr="002F470D">
        <w:t>[5</w:t>
      </w:r>
      <w:r w:rsidR="002F470D">
        <w:t>7</w:t>
      </w:r>
      <w:r w:rsidR="002F470D" w:rsidRPr="002F470D">
        <w:t>]</w:t>
      </w:r>
      <w:r w:rsidRPr="002F470D">
        <w:t>.</w:t>
      </w:r>
      <w:r w:rsidRPr="00E442EA">
        <w:rPr>
          <w:sz w:val="20"/>
        </w:rPr>
        <w:t xml:space="preserve"> </w:t>
      </w:r>
      <w:r w:rsidRPr="004C1013">
        <w:t xml:space="preserve">Príjmy uvádzané v správach ASECAP zohľadňujú len príjmy za vybrané koncesné úseky diaľnic A1, A2 a A3 a z toho dôvodu neboli v analýze uvažované. </w:t>
      </w:r>
    </w:p>
    <w:p w:rsidR="0025522E" w:rsidRPr="004C1013" w:rsidRDefault="0025522E" w:rsidP="0025522E">
      <w:r w:rsidRPr="004C1013">
        <w:t>Vzhľadom na to, že sumy výnosov a nákladov systému boli v dostupných zdrojoch uvádzané v PLN, riešiteľský kolektív realizoval prepočet podľa priemerného ročného kurzu EUR/PLN [40], (</w:t>
      </w:r>
      <w:r w:rsidR="00C40D3F">
        <w:fldChar w:fldCharType="begin"/>
      </w:r>
      <w:r w:rsidR="00C40D3F">
        <w:instrText xml:space="preserve"> REF _Ref20602270 \h  \* MERGEFORMAT </w:instrText>
      </w:r>
      <w:r w:rsidR="00C40D3F">
        <w:fldChar w:fldCharType="separate"/>
      </w:r>
      <w:r w:rsidR="001E4C1C" w:rsidRPr="004C1013">
        <w:t xml:space="preserve">Tab.  </w:t>
      </w:r>
      <w:r w:rsidR="001E4C1C">
        <w:rPr>
          <w:noProof/>
        </w:rPr>
        <w:t>1</w:t>
      </w:r>
      <w:r w:rsidR="001E4C1C">
        <w:rPr>
          <w:noProof/>
        </w:rPr>
        <w:noBreakHyphen/>
        <w:t>39</w:t>
      </w:r>
      <w:r w:rsidR="00C40D3F">
        <w:fldChar w:fldCharType="end"/>
      </w:r>
      <w:r w:rsidRPr="004C1013">
        <w:t>).</w:t>
      </w:r>
      <w:r w:rsidRPr="004C1013">
        <w:rPr>
          <w:sz w:val="20"/>
          <w:lang w:val="en-US"/>
        </w:rPr>
        <w:t xml:space="preserve">  </w:t>
      </w:r>
    </w:p>
    <w:p w:rsidR="0025522E" w:rsidRPr="004C1013" w:rsidRDefault="0025522E" w:rsidP="006B1C25">
      <w:pPr>
        <w:pStyle w:val="tabstyl"/>
      </w:pPr>
      <w:bookmarkStart w:id="158" w:name="_Toc36664479"/>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w:instrText>
      </w:r>
      <w:r w:rsidR="00C40D3F">
        <w:instrText xml:space="preserve"> Tab._ \* ARABIC \s 1 </w:instrText>
      </w:r>
      <w:r w:rsidR="00C40D3F">
        <w:fldChar w:fldCharType="separate"/>
      </w:r>
      <w:r w:rsidR="00AE19F9">
        <w:rPr>
          <w:noProof/>
        </w:rPr>
        <w:t>37</w:t>
      </w:r>
      <w:r w:rsidR="00C40D3F">
        <w:rPr>
          <w:noProof/>
        </w:rPr>
        <w:fldChar w:fldCharType="end"/>
      </w:r>
      <w:r w:rsidRPr="004C1013">
        <w:t xml:space="preserve"> </w:t>
      </w:r>
      <w:r w:rsidRPr="004C1013">
        <w:tab/>
        <w:t>Priemerný ročný kurz EUR/PLN</w:t>
      </w:r>
      <w:bookmarkEnd w:id="158"/>
      <w:r w:rsidRPr="004C1013">
        <w:t xml:space="preserve"> </w:t>
      </w:r>
    </w:p>
    <w:tbl>
      <w:tblPr>
        <w:tblStyle w:val="tabulkaVUD"/>
        <w:tblW w:w="5000" w:type="pct"/>
        <w:tblLook w:val="04A0" w:firstRow="1" w:lastRow="0" w:firstColumn="1" w:lastColumn="0" w:noHBand="0" w:noVBand="1"/>
      </w:tblPr>
      <w:tblGrid>
        <w:gridCol w:w="2939"/>
        <w:gridCol w:w="3236"/>
        <w:gridCol w:w="3236"/>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517"/>
        </w:trPr>
        <w:tc>
          <w:tcPr>
            <w:tcW w:w="1561" w:type="pct"/>
            <w:hideMark/>
          </w:tcPr>
          <w:p w:rsidR="0025522E" w:rsidRPr="004C1013" w:rsidRDefault="0025522E" w:rsidP="009D58D5">
            <w:pPr>
              <w:pStyle w:val="zahltab"/>
            </w:pPr>
            <w:r w:rsidRPr="004C1013">
              <w:t>Kalendárny rok</w:t>
            </w:r>
          </w:p>
        </w:tc>
        <w:tc>
          <w:tcPr>
            <w:tcW w:w="1719" w:type="pct"/>
          </w:tcPr>
          <w:p w:rsidR="0025522E" w:rsidRPr="004C1013" w:rsidRDefault="0025522E" w:rsidP="009D58D5">
            <w:pPr>
              <w:pStyle w:val="zahltab"/>
            </w:pPr>
            <w:r w:rsidRPr="004C1013">
              <w:t>Rok prevádzky</w:t>
            </w:r>
          </w:p>
        </w:tc>
        <w:tc>
          <w:tcPr>
            <w:tcW w:w="1719" w:type="pct"/>
            <w:noWrap/>
            <w:hideMark/>
          </w:tcPr>
          <w:p w:rsidR="0025522E" w:rsidRPr="004C1013" w:rsidRDefault="0025522E" w:rsidP="009D58D5">
            <w:pPr>
              <w:pStyle w:val="zahltab"/>
            </w:pPr>
            <w:r w:rsidRPr="004C1013">
              <w:t>Kurz EUR/PLN</w:t>
            </w:r>
          </w:p>
        </w:tc>
      </w:tr>
      <w:tr w:rsidR="0025522E" w:rsidRPr="004C1013" w:rsidTr="00404B50">
        <w:trPr>
          <w:trHeight w:val="20"/>
        </w:trPr>
        <w:tc>
          <w:tcPr>
            <w:tcW w:w="1561" w:type="pct"/>
            <w:hideMark/>
          </w:tcPr>
          <w:p w:rsidR="0025522E" w:rsidRPr="004C1013" w:rsidRDefault="0025522E" w:rsidP="0025522E">
            <w:pPr>
              <w:pStyle w:val="tabbielystyl"/>
            </w:pPr>
            <w:r w:rsidRPr="004C1013">
              <w:t>2011</w:t>
            </w:r>
          </w:p>
        </w:tc>
        <w:tc>
          <w:tcPr>
            <w:tcW w:w="1719" w:type="pct"/>
          </w:tcPr>
          <w:p w:rsidR="0025522E" w:rsidRPr="004C1013" w:rsidRDefault="0025522E" w:rsidP="0025522E">
            <w:pPr>
              <w:pStyle w:val="tabbielystyl"/>
            </w:pPr>
            <w:r w:rsidRPr="004C1013">
              <w:t>1.</w:t>
            </w:r>
          </w:p>
        </w:tc>
        <w:tc>
          <w:tcPr>
            <w:tcW w:w="1719" w:type="pct"/>
            <w:noWrap/>
            <w:vAlign w:val="bottom"/>
            <w:hideMark/>
          </w:tcPr>
          <w:p w:rsidR="0025522E" w:rsidRPr="004C1013" w:rsidRDefault="0025522E" w:rsidP="0025522E">
            <w:pPr>
              <w:pStyle w:val="tabbielystyl"/>
            </w:pPr>
            <w:r w:rsidRPr="004C1013">
              <w:t>4,121</w:t>
            </w:r>
          </w:p>
        </w:tc>
      </w:tr>
      <w:tr w:rsidR="0025522E" w:rsidRPr="004C1013" w:rsidTr="00404B50">
        <w:trPr>
          <w:trHeight w:val="20"/>
        </w:trPr>
        <w:tc>
          <w:tcPr>
            <w:tcW w:w="1561" w:type="pct"/>
            <w:hideMark/>
          </w:tcPr>
          <w:p w:rsidR="0025522E" w:rsidRPr="004C1013" w:rsidRDefault="0025522E" w:rsidP="0025522E">
            <w:pPr>
              <w:pStyle w:val="tabbielystyl"/>
            </w:pPr>
            <w:r w:rsidRPr="004C1013">
              <w:t>2012</w:t>
            </w:r>
          </w:p>
        </w:tc>
        <w:tc>
          <w:tcPr>
            <w:tcW w:w="1719" w:type="pct"/>
          </w:tcPr>
          <w:p w:rsidR="0025522E" w:rsidRPr="004C1013" w:rsidRDefault="0025522E" w:rsidP="0025522E">
            <w:pPr>
              <w:pStyle w:val="tabbielystyl"/>
            </w:pPr>
            <w:r w:rsidRPr="004C1013">
              <w:t>2.</w:t>
            </w:r>
          </w:p>
        </w:tc>
        <w:tc>
          <w:tcPr>
            <w:tcW w:w="1719" w:type="pct"/>
            <w:noWrap/>
            <w:vAlign w:val="bottom"/>
            <w:hideMark/>
          </w:tcPr>
          <w:p w:rsidR="0025522E" w:rsidRPr="004C1013" w:rsidRDefault="0025522E" w:rsidP="0025522E">
            <w:pPr>
              <w:pStyle w:val="tabbielystyl"/>
            </w:pPr>
            <w:r w:rsidRPr="004C1013">
              <w:t>4,185</w:t>
            </w:r>
          </w:p>
        </w:tc>
      </w:tr>
      <w:tr w:rsidR="0025522E" w:rsidRPr="004C1013" w:rsidTr="00404B50">
        <w:trPr>
          <w:trHeight w:val="20"/>
        </w:trPr>
        <w:tc>
          <w:tcPr>
            <w:tcW w:w="1561" w:type="pct"/>
            <w:hideMark/>
          </w:tcPr>
          <w:p w:rsidR="0025522E" w:rsidRPr="004C1013" w:rsidRDefault="0025522E" w:rsidP="0025522E">
            <w:pPr>
              <w:pStyle w:val="tabbielystyl"/>
            </w:pPr>
            <w:r w:rsidRPr="004C1013">
              <w:t>2013</w:t>
            </w:r>
          </w:p>
        </w:tc>
        <w:tc>
          <w:tcPr>
            <w:tcW w:w="1719" w:type="pct"/>
          </w:tcPr>
          <w:p w:rsidR="0025522E" w:rsidRPr="004C1013" w:rsidRDefault="0025522E" w:rsidP="0025522E">
            <w:pPr>
              <w:pStyle w:val="tabbielystyl"/>
            </w:pPr>
            <w:r w:rsidRPr="004C1013">
              <w:t>3.</w:t>
            </w:r>
          </w:p>
        </w:tc>
        <w:tc>
          <w:tcPr>
            <w:tcW w:w="1719" w:type="pct"/>
            <w:noWrap/>
            <w:vAlign w:val="bottom"/>
            <w:hideMark/>
          </w:tcPr>
          <w:p w:rsidR="0025522E" w:rsidRPr="004C1013" w:rsidRDefault="0025522E" w:rsidP="0025522E">
            <w:pPr>
              <w:pStyle w:val="tabbielystyl"/>
            </w:pPr>
            <w:r w:rsidRPr="004C1013">
              <w:t>4,197</w:t>
            </w:r>
          </w:p>
        </w:tc>
      </w:tr>
      <w:tr w:rsidR="0025522E" w:rsidRPr="004C1013" w:rsidTr="00404B50">
        <w:trPr>
          <w:trHeight w:val="20"/>
        </w:trPr>
        <w:tc>
          <w:tcPr>
            <w:tcW w:w="1561" w:type="pct"/>
            <w:hideMark/>
          </w:tcPr>
          <w:p w:rsidR="0025522E" w:rsidRPr="004C1013" w:rsidRDefault="0025522E" w:rsidP="0025522E">
            <w:pPr>
              <w:pStyle w:val="tabbielystyl"/>
            </w:pPr>
            <w:r w:rsidRPr="004C1013">
              <w:t>2014</w:t>
            </w:r>
          </w:p>
        </w:tc>
        <w:tc>
          <w:tcPr>
            <w:tcW w:w="1719" w:type="pct"/>
          </w:tcPr>
          <w:p w:rsidR="0025522E" w:rsidRPr="004C1013" w:rsidRDefault="0025522E" w:rsidP="0025522E">
            <w:pPr>
              <w:pStyle w:val="tabbielystyl"/>
            </w:pPr>
            <w:r w:rsidRPr="004C1013">
              <w:t>4.</w:t>
            </w:r>
          </w:p>
        </w:tc>
        <w:tc>
          <w:tcPr>
            <w:tcW w:w="1719" w:type="pct"/>
            <w:noWrap/>
            <w:vAlign w:val="bottom"/>
            <w:hideMark/>
          </w:tcPr>
          <w:p w:rsidR="0025522E" w:rsidRPr="004C1013" w:rsidRDefault="0025522E" w:rsidP="0025522E">
            <w:pPr>
              <w:pStyle w:val="tabbielystyl"/>
            </w:pPr>
            <w:r w:rsidRPr="004C1013">
              <w:t>4,184</w:t>
            </w:r>
          </w:p>
        </w:tc>
      </w:tr>
      <w:tr w:rsidR="0025522E" w:rsidRPr="004C1013" w:rsidTr="00404B50">
        <w:trPr>
          <w:trHeight w:val="20"/>
        </w:trPr>
        <w:tc>
          <w:tcPr>
            <w:tcW w:w="1561" w:type="pct"/>
            <w:hideMark/>
          </w:tcPr>
          <w:p w:rsidR="0025522E" w:rsidRPr="004C1013" w:rsidRDefault="0025522E" w:rsidP="0025522E">
            <w:pPr>
              <w:pStyle w:val="tabbielystyl"/>
            </w:pPr>
            <w:r w:rsidRPr="004C1013">
              <w:t>2015</w:t>
            </w:r>
          </w:p>
        </w:tc>
        <w:tc>
          <w:tcPr>
            <w:tcW w:w="1719" w:type="pct"/>
          </w:tcPr>
          <w:p w:rsidR="0025522E" w:rsidRPr="004C1013" w:rsidRDefault="0025522E" w:rsidP="0025522E">
            <w:pPr>
              <w:pStyle w:val="tabbielystyl"/>
            </w:pPr>
            <w:r w:rsidRPr="004C1013">
              <w:t>5.</w:t>
            </w:r>
          </w:p>
        </w:tc>
        <w:tc>
          <w:tcPr>
            <w:tcW w:w="1719" w:type="pct"/>
            <w:noWrap/>
            <w:vAlign w:val="bottom"/>
            <w:hideMark/>
          </w:tcPr>
          <w:p w:rsidR="0025522E" w:rsidRPr="004C1013" w:rsidRDefault="0025522E" w:rsidP="0025522E">
            <w:pPr>
              <w:pStyle w:val="tabbielystyl"/>
            </w:pPr>
            <w:r w:rsidRPr="004C1013">
              <w:t>4,184</w:t>
            </w:r>
          </w:p>
        </w:tc>
      </w:tr>
      <w:tr w:rsidR="0025522E" w:rsidRPr="004C1013" w:rsidTr="00404B50">
        <w:trPr>
          <w:trHeight w:val="20"/>
        </w:trPr>
        <w:tc>
          <w:tcPr>
            <w:tcW w:w="1561" w:type="pct"/>
            <w:hideMark/>
          </w:tcPr>
          <w:p w:rsidR="0025522E" w:rsidRPr="004C1013" w:rsidRDefault="0025522E" w:rsidP="0025522E">
            <w:pPr>
              <w:pStyle w:val="tabbielystyl"/>
            </w:pPr>
            <w:r w:rsidRPr="004C1013">
              <w:t>2016</w:t>
            </w:r>
          </w:p>
        </w:tc>
        <w:tc>
          <w:tcPr>
            <w:tcW w:w="1719" w:type="pct"/>
          </w:tcPr>
          <w:p w:rsidR="0025522E" w:rsidRPr="004C1013" w:rsidRDefault="0025522E" w:rsidP="0025522E">
            <w:pPr>
              <w:pStyle w:val="tabbielystyl"/>
            </w:pPr>
            <w:r w:rsidRPr="004C1013">
              <w:t>6.</w:t>
            </w:r>
          </w:p>
        </w:tc>
        <w:tc>
          <w:tcPr>
            <w:tcW w:w="1719" w:type="pct"/>
            <w:noWrap/>
            <w:vAlign w:val="bottom"/>
            <w:hideMark/>
          </w:tcPr>
          <w:p w:rsidR="0025522E" w:rsidRPr="004C1013" w:rsidRDefault="0025522E" w:rsidP="0025522E">
            <w:pPr>
              <w:pStyle w:val="tabbielystyl"/>
            </w:pPr>
            <w:r w:rsidRPr="004C1013">
              <w:t>4,363</w:t>
            </w:r>
          </w:p>
        </w:tc>
      </w:tr>
      <w:tr w:rsidR="0025522E" w:rsidRPr="004C1013" w:rsidTr="00404B50">
        <w:trPr>
          <w:trHeight w:val="20"/>
        </w:trPr>
        <w:tc>
          <w:tcPr>
            <w:tcW w:w="1561" w:type="pct"/>
            <w:hideMark/>
          </w:tcPr>
          <w:p w:rsidR="0025522E" w:rsidRPr="004C1013" w:rsidRDefault="0025522E" w:rsidP="0025522E">
            <w:pPr>
              <w:pStyle w:val="tabbielystyl"/>
            </w:pPr>
            <w:r w:rsidRPr="004C1013">
              <w:t>2017</w:t>
            </w:r>
          </w:p>
        </w:tc>
        <w:tc>
          <w:tcPr>
            <w:tcW w:w="1719" w:type="pct"/>
          </w:tcPr>
          <w:p w:rsidR="0025522E" w:rsidRPr="004C1013" w:rsidRDefault="0025522E" w:rsidP="0025522E">
            <w:pPr>
              <w:pStyle w:val="tabbielystyl"/>
            </w:pPr>
            <w:r w:rsidRPr="004C1013">
              <w:t>7.</w:t>
            </w:r>
          </w:p>
        </w:tc>
        <w:tc>
          <w:tcPr>
            <w:tcW w:w="1719" w:type="pct"/>
            <w:noWrap/>
            <w:vAlign w:val="bottom"/>
            <w:hideMark/>
          </w:tcPr>
          <w:p w:rsidR="0025522E" w:rsidRPr="004C1013" w:rsidRDefault="0025522E" w:rsidP="0025522E">
            <w:pPr>
              <w:pStyle w:val="tabbielystyl"/>
            </w:pPr>
            <w:r w:rsidRPr="004C1013">
              <w:t>4,257</w:t>
            </w:r>
          </w:p>
        </w:tc>
      </w:tr>
      <w:tr w:rsidR="0025522E" w:rsidRPr="004C1013" w:rsidTr="00404B50">
        <w:trPr>
          <w:trHeight w:val="20"/>
        </w:trPr>
        <w:tc>
          <w:tcPr>
            <w:tcW w:w="1561" w:type="pct"/>
            <w:hideMark/>
          </w:tcPr>
          <w:p w:rsidR="0025522E" w:rsidRPr="004C1013" w:rsidRDefault="0025522E" w:rsidP="0025522E">
            <w:pPr>
              <w:pStyle w:val="tabbielystyl"/>
            </w:pPr>
            <w:r w:rsidRPr="004C1013">
              <w:t>2018</w:t>
            </w:r>
          </w:p>
        </w:tc>
        <w:tc>
          <w:tcPr>
            <w:tcW w:w="1719" w:type="pct"/>
          </w:tcPr>
          <w:p w:rsidR="0025522E" w:rsidRPr="004C1013" w:rsidRDefault="0025522E" w:rsidP="0025522E">
            <w:pPr>
              <w:pStyle w:val="tabbielystyl"/>
            </w:pPr>
            <w:r w:rsidRPr="004C1013">
              <w:t>8.</w:t>
            </w:r>
          </w:p>
        </w:tc>
        <w:tc>
          <w:tcPr>
            <w:tcW w:w="1719" w:type="pct"/>
            <w:noWrap/>
            <w:vAlign w:val="bottom"/>
            <w:hideMark/>
          </w:tcPr>
          <w:p w:rsidR="0025522E" w:rsidRPr="004C1013" w:rsidRDefault="0025522E" w:rsidP="0025522E">
            <w:pPr>
              <w:pStyle w:val="tabbielystyl"/>
            </w:pPr>
            <w:r w:rsidRPr="004C1013">
              <w:t>4,261</w:t>
            </w:r>
          </w:p>
        </w:tc>
      </w:tr>
    </w:tbl>
    <w:p w:rsidR="0025522E" w:rsidRPr="004C1013" w:rsidRDefault="0025522E" w:rsidP="0025522E">
      <w:r w:rsidRPr="004C1013">
        <w:t>Výsledky rešerše dostupnej literatúry sú uvedené v nasledujúcej tabuľke (</w:t>
      </w:r>
      <w:r w:rsidR="00C40D3F">
        <w:fldChar w:fldCharType="begin"/>
      </w:r>
      <w:r w:rsidR="00C40D3F">
        <w:instrText xml:space="preserve"> REF _Ref20602270 \h  \* MERGEFORMAT </w:instrText>
      </w:r>
      <w:r w:rsidR="00C40D3F">
        <w:fldChar w:fldCharType="separate"/>
      </w:r>
      <w:r w:rsidR="001E4C1C" w:rsidRPr="004C1013">
        <w:t xml:space="preserve">Tab.  </w:t>
      </w:r>
      <w:r w:rsidR="001E4C1C">
        <w:rPr>
          <w:noProof/>
        </w:rPr>
        <w:t>1</w:t>
      </w:r>
      <w:r w:rsidR="001E4C1C">
        <w:rPr>
          <w:noProof/>
        </w:rPr>
        <w:noBreakHyphen/>
        <w:t>39</w:t>
      </w:r>
      <w:r w:rsidR="00C40D3F">
        <w:fldChar w:fldCharType="end"/>
      </w:r>
      <w:r w:rsidRPr="004C1013">
        <w:t xml:space="preserve">). Uvádzané údaje o výnosoch systému sa v jednotlivých zdrojoch zhodujú. </w:t>
      </w:r>
    </w:p>
    <w:p w:rsidR="0025522E" w:rsidRPr="004C1013" w:rsidRDefault="0025522E" w:rsidP="006B1C25">
      <w:pPr>
        <w:pStyle w:val="tabstyl"/>
      </w:pPr>
      <w:bookmarkStart w:id="159" w:name="_Ref20648513"/>
      <w:bookmarkStart w:id="160" w:name="_Toc36664480"/>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38</w:t>
      </w:r>
      <w:r w:rsidR="00C40D3F">
        <w:rPr>
          <w:noProof/>
        </w:rPr>
        <w:fldChar w:fldCharType="end"/>
      </w:r>
      <w:bookmarkEnd w:id="159"/>
      <w:r w:rsidRPr="004C1013">
        <w:t xml:space="preserve"> </w:t>
      </w:r>
      <w:r w:rsidRPr="004C1013">
        <w:tab/>
        <w:t>Rešerš dostupnej literatúry – výnosy a náklady systému ETC v Poľsku</w:t>
      </w:r>
      <w:bookmarkEnd w:id="160"/>
    </w:p>
    <w:tbl>
      <w:tblPr>
        <w:tblStyle w:val="tabulkaVUD"/>
        <w:tblW w:w="5000" w:type="pct"/>
        <w:tblLook w:val="04A0" w:firstRow="1" w:lastRow="0" w:firstColumn="1" w:lastColumn="0" w:noHBand="0" w:noVBand="1"/>
      </w:tblPr>
      <w:tblGrid>
        <w:gridCol w:w="1048"/>
        <w:gridCol w:w="948"/>
        <w:gridCol w:w="655"/>
        <w:gridCol w:w="655"/>
        <w:gridCol w:w="831"/>
        <w:gridCol w:w="822"/>
        <w:gridCol w:w="715"/>
        <w:gridCol w:w="655"/>
        <w:gridCol w:w="749"/>
        <w:gridCol w:w="831"/>
        <w:gridCol w:w="822"/>
        <w:gridCol w:w="680"/>
      </w:tblGrid>
      <w:tr w:rsidR="002F470D" w:rsidRPr="004C1013" w:rsidTr="00581E57">
        <w:trPr>
          <w:cnfStyle w:val="100000000000" w:firstRow="1" w:lastRow="0" w:firstColumn="0" w:lastColumn="0" w:oddVBand="0" w:evenVBand="0" w:oddHBand="0" w:evenHBand="0" w:firstRowFirstColumn="0" w:firstRowLastColumn="0" w:lastRowFirstColumn="0" w:lastRowLastColumn="0"/>
          <w:trHeight w:val="283"/>
          <w:tblHeader/>
        </w:trPr>
        <w:tc>
          <w:tcPr>
            <w:tcW w:w="1048" w:type="dxa"/>
            <w:vMerge w:val="restart"/>
            <w:shd w:val="clear" w:color="auto" w:fill="7F7F7F" w:themeFill="text1" w:themeFillTint="80"/>
            <w:hideMark/>
          </w:tcPr>
          <w:p w:rsidR="002F470D" w:rsidRPr="004C1013" w:rsidRDefault="002F470D" w:rsidP="009D58D5">
            <w:pPr>
              <w:pStyle w:val="zahltab"/>
            </w:pPr>
            <w:r w:rsidRPr="004C1013">
              <w:t>Kalendárny rok</w:t>
            </w:r>
          </w:p>
        </w:tc>
        <w:tc>
          <w:tcPr>
            <w:tcW w:w="948" w:type="dxa"/>
            <w:vMerge w:val="restart"/>
            <w:hideMark/>
          </w:tcPr>
          <w:p w:rsidR="002F470D" w:rsidRPr="004C1013" w:rsidRDefault="002F470D" w:rsidP="009D58D5">
            <w:pPr>
              <w:pStyle w:val="zahltab"/>
            </w:pPr>
            <w:r w:rsidRPr="004C1013">
              <w:t>Rok prevádzky</w:t>
            </w:r>
          </w:p>
        </w:tc>
        <w:tc>
          <w:tcPr>
            <w:tcW w:w="3678" w:type="dxa"/>
            <w:gridSpan w:val="5"/>
          </w:tcPr>
          <w:p w:rsidR="002F470D" w:rsidRPr="004C1013" w:rsidRDefault="002F470D" w:rsidP="009D58D5">
            <w:pPr>
              <w:pStyle w:val="zahltab"/>
            </w:pPr>
            <w:r w:rsidRPr="004C1013">
              <w:t>Výnosy (mil. €)</w:t>
            </w:r>
          </w:p>
        </w:tc>
        <w:tc>
          <w:tcPr>
            <w:tcW w:w="3737" w:type="dxa"/>
            <w:gridSpan w:val="5"/>
          </w:tcPr>
          <w:p w:rsidR="002F470D" w:rsidRPr="004C1013" w:rsidRDefault="002F470D" w:rsidP="009D58D5">
            <w:pPr>
              <w:pStyle w:val="zahltab"/>
            </w:pPr>
            <w:r w:rsidRPr="004C1013">
              <w:t>Náklady (mil. €)</w:t>
            </w:r>
          </w:p>
        </w:tc>
      </w:tr>
      <w:tr w:rsidR="00E30C78" w:rsidRPr="004C1013" w:rsidTr="00581E57">
        <w:trPr>
          <w:cnfStyle w:val="100000000000" w:firstRow="1" w:lastRow="0" w:firstColumn="0" w:lastColumn="0" w:oddVBand="0" w:evenVBand="0" w:oddHBand="0" w:evenHBand="0" w:firstRowFirstColumn="0" w:firstRowLastColumn="0" w:lastRowFirstColumn="0" w:lastRowLastColumn="0"/>
          <w:trHeight w:val="381"/>
          <w:tblHeader/>
        </w:trPr>
        <w:tc>
          <w:tcPr>
            <w:tcW w:w="1048" w:type="dxa"/>
            <w:vMerge/>
            <w:shd w:val="clear" w:color="auto" w:fill="7F7F7F" w:themeFill="text1" w:themeFillTint="80"/>
            <w:hideMark/>
          </w:tcPr>
          <w:p w:rsidR="002F470D" w:rsidRPr="004C1013" w:rsidRDefault="002F470D" w:rsidP="009D58D5">
            <w:pPr>
              <w:pStyle w:val="zahltab"/>
            </w:pPr>
          </w:p>
        </w:tc>
        <w:tc>
          <w:tcPr>
            <w:tcW w:w="948" w:type="dxa"/>
            <w:vMerge/>
            <w:hideMark/>
          </w:tcPr>
          <w:p w:rsidR="002F470D" w:rsidRPr="004C1013" w:rsidRDefault="002F470D" w:rsidP="009D58D5">
            <w:pPr>
              <w:pStyle w:val="zahltab"/>
            </w:pPr>
          </w:p>
        </w:tc>
        <w:tc>
          <w:tcPr>
            <w:tcW w:w="655" w:type="dxa"/>
            <w:hideMark/>
          </w:tcPr>
          <w:p w:rsidR="002F470D" w:rsidRPr="004C1013" w:rsidRDefault="002F470D" w:rsidP="009D58D5">
            <w:pPr>
              <w:pStyle w:val="zahltab"/>
            </w:pPr>
            <w:r w:rsidRPr="004C1013">
              <w:rPr>
                <w:bCs/>
              </w:rPr>
              <w:t xml:space="preserve">NIK </w:t>
            </w:r>
            <w:r w:rsidRPr="004C1013">
              <w:t>[</w:t>
            </w:r>
            <w:r w:rsidRPr="004C1013">
              <w:rPr>
                <w:lang w:val="en-US"/>
              </w:rPr>
              <w:t>53</w:t>
            </w:r>
            <w:r w:rsidRPr="004C1013">
              <w:t>]</w:t>
            </w:r>
          </w:p>
        </w:tc>
        <w:tc>
          <w:tcPr>
            <w:tcW w:w="655" w:type="dxa"/>
          </w:tcPr>
          <w:p w:rsidR="002F470D" w:rsidRPr="004C1013" w:rsidRDefault="002F470D" w:rsidP="009D58D5">
            <w:pPr>
              <w:pStyle w:val="zahltab"/>
            </w:pPr>
            <w:r w:rsidRPr="004C1013">
              <w:t>GDDiK [55]</w:t>
            </w:r>
          </w:p>
        </w:tc>
        <w:tc>
          <w:tcPr>
            <w:tcW w:w="831" w:type="dxa"/>
          </w:tcPr>
          <w:p w:rsidR="002F470D" w:rsidRPr="004C1013" w:rsidRDefault="002F470D" w:rsidP="009D58D5">
            <w:pPr>
              <w:pStyle w:val="zahltab"/>
            </w:pPr>
            <w:r w:rsidRPr="004C1013">
              <w:t>Odborná lit. [52]</w:t>
            </w:r>
          </w:p>
        </w:tc>
        <w:tc>
          <w:tcPr>
            <w:tcW w:w="1537" w:type="dxa"/>
            <w:gridSpan w:val="2"/>
          </w:tcPr>
          <w:p w:rsidR="002F470D" w:rsidRPr="004C1013" w:rsidRDefault="002F470D" w:rsidP="009D58D5">
            <w:pPr>
              <w:pStyle w:val="zahltab"/>
            </w:pPr>
            <w:r w:rsidRPr="004C1013">
              <w:t>Tlačové správy [56]</w:t>
            </w:r>
            <w:r>
              <w:t>, [57</w:t>
            </w:r>
            <w:r w:rsidRPr="002F470D">
              <w:t>]</w:t>
            </w:r>
          </w:p>
        </w:tc>
        <w:tc>
          <w:tcPr>
            <w:tcW w:w="655" w:type="dxa"/>
          </w:tcPr>
          <w:p w:rsidR="002F470D" w:rsidRPr="004C1013" w:rsidRDefault="002F470D" w:rsidP="009D58D5">
            <w:pPr>
              <w:pStyle w:val="zahltab"/>
            </w:pPr>
            <w:r w:rsidRPr="004C1013">
              <w:t>NIK [</w:t>
            </w:r>
            <w:r w:rsidRPr="004C1013">
              <w:rPr>
                <w:lang w:val="en-US"/>
              </w:rPr>
              <w:t>53</w:t>
            </w:r>
            <w:r w:rsidRPr="004C1013">
              <w:t>]</w:t>
            </w:r>
          </w:p>
        </w:tc>
        <w:tc>
          <w:tcPr>
            <w:tcW w:w="749" w:type="dxa"/>
          </w:tcPr>
          <w:p w:rsidR="002F470D" w:rsidRPr="004C1013" w:rsidRDefault="002F470D" w:rsidP="009D58D5">
            <w:pPr>
              <w:pStyle w:val="zahltab"/>
            </w:pPr>
            <w:r w:rsidRPr="004C1013">
              <w:t>GDDiK [55]</w:t>
            </w:r>
          </w:p>
        </w:tc>
        <w:tc>
          <w:tcPr>
            <w:tcW w:w="831" w:type="dxa"/>
          </w:tcPr>
          <w:p w:rsidR="002F470D" w:rsidRPr="004C1013" w:rsidRDefault="002F470D" w:rsidP="009D58D5">
            <w:pPr>
              <w:pStyle w:val="zahltab"/>
              <w:rPr>
                <w:bCs/>
              </w:rPr>
            </w:pPr>
            <w:r w:rsidRPr="004C1013">
              <w:t>Odborná lit. [52]</w:t>
            </w:r>
          </w:p>
        </w:tc>
        <w:tc>
          <w:tcPr>
            <w:tcW w:w="1502" w:type="dxa"/>
            <w:gridSpan w:val="2"/>
          </w:tcPr>
          <w:p w:rsidR="002F470D" w:rsidRPr="004C1013" w:rsidRDefault="002F470D" w:rsidP="009D58D5">
            <w:pPr>
              <w:pStyle w:val="zahltab"/>
            </w:pPr>
            <w:r w:rsidRPr="004C1013">
              <w:t>Tlačové správy [56]</w:t>
            </w:r>
            <w:r>
              <w:t xml:space="preserve">, </w:t>
            </w:r>
            <w:r w:rsidRPr="002F470D">
              <w:t>[5</w:t>
            </w:r>
            <w:r>
              <w:t>7]</w:t>
            </w:r>
          </w:p>
        </w:tc>
      </w:tr>
      <w:tr w:rsidR="00581E57" w:rsidRPr="004C1013" w:rsidTr="00581E57">
        <w:trPr>
          <w:trHeight w:val="283"/>
        </w:trPr>
        <w:tc>
          <w:tcPr>
            <w:tcW w:w="1048" w:type="dxa"/>
            <w:hideMark/>
          </w:tcPr>
          <w:p w:rsidR="00E30C78" w:rsidRPr="004C1013" w:rsidRDefault="00E30C78" w:rsidP="0025522E">
            <w:pPr>
              <w:pStyle w:val="tabbielystyl"/>
            </w:pPr>
            <w:r w:rsidRPr="004C1013">
              <w:t>2011</w:t>
            </w:r>
          </w:p>
        </w:tc>
        <w:tc>
          <w:tcPr>
            <w:tcW w:w="948" w:type="dxa"/>
            <w:hideMark/>
          </w:tcPr>
          <w:p w:rsidR="00E30C78" w:rsidRPr="004C1013" w:rsidRDefault="00E30C78" w:rsidP="0025522E">
            <w:pPr>
              <w:pStyle w:val="tabbielystyl"/>
            </w:pPr>
            <w:r w:rsidRPr="004C1013">
              <w:t>1.</w:t>
            </w:r>
          </w:p>
        </w:tc>
        <w:tc>
          <w:tcPr>
            <w:tcW w:w="655" w:type="dxa"/>
            <w:vAlign w:val="bottom"/>
            <w:hideMark/>
          </w:tcPr>
          <w:p w:rsidR="00E30C78" w:rsidRPr="004C1013" w:rsidRDefault="00E30C78" w:rsidP="0025522E">
            <w:pPr>
              <w:pStyle w:val="tabbielystyl"/>
            </w:pPr>
            <w:r w:rsidRPr="004C1013">
              <w:t>N/A</w:t>
            </w:r>
          </w:p>
        </w:tc>
        <w:tc>
          <w:tcPr>
            <w:tcW w:w="655" w:type="dxa"/>
            <w:vAlign w:val="bottom"/>
          </w:tcPr>
          <w:p w:rsidR="00E30C78" w:rsidRPr="004C1013" w:rsidRDefault="00E30C78" w:rsidP="0025522E">
            <w:pPr>
              <w:pStyle w:val="tabbielystyl"/>
            </w:pPr>
            <w:r w:rsidRPr="004C1013">
              <w:t>83,39*</w:t>
            </w:r>
          </w:p>
        </w:tc>
        <w:tc>
          <w:tcPr>
            <w:tcW w:w="831" w:type="dxa"/>
            <w:vAlign w:val="bottom"/>
          </w:tcPr>
          <w:p w:rsidR="00E30C78" w:rsidRPr="004C1013" w:rsidRDefault="00E30C78" w:rsidP="0025522E">
            <w:pPr>
              <w:pStyle w:val="tabbielystyl"/>
            </w:pPr>
            <w:r w:rsidRPr="004C1013">
              <w:t>83,38*</w:t>
            </w:r>
          </w:p>
        </w:tc>
        <w:tc>
          <w:tcPr>
            <w:tcW w:w="822" w:type="dxa"/>
            <w:vMerge w:val="restart"/>
          </w:tcPr>
          <w:p w:rsidR="00E30C78" w:rsidRDefault="00E30C78" w:rsidP="0025522E">
            <w:pPr>
              <w:pStyle w:val="tabbielystyl"/>
            </w:pPr>
            <w:r w:rsidRPr="004C1013">
              <w:t>2 372,74</w:t>
            </w:r>
          </w:p>
          <w:p w:rsidR="00E30C78" w:rsidRPr="004C1013" w:rsidRDefault="00E30C78" w:rsidP="0025522E">
            <w:pPr>
              <w:pStyle w:val="tabbielystyl"/>
            </w:pPr>
            <w:r w:rsidRPr="004C1013">
              <w:t>**</w:t>
            </w:r>
          </w:p>
          <w:p w:rsidR="00E30C78" w:rsidRPr="004C1013" w:rsidRDefault="00E30C78" w:rsidP="0025522E">
            <w:pPr>
              <w:pStyle w:val="tabbielystyl"/>
            </w:pPr>
          </w:p>
        </w:tc>
        <w:tc>
          <w:tcPr>
            <w:tcW w:w="715" w:type="dxa"/>
            <w:vMerge w:val="restart"/>
          </w:tcPr>
          <w:p w:rsidR="00E30C78" w:rsidRDefault="00E30C78" w:rsidP="0025522E">
            <w:pPr>
              <w:pStyle w:val="tabbielystyl"/>
            </w:pPr>
            <w:r>
              <w:t>1505,72</w:t>
            </w:r>
          </w:p>
          <w:p w:rsidR="00E30C78" w:rsidRPr="004C1013" w:rsidRDefault="00E30C78" w:rsidP="0025522E">
            <w:pPr>
              <w:pStyle w:val="tabbielystyl"/>
            </w:pPr>
            <w:r>
              <w:t>***</w:t>
            </w:r>
          </w:p>
        </w:tc>
        <w:tc>
          <w:tcPr>
            <w:tcW w:w="655" w:type="dxa"/>
          </w:tcPr>
          <w:p w:rsidR="00E30C78" w:rsidRPr="004C1013" w:rsidRDefault="00E30C78" w:rsidP="0025522E">
            <w:pPr>
              <w:pStyle w:val="tabbielystyl"/>
            </w:pPr>
            <w:r w:rsidRPr="004C1013">
              <w:t>N/A</w:t>
            </w:r>
          </w:p>
        </w:tc>
        <w:tc>
          <w:tcPr>
            <w:tcW w:w="749" w:type="dxa"/>
            <w:vAlign w:val="bottom"/>
          </w:tcPr>
          <w:p w:rsidR="00E30C78" w:rsidRPr="004C1013" w:rsidRDefault="00E30C78" w:rsidP="0025522E">
            <w:pPr>
              <w:pStyle w:val="tabbielystyl"/>
            </w:pPr>
            <w:r w:rsidRPr="004C1013">
              <w:t>144,45*</w:t>
            </w:r>
          </w:p>
        </w:tc>
        <w:tc>
          <w:tcPr>
            <w:tcW w:w="831" w:type="dxa"/>
            <w:vAlign w:val="bottom"/>
          </w:tcPr>
          <w:p w:rsidR="00E30C78" w:rsidRPr="004C1013" w:rsidRDefault="00E30C78" w:rsidP="0025522E">
            <w:pPr>
              <w:pStyle w:val="tabbielystyl"/>
            </w:pPr>
            <w:r w:rsidRPr="004C1013">
              <w:t>144,46*</w:t>
            </w:r>
          </w:p>
        </w:tc>
        <w:tc>
          <w:tcPr>
            <w:tcW w:w="822" w:type="dxa"/>
            <w:vMerge w:val="restart"/>
          </w:tcPr>
          <w:p w:rsidR="00E30C78" w:rsidRDefault="00E30C78" w:rsidP="0025522E">
            <w:pPr>
              <w:pStyle w:val="tabbielystyl"/>
            </w:pPr>
            <w:r w:rsidRPr="004C1013">
              <w:t>703,99</w:t>
            </w:r>
          </w:p>
          <w:p w:rsidR="00E30C78" w:rsidRPr="004C1013" w:rsidRDefault="00E30C78" w:rsidP="0025522E">
            <w:pPr>
              <w:pStyle w:val="tabbielystyl"/>
            </w:pPr>
            <w:r w:rsidRPr="004C1013">
              <w:t xml:space="preserve">** </w:t>
            </w:r>
          </w:p>
          <w:p w:rsidR="00E30C78" w:rsidRPr="004C1013" w:rsidRDefault="00E30C78" w:rsidP="0025522E">
            <w:pPr>
              <w:pStyle w:val="tabbielystyl"/>
            </w:pPr>
          </w:p>
        </w:tc>
        <w:tc>
          <w:tcPr>
            <w:tcW w:w="680" w:type="dxa"/>
            <w:vMerge w:val="restart"/>
          </w:tcPr>
          <w:p w:rsidR="00E30C78" w:rsidRDefault="00E30C78" w:rsidP="0025522E">
            <w:pPr>
              <w:pStyle w:val="tabbielystyl"/>
            </w:pPr>
            <w:r>
              <w:t>525,81</w:t>
            </w:r>
          </w:p>
          <w:p w:rsidR="00E30C78" w:rsidRPr="004C1013" w:rsidRDefault="00E30C78" w:rsidP="0025522E">
            <w:pPr>
              <w:pStyle w:val="tabbielystyl"/>
            </w:pPr>
            <w:r>
              <w:t>***</w:t>
            </w:r>
          </w:p>
        </w:tc>
      </w:tr>
      <w:tr w:rsidR="00E30C78" w:rsidRPr="004C1013" w:rsidTr="00581E57">
        <w:trPr>
          <w:trHeight w:val="283"/>
        </w:trPr>
        <w:tc>
          <w:tcPr>
            <w:tcW w:w="1048" w:type="dxa"/>
            <w:hideMark/>
          </w:tcPr>
          <w:p w:rsidR="00E30C78" w:rsidRPr="004C1013" w:rsidRDefault="00E30C78" w:rsidP="0025522E">
            <w:pPr>
              <w:pStyle w:val="tabbielystyl"/>
            </w:pPr>
            <w:r w:rsidRPr="004C1013">
              <w:t>2012</w:t>
            </w:r>
          </w:p>
        </w:tc>
        <w:tc>
          <w:tcPr>
            <w:tcW w:w="948" w:type="dxa"/>
            <w:hideMark/>
          </w:tcPr>
          <w:p w:rsidR="00E30C78" w:rsidRPr="004C1013" w:rsidRDefault="00E30C78" w:rsidP="0025522E">
            <w:pPr>
              <w:pStyle w:val="tabbielystyl"/>
            </w:pPr>
            <w:r w:rsidRPr="004C1013">
              <w:t>2.</w:t>
            </w:r>
          </w:p>
        </w:tc>
        <w:tc>
          <w:tcPr>
            <w:tcW w:w="655" w:type="dxa"/>
            <w:vAlign w:val="bottom"/>
            <w:hideMark/>
          </w:tcPr>
          <w:p w:rsidR="00E30C78" w:rsidRPr="004C1013" w:rsidRDefault="00E30C78" w:rsidP="0025522E">
            <w:pPr>
              <w:pStyle w:val="tabbielystyl"/>
            </w:pPr>
            <w:r w:rsidRPr="004C1013">
              <w:t>N/A</w:t>
            </w:r>
          </w:p>
        </w:tc>
        <w:tc>
          <w:tcPr>
            <w:tcW w:w="655" w:type="dxa"/>
            <w:vAlign w:val="bottom"/>
          </w:tcPr>
          <w:p w:rsidR="00E30C78" w:rsidRPr="004C1013" w:rsidRDefault="00E30C78" w:rsidP="0025522E">
            <w:pPr>
              <w:pStyle w:val="tabbielystyl"/>
            </w:pPr>
            <w:r w:rsidRPr="004C1013">
              <w:t>194,44</w:t>
            </w:r>
          </w:p>
        </w:tc>
        <w:tc>
          <w:tcPr>
            <w:tcW w:w="831" w:type="dxa"/>
            <w:vAlign w:val="bottom"/>
          </w:tcPr>
          <w:p w:rsidR="00E30C78" w:rsidRPr="004C1013" w:rsidRDefault="00E30C78" w:rsidP="0025522E">
            <w:pPr>
              <w:pStyle w:val="tabbielystyl"/>
            </w:pPr>
            <w:r w:rsidRPr="004C1013">
              <w:t>205,88</w:t>
            </w:r>
          </w:p>
        </w:tc>
        <w:tc>
          <w:tcPr>
            <w:tcW w:w="822" w:type="dxa"/>
            <w:vMerge/>
          </w:tcPr>
          <w:p w:rsidR="00E30C78" w:rsidRPr="004C1013" w:rsidRDefault="00E30C78" w:rsidP="0025522E">
            <w:pPr>
              <w:pStyle w:val="tabbielystyl"/>
            </w:pPr>
          </w:p>
        </w:tc>
        <w:tc>
          <w:tcPr>
            <w:tcW w:w="715" w:type="dxa"/>
            <w:vMerge/>
          </w:tcPr>
          <w:p w:rsidR="00E30C78" w:rsidRPr="004C1013" w:rsidRDefault="00E30C78" w:rsidP="0025522E">
            <w:pPr>
              <w:pStyle w:val="tabbielystyl"/>
            </w:pPr>
          </w:p>
        </w:tc>
        <w:tc>
          <w:tcPr>
            <w:tcW w:w="655" w:type="dxa"/>
          </w:tcPr>
          <w:p w:rsidR="00E30C78" w:rsidRPr="004C1013" w:rsidRDefault="00E30C78" w:rsidP="0025522E">
            <w:pPr>
              <w:pStyle w:val="tabbielystyl"/>
            </w:pPr>
            <w:r w:rsidRPr="004C1013">
              <w:t>N/A</w:t>
            </w:r>
          </w:p>
        </w:tc>
        <w:tc>
          <w:tcPr>
            <w:tcW w:w="749" w:type="dxa"/>
            <w:vAlign w:val="bottom"/>
          </w:tcPr>
          <w:p w:rsidR="00E30C78" w:rsidRPr="004C1013" w:rsidRDefault="00E30C78" w:rsidP="0025522E">
            <w:pPr>
              <w:pStyle w:val="tabbielystyl"/>
            </w:pPr>
            <w:r w:rsidRPr="004C1013">
              <w:t>234,33</w:t>
            </w:r>
          </w:p>
        </w:tc>
        <w:tc>
          <w:tcPr>
            <w:tcW w:w="831" w:type="dxa"/>
            <w:vAlign w:val="bottom"/>
          </w:tcPr>
          <w:p w:rsidR="00E30C78" w:rsidRPr="004C1013" w:rsidRDefault="00E30C78" w:rsidP="0025522E">
            <w:pPr>
              <w:pStyle w:val="tabbielystyl"/>
            </w:pPr>
            <w:r w:rsidRPr="004C1013">
              <w:t>234,34</w:t>
            </w:r>
          </w:p>
        </w:tc>
        <w:tc>
          <w:tcPr>
            <w:tcW w:w="822" w:type="dxa"/>
            <w:vMerge/>
            <w:vAlign w:val="bottom"/>
          </w:tcPr>
          <w:p w:rsidR="00E30C78" w:rsidRPr="004C1013" w:rsidRDefault="00E30C78" w:rsidP="0025522E">
            <w:pPr>
              <w:pStyle w:val="tabbielystyl"/>
            </w:pPr>
          </w:p>
        </w:tc>
        <w:tc>
          <w:tcPr>
            <w:tcW w:w="680" w:type="dxa"/>
            <w:vMerge/>
          </w:tcPr>
          <w:p w:rsidR="00E30C78" w:rsidRPr="004C1013" w:rsidRDefault="00E30C78" w:rsidP="0025522E">
            <w:pPr>
              <w:pStyle w:val="tabbielystyl"/>
            </w:pPr>
          </w:p>
        </w:tc>
      </w:tr>
      <w:tr w:rsidR="00E30C78" w:rsidRPr="004C1013" w:rsidTr="00581E57">
        <w:trPr>
          <w:trHeight w:val="283"/>
        </w:trPr>
        <w:tc>
          <w:tcPr>
            <w:tcW w:w="1048" w:type="dxa"/>
            <w:hideMark/>
          </w:tcPr>
          <w:p w:rsidR="00E30C78" w:rsidRPr="004C1013" w:rsidRDefault="00E30C78" w:rsidP="0025522E">
            <w:pPr>
              <w:pStyle w:val="tabbielystyl"/>
            </w:pPr>
            <w:r w:rsidRPr="004C1013">
              <w:t>2013</w:t>
            </w:r>
          </w:p>
        </w:tc>
        <w:tc>
          <w:tcPr>
            <w:tcW w:w="948" w:type="dxa"/>
            <w:hideMark/>
          </w:tcPr>
          <w:p w:rsidR="00E30C78" w:rsidRPr="004C1013" w:rsidRDefault="00E30C78" w:rsidP="0025522E">
            <w:pPr>
              <w:pStyle w:val="tabbielystyl"/>
            </w:pPr>
            <w:r w:rsidRPr="004C1013">
              <w:t>3.</w:t>
            </w:r>
          </w:p>
        </w:tc>
        <w:tc>
          <w:tcPr>
            <w:tcW w:w="655" w:type="dxa"/>
            <w:vAlign w:val="bottom"/>
            <w:hideMark/>
          </w:tcPr>
          <w:p w:rsidR="00E30C78" w:rsidRPr="004C1013" w:rsidRDefault="00E30C78" w:rsidP="0025522E">
            <w:pPr>
              <w:pStyle w:val="tabbielystyl"/>
            </w:pPr>
            <w:r w:rsidRPr="004C1013">
              <w:t>N/A</w:t>
            </w:r>
          </w:p>
        </w:tc>
        <w:tc>
          <w:tcPr>
            <w:tcW w:w="655" w:type="dxa"/>
            <w:vAlign w:val="bottom"/>
          </w:tcPr>
          <w:p w:rsidR="00E30C78" w:rsidRPr="004C1013" w:rsidRDefault="00E30C78" w:rsidP="0025522E">
            <w:pPr>
              <w:pStyle w:val="tabbielystyl"/>
            </w:pPr>
            <w:r w:rsidRPr="004C1013">
              <w:t>240,11</w:t>
            </w:r>
          </w:p>
        </w:tc>
        <w:tc>
          <w:tcPr>
            <w:tcW w:w="831" w:type="dxa"/>
            <w:vAlign w:val="bottom"/>
          </w:tcPr>
          <w:p w:rsidR="00E30C78" w:rsidRPr="004C1013" w:rsidRDefault="00E30C78" w:rsidP="0025522E">
            <w:pPr>
              <w:pStyle w:val="tabbielystyl"/>
            </w:pPr>
            <w:r w:rsidRPr="004C1013">
              <w:t>240,15</w:t>
            </w:r>
          </w:p>
        </w:tc>
        <w:tc>
          <w:tcPr>
            <w:tcW w:w="822" w:type="dxa"/>
            <w:vMerge/>
          </w:tcPr>
          <w:p w:rsidR="00E30C78" w:rsidRPr="004C1013" w:rsidRDefault="00E30C78" w:rsidP="0025522E">
            <w:pPr>
              <w:pStyle w:val="tabbielystyl"/>
            </w:pPr>
          </w:p>
        </w:tc>
        <w:tc>
          <w:tcPr>
            <w:tcW w:w="715" w:type="dxa"/>
            <w:vMerge/>
          </w:tcPr>
          <w:p w:rsidR="00E30C78" w:rsidRPr="004C1013" w:rsidRDefault="00E30C78" w:rsidP="0025522E">
            <w:pPr>
              <w:pStyle w:val="tabbielystyl"/>
            </w:pPr>
          </w:p>
        </w:tc>
        <w:tc>
          <w:tcPr>
            <w:tcW w:w="655" w:type="dxa"/>
          </w:tcPr>
          <w:p w:rsidR="00E30C78" w:rsidRPr="004C1013" w:rsidRDefault="00E30C78" w:rsidP="0025522E">
            <w:pPr>
              <w:pStyle w:val="tabbielystyl"/>
            </w:pPr>
            <w:r w:rsidRPr="004C1013">
              <w:t>N/A</w:t>
            </w:r>
          </w:p>
        </w:tc>
        <w:tc>
          <w:tcPr>
            <w:tcW w:w="749" w:type="dxa"/>
            <w:vAlign w:val="bottom"/>
          </w:tcPr>
          <w:p w:rsidR="00E30C78" w:rsidRPr="004C1013" w:rsidRDefault="00E30C78" w:rsidP="0025522E">
            <w:pPr>
              <w:pStyle w:val="tabbielystyl"/>
            </w:pPr>
            <w:r w:rsidRPr="004C1013">
              <w:t>88,72</w:t>
            </w:r>
          </w:p>
        </w:tc>
        <w:tc>
          <w:tcPr>
            <w:tcW w:w="831" w:type="dxa"/>
            <w:vAlign w:val="bottom"/>
          </w:tcPr>
          <w:p w:rsidR="00E30C78" w:rsidRPr="004C1013" w:rsidRDefault="00E30C78" w:rsidP="0025522E">
            <w:pPr>
              <w:pStyle w:val="tabbielystyl"/>
            </w:pPr>
            <w:r w:rsidRPr="004C1013">
              <w:t>88,73</w:t>
            </w:r>
          </w:p>
        </w:tc>
        <w:tc>
          <w:tcPr>
            <w:tcW w:w="822" w:type="dxa"/>
            <w:vMerge/>
            <w:vAlign w:val="bottom"/>
          </w:tcPr>
          <w:p w:rsidR="00E30C78" w:rsidRPr="004C1013" w:rsidRDefault="00E30C78" w:rsidP="0025522E">
            <w:pPr>
              <w:pStyle w:val="tabbielystyl"/>
            </w:pPr>
          </w:p>
        </w:tc>
        <w:tc>
          <w:tcPr>
            <w:tcW w:w="680" w:type="dxa"/>
            <w:vMerge/>
          </w:tcPr>
          <w:p w:rsidR="00E30C78" w:rsidRPr="004C1013" w:rsidRDefault="00E30C78" w:rsidP="0025522E">
            <w:pPr>
              <w:pStyle w:val="tabbielystyl"/>
            </w:pPr>
          </w:p>
        </w:tc>
      </w:tr>
      <w:tr w:rsidR="00E30C78" w:rsidRPr="004C1013" w:rsidTr="00581E57">
        <w:trPr>
          <w:trHeight w:val="283"/>
        </w:trPr>
        <w:tc>
          <w:tcPr>
            <w:tcW w:w="1048" w:type="dxa"/>
            <w:hideMark/>
          </w:tcPr>
          <w:p w:rsidR="00E30C78" w:rsidRPr="004C1013" w:rsidRDefault="00E30C78" w:rsidP="0025522E">
            <w:pPr>
              <w:pStyle w:val="tabbielystyl"/>
            </w:pPr>
            <w:r w:rsidRPr="004C1013">
              <w:t>2014</w:t>
            </w:r>
          </w:p>
        </w:tc>
        <w:tc>
          <w:tcPr>
            <w:tcW w:w="948" w:type="dxa"/>
            <w:hideMark/>
          </w:tcPr>
          <w:p w:rsidR="00E30C78" w:rsidRPr="004C1013" w:rsidRDefault="00E30C78" w:rsidP="0025522E">
            <w:pPr>
              <w:pStyle w:val="tabbielystyl"/>
            </w:pPr>
            <w:r w:rsidRPr="004C1013">
              <w:t>4.</w:t>
            </w:r>
          </w:p>
        </w:tc>
        <w:tc>
          <w:tcPr>
            <w:tcW w:w="655" w:type="dxa"/>
            <w:vAlign w:val="bottom"/>
            <w:hideMark/>
          </w:tcPr>
          <w:p w:rsidR="00E30C78" w:rsidRPr="004C1013" w:rsidRDefault="00E30C78" w:rsidP="0025522E">
            <w:pPr>
              <w:pStyle w:val="tabbielystyl"/>
            </w:pPr>
            <w:r w:rsidRPr="004C1013">
              <w:t>N/A</w:t>
            </w:r>
          </w:p>
        </w:tc>
        <w:tc>
          <w:tcPr>
            <w:tcW w:w="655" w:type="dxa"/>
            <w:vAlign w:val="bottom"/>
          </w:tcPr>
          <w:p w:rsidR="00E30C78" w:rsidRPr="004C1013" w:rsidRDefault="00E30C78" w:rsidP="0025522E">
            <w:pPr>
              <w:pStyle w:val="tabbielystyl"/>
            </w:pPr>
            <w:r w:rsidRPr="004C1013">
              <w:t xml:space="preserve">293,90 </w:t>
            </w:r>
          </w:p>
        </w:tc>
        <w:tc>
          <w:tcPr>
            <w:tcW w:w="831" w:type="dxa"/>
            <w:vAlign w:val="bottom"/>
          </w:tcPr>
          <w:p w:rsidR="00E30C78" w:rsidRPr="004C1013" w:rsidRDefault="00E30C78" w:rsidP="0025522E">
            <w:pPr>
              <w:pStyle w:val="tabbielystyl"/>
            </w:pPr>
            <w:r w:rsidRPr="004C1013">
              <w:t>293,91</w:t>
            </w:r>
          </w:p>
        </w:tc>
        <w:tc>
          <w:tcPr>
            <w:tcW w:w="822" w:type="dxa"/>
            <w:vMerge/>
          </w:tcPr>
          <w:p w:rsidR="00E30C78" w:rsidRPr="004C1013" w:rsidRDefault="00E30C78" w:rsidP="0025522E">
            <w:pPr>
              <w:pStyle w:val="tabbielystyl"/>
            </w:pPr>
          </w:p>
        </w:tc>
        <w:tc>
          <w:tcPr>
            <w:tcW w:w="715" w:type="dxa"/>
            <w:vMerge/>
          </w:tcPr>
          <w:p w:rsidR="00E30C78" w:rsidRPr="004C1013" w:rsidRDefault="00E30C78" w:rsidP="0025522E">
            <w:pPr>
              <w:pStyle w:val="tabbielystyl"/>
            </w:pPr>
          </w:p>
        </w:tc>
        <w:tc>
          <w:tcPr>
            <w:tcW w:w="655" w:type="dxa"/>
          </w:tcPr>
          <w:p w:rsidR="00E30C78" w:rsidRPr="004C1013" w:rsidRDefault="00E30C78" w:rsidP="0025522E">
            <w:pPr>
              <w:pStyle w:val="tabbielystyl"/>
            </w:pPr>
            <w:r w:rsidRPr="004C1013">
              <w:t>N/A</w:t>
            </w:r>
          </w:p>
        </w:tc>
        <w:tc>
          <w:tcPr>
            <w:tcW w:w="749" w:type="dxa"/>
            <w:vAlign w:val="bottom"/>
          </w:tcPr>
          <w:p w:rsidR="00E30C78" w:rsidRPr="004C1013" w:rsidRDefault="00E30C78" w:rsidP="0025522E">
            <w:pPr>
              <w:pStyle w:val="tabbielystyl"/>
            </w:pPr>
            <w:r w:rsidRPr="004C1013">
              <w:t>100,21</w:t>
            </w:r>
          </w:p>
        </w:tc>
        <w:tc>
          <w:tcPr>
            <w:tcW w:w="831" w:type="dxa"/>
            <w:vAlign w:val="bottom"/>
          </w:tcPr>
          <w:p w:rsidR="00E30C78" w:rsidRPr="004C1013" w:rsidRDefault="00E30C78" w:rsidP="0025522E">
            <w:pPr>
              <w:pStyle w:val="tabbielystyl"/>
            </w:pPr>
            <w:r w:rsidRPr="004C1013">
              <w:t>100,22</w:t>
            </w:r>
          </w:p>
        </w:tc>
        <w:tc>
          <w:tcPr>
            <w:tcW w:w="822" w:type="dxa"/>
            <w:vMerge/>
            <w:vAlign w:val="bottom"/>
          </w:tcPr>
          <w:p w:rsidR="00E30C78" w:rsidRPr="004C1013" w:rsidRDefault="00E30C78" w:rsidP="0025522E">
            <w:pPr>
              <w:pStyle w:val="tabbielystyl"/>
            </w:pPr>
          </w:p>
        </w:tc>
        <w:tc>
          <w:tcPr>
            <w:tcW w:w="680" w:type="dxa"/>
            <w:vMerge/>
          </w:tcPr>
          <w:p w:rsidR="00E30C78" w:rsidRPr="004C1013" w:rsidRDefault="00E30C78" w:rsidP="0025522E">
            <w:pPr>
              <w:pStyle w:val="tabbielystyl"/>
            </w:pPr>
          </w:p>
        </w:tc>
      </w:tr>
      <w:tr w:rsidR="00E30C78" w:rsidRPr="004C1013" w:rsidTr="00581E57">
        <w:trPr>
          <w:trHeight w:val="283"/>
        </w:trPr>
        <w:tc>
          <w:tcPr>
            <w:tcW w:w="1048" w:type="dxa"/>
            <w:hideMark/>
          </w:tcPr>
          <w:p w:rsidR="00E30C78" w:rsidRPr="004C1013" w:rsidRDefault="00E30C78" w:rsidP="0025522E">
            <w:pPr>
              <w:pStyle w:val="tabbielystyl"/>
            </w:pPr>
            <w:r w:rsidRPr="004C1013">
              <w:t>2015</w:t>
            </w:r>
          </w:p>
        </w:tc>
        <w:tc>
          <w:tcPr>
            <w:tcW w:w="948" w:type="dxa"/>
            <w:hideMark/>
          </w:tcPr>
          <w:p w:rsidR="00E30C78" w:rsidRPr="004C1013" w:rsidRDefault="00E30C78" w:rsidP="0025522E">
            <w:pPr>
              <w:pStyle w:val="tabbielystyl"/>
            </w:pPr>
            <w:r w:rsidRPr="004C1013">
              <w:t>5.</w:t>
            </w:r>
          </w:p>
        </w:tc>
        <w:tc>
          <w:tcPr>
            <w:tcW w:w="655" w:type="dxa"/>
            <w:vAlign w:val="bottom"/>
            <w:hideMark/>
          </w:tcPr>
          <w:p w:rsidR="00E30C78" w:rsidRPr="004C1013" w:rsidRDefault="00E30C78" w:rsidP="0025522E">
            <w:pPr>
              <w:pStyle w:val="tabbielystyl"/>
            </w:pPr>
            <w:r w:rsidRPr="004C1013">
              <w:t>323,74</w:t>
            </w:r>
          </w:p>
        </w:tc>
        <w:tc>
          <w:tcPr>
            <w:tcW w:w="655" w:type="dxa"/>
            <w:vAlign w:val="bottom"/>
          </w:tcPr>
          <w:p w:rsidR="00E30C78" w:rsidRPr="004C1013" w:rsidRDefault="00E30C78" w:rsidP="0025522E">
            <w:pPr>
              <w:pStyle w:val="tabbielystyl"/>
            </w:pPr>
            <w:r w:rsidRPr="004C1013">
              <w:t>323,74</w:t>
            </w:r>
          </w:p>
        </w:tc>
        <w:tc>
          <w:tcPr>
            <w:tcW w:w="831" w:type="dxa"/>
            <w:vAlign w:val="bottom"/>
          </w:tcPr>
          <w:p w:rsidR="00E30C78" w:rsidRPr="004C1013" w:rsidRDefault="00E30C78" w:rsidP="0025522E">
            <w:pPr>
              <w:pStyle w:val="tabbielystyl"/>
            </w:pPr>
            <w:r w:rsidRPr="004C1013">
              <w:t>323,73</w:t>
            </w:r>
          </w:p>
        </w:tc>
        <w:tc>
          <w:tcPr>
            <w:tcW w:w="822" w:type="dxa"/>
            <w:vMerge/>
          </w:tcPr>
          <w:p w:rsidR="00E30C78" w:rsidRPr="004C1013" w:rsidRDefault="00E30C78" w:rsidP="0025522E">
            <w:pPr>
              <w:pStyle w:val="tabbielystyl"/>
            </w:pPr>
          </w:p>
        </w:tc>
        <w:tc>
          <w:tcPr>
            <w:tcW w:w="715" w:type="dxa"/>
            <w:vMerge/>
          </w:tcPr>
          <w:p w:rsidR="00E30C78" w:rsidRPr="004C1013" w:rsidRDefault="00E30C78" w:rsidP="0025522E">
            <w:pPr>
              <w:pStyle w:val="tabbielystyl"/>
            </w:pPr>
          </w:p>
        </w:tc>
        <w:tc>
          <w:tcPr>
            <w:tcW w:w="655" w:type="dxa"/>
            <w:vMerge w:val="restart"/>
          </w:tcPr>
          <w:p w:rsidR="00E30C78" w:rsidRPr="004C1013" w:rsidRDefault="00E30C78" w:rsidP="0025522E">
            <w:pPr>
              <w:pStyle w:val="tabbielystyl"/>
            </w:pPr>
            <w:r w:rsidRPr="004C1013">
              <w:t>273,29</w:t>
            </w:r>
          </w:p>
        </w:tc>
        <w:tc>
          <w:tcPr>
            <w:tcW w:w="749" w:type="dxa"/>
            <w:vAlign w:val="bottom"/>
          </w:tcPr>
          <w:p w:rsidR="00E30C78" w:rsidRPr="004C1013" w:rsidRDefault="00E30C78" w:rsidP="0025522E">
            <w:pPr>
              <w:pStyle w:val="tabbielystyl"/>
            </w:pPr>
            <w:r w:rsidRPr="004C1013">
              <w:t>85,50</w:t>
            </w:r>
          </w:p>
        </w:tc>
        <w:tc>
          <w:tcPr>
            <w:tcW w:w="831" w:type="dxa"/>
            <w:vAlign w:val="bottom"/>
          </w:tcPr>
          <w:p w:rsidR="00E30C78" w:rsidRPr="004C1013" w:rsidRDefault="00E30C78" w:rsidP="0025522E">
            <w:pPr>
              <w:pStyle w:val="tabbielystyl"/>
            </w:pPr>
            <w:r w:rsidRPr="004C1013">
              <w:t>85,49</w:t>
            </w:r>
          </w:p>
        </w:tc>
        <w:tc>
          <w:tcPr>
            <w:tcW w:w="822" w:type="dxa"/>
            <w:vMerge/>
            <w:vAlign w:val="bottom"/>
          </w:tcPr>
          <w:p w:rsidR="00E30C78" w:rsidRPr="004C1013" w:rsidRDefault="00E30C78" w:rsidP="0025522E">
            <w:pPr>
              <w:pStyle w:val="tabbielystyl"/>
            </w:pPr>
          </w:p>
        </w:tc>
        <w:tc>
          <w:tcPr>
            <w:tcW w:w="680" w:type="dxa"/>
            <w:vMerge/>
          </w:tcPr>
          <w:p w:rsidR="00E30C78" w:rsidRPr="004C1013" w:rsidRDefault="00E30C78" w:rsidP="0025522E">
            <w:pPr>
              <w:pStyle w:val="tabbielystyl"/>
            </w:pPr>
          </w:p>
        </w:tc>
      </w:tr>
      <w:tr w:rsidR="00E30C78" w:rsidRPr="004C1013" w:rsidTr="00581E57">
        <w:trPr>
          <w:trHeight w:val="283"/>
        </w:trPr>
        <w:tc>
          <w:tcPr>
            <w:tcW w:w="1048" w:type="dxa"/>
            <w:hideMark/>
          </w:tcPr>
          <w:p w:rsidR="00E30C78" w:rsidRPr="004C1013" w:rsidRDefault="00E30C78" w:rsidP="0025522E">
            <w:pPr>
              <w:pStyle w:val="tabbielystyl"/>
            </w:pPr>
            <w:r w:rsidRPr="004C1013">
              <w:t>2016</w:t>
            </w:r>
          </w:p>
        </w:tc>
        <w:tc>
          <w:tcPr>
            <w:tcW w:w="948" w:type="dxa"/>
            <w:hideMark/>
          </w:tcPr>
          <w:p w:rsidR="00E30C78" w:rsidRPr="004C1013" w:rsidRDefault="00E30C78" w:rsidP="0025522E">
            <w:pPr>
              <w:pStyle w:val="tabbielystyl"/>
            </w:pPr>
            <w:r w:rsidRPr="004C1013">
              <w:t>6.</w:t>
            </w:r>
          </w:p>
        </w:tc>
        <w:tc>
          <w:tcPr>
            <w:tcW w:w="655" w:type="dxa"/>
            <w:vAlign w:val="bottom"/>
            <w:hideMark/>
          </w:tcPr>
          <w:p w:rsidR="00E30C78" w:rsidRPr="004C1013" w:rsidRDefault="00E30C78" w:rsidP="0025522E">
            <w:pPr>
              <w:pStyle w:val="tabbielystyl"/>
            </w:pPr>
            <w:r w:rsidRPr="004C1013">
              <w:t>342,47</w:t>
            </w:r>
          </w:p>
        </w:tc>
        <w:tc>
          <w:tcPr>
            <w:tcW w:w="655" w:type="dxa"/>
            <w:vAlign w:val="bottom"/>
          </w:tcPr>
          <w:p w:rsidR="00E30C78" w:rsidRPr="004C1013" w:rsidRDefault="00E30C78" w:rsidP="0025522E">
            <w:pPr>
              <w:pStyle w:val="tabbielystyl"/>
            </w:pPr>
            <w:r w:rsidRPr="004C1013">
              <w:t>N/A</w:t>
            </w:r>
          </w:p>
        </w:tc>
        <w:tc>
          <w:tcPr>
            <w:tcW w:w="831" w:type="dxa"/>
          </w:tcPr>
          <w:p w:rsidR="00E30C78" w:rsidRPr="004C1013" w:rsidRDefault="00E30C78" w:rsidP="0025522E">
            <w:pPr>
              <w:pStyle w:val="tabbielystyl"/>
            </w:pPr>
            <w:r w:rsidRPr="004C1013">
              <w:t>N/A</w:t>
            </w:r>
          </w:p>
        </w:tc>
        <w:tc>
          <w:tcPr>
            <w:tcW w:w="822" w:type="dxa"/>
            <w:vMerge/>
          </w:tcPr>
          <w:p w:rsidR="00E30C78" w:rsidRPr="004C1013" w:rsidRDefault="00E30C78" w:rsidP="0025522E">
            <w:pPr>
              <w:pStyle w:val="tabbielystyl"/>
            </w:pPr>
          </w:p>
        </w:tc>
        <w:tc>
          <w:tcPr>
            <w:tcW w:w="715" w:type="dxa"/>
            <w:vMerge/>
          </w:tcPr>
          <w:p w:rsidR="00E30C78" w:rsidRPr="004C1013" w:rsidRDefault="00E30C78" w:rsidP="0025522E">
            <w:pPr>
              <w:pStyle w:val="tabbielystyl"/>
            </w:pPr>
          </w:p>
        </w:tc>
        <w:tc>
          <w:tcPr>
            <w:tcW w:w="655" w:type="dxa"/>
            <w:vMerge/>
          </w:tcPr>
          <w:p w:rsidR="00E30C78" w:rsidRPr="004C1013" w:rsidRDefault="00E30C78" w:rsidP="0025522E">
            <w:pPr>
              <w:pStyle w:val="tabbielystyl"/>
            </w:pPr>
          </w:p>
        </w:tc>
        <w:tc>
          <w:tcPr>
            <w:tcW w:w="749" w:type="dxa"/>
          </w:tcPr>
          <w:p w:rsidR="00E30C78" w:rsidRPr="004C1013" w:rsidRDefault="00E30C78" w:rsidP="0025522E">
            <w:pPr>
              <w:pStyle w:val="tabbielystyl"/>
            </w:pPr>
            <w:r w:rsidRPr="004C1013">
              <w:t>N/A</w:t>
            </w:r>
          </w:p>
        </w:tc>
        <w:tc>
          <w:tcPr>
            <w:tcW w:w="831" w:type="dxa"/>
            <w:vAlign w:val="bottom"/>
          </w:tcPr>
          <w:p w:rsidR="00E30C78" w:rsidRPr="004C1013" w:rsidRDefault="00E30C78" w:rsidP="0025522E">
            <w:pPr>
              <w:pStyle w:val="tabbielystyl"/>
            </w:pPr>
            <w:r w:rsidRPr="004C1013">
              <w:t>N/A</w:t>
            </w:r>
          </w:p>
        </w:tc>
        <w:tc>
          <w:tcPr>
            <w:tcW w:w="822" w:type="dxa"/>
            <w:vMerge/>
            <w:vAlign w:val="bottom"/>
          </w:tcPr>
          <w:p w:rsidR="00E30C78" w:rsidRPr="004C1013" w:rsidRDefault="00E30C78" w:rsidP="0025522E">
            <w:pPr>
              <w:pStyle w:val="tabbielystyl"/>
            </w:pPr>
          </w:p>
        </w:tc>
        <w:tc>
          <w:tcPr>
            <w:tcW w:w="680" w:type="dxa"/>
            <w:vMerge/>
          </w:tcPr>
          <w:p w:rsidR="00E30C78" w:rsidRPr="004C1013" w:rsidRDefault="00E30C78" w:rsidP="0025522E">
            <w:pPr>
              <w:pStyle w:val="tabbielystyl"/>
            </w:pPr>
          </w:p>
        </w:tc>
      </w:tr>
      <w:tr w:rsidR="00581E57" w:rsidRPr="004C1013" w:rsidTr="00581E57">
        <w:trPr>
          <w:trHeight w:val="283"/>
        </w:trPr>
        <w:tc>
          <w:tcPr>
            <w:tcW w:w="1048" w:type="dxa"/>
            <w:hideMark/>
          </w:tcPr>
          <w:p w:rsidR="00581E57" w:rsidRPr="004C1013" w:rsidRDefault="00581E57" w:rsidP="0025522E">
            <w:pPr>
              <w:pStyle w:val="tabbielystyl"/>
            </w:pPr>
            <w:r w:rsidRPr="004C1013">
              <w:t>2017</w:t>
            </w:r>
          </w:p>
        </w:tc>
        <w:tc>
          <w:tcPr>
            <w:tcW w:w="948" w:type="dxa"/>
            <w:hideMark/>
          </w:tcPr>
          <w:p w:rsidR="00581E57" w:rsidRPr="004C1013" w:rsidRDefault="00581E57" w:rsidP="0025522E">
            <w:pPr>
              <w:pStyle w:val="tabbielystyl"/>
            </w:pPr>
            <w:r w:rsidRPr="004C1013">
              <w:t>7.</w:t>
            </w:r>
          </w:p>
        </w:tc>
        <w:tc>
          <w:tcPr>
            <w:tcW w:w="655" w:type="dxa"/>
            <w:vAlign w:val="bottom"/>
            <w:hideMark/>
          </w:tcPr>
          <w:p w:rsidR="00581E57" w:rsidRPr="004C1013" w:rsidRDefault="00581E57" w:rsidP="0025522E">
            <w:pPr>
              <w:pStyle w:val="tabbielystyl"/>
            </w:pPr>
            <w:r w:rsidRPr="004C1013">
              <w:t>391,75</w:t>
            </w:r>
          </w:p>
        </w:tc>
        <w:tc>
          <w:tcPr>
            <w:tcW w:w="655" w:type="dxa"/>
            <w:vAlign w:val="bottom"/>
          </w:tcPr>
          <w:p w:rsidR="00581E57" w:rsidRPr="004C1013" w:rsidRDefault="00581E57" w:rsidP="0025522E">
            <w:pPr>
              <w:pStyle w:val="tabbielystyl"/>
            </w:pPr>
            <w:r w:rsidRPr="004C1013">
              <w:t>N/A</w:t>
            </w:r>
          </w:p>
        </w:tc>
        <w:tc>
          <w:tcPr>
            <w:tcW w:w="831" w:type="dxa"/>
          </w:tcPr>
          <w:p w:rsidR="00581E57" w:rsidRPr="004C1013" w:rsidRDefault="00581E57" w:rsidP="0025522E">
            <w:pPr>
              <w:pStyle w:val="tabbielystyl"/>
            </w:pPr>
            <w:r w:rsidRPr="004C1013">
              <w:t>N/A</w:t>
            </w:r>
          </w:p>
        </w:tc>
        <w:tc>
          <w:tcPr>
            <w:tcW w:w="822" w:type="dxa"/>
            <w:vMerge/>
          </w:tcPr>
          <w:p w:rsidR="00581E57" w:rsidRPr="004C1013" w:rsidRDefault="00581E57" w:rsidP="0025522E">
            <w:pPr>
              <w:pStyle w:val="tabbielystyl"/>
            </w:pPr>
          </w:p>
        </w:tc>
        <w:tc>
          <w:tcPr>
            <w:tcW w:w="715" w:type="dxa"/>
          </w:tcPr>
          <w:p w:rsidR="00581E57" w:rsidRPr="004C1013" w:rsidRDefault="00581E57" w:rsidP="0025522E">
            <w:pPr>
              <w:pStyle w:val="tabbielystyl"/>
            </w:pPr>
            <w:r>
              <w:t>N/A</w:t>
            </w:r>
          </w:p>
        </w:tc>
        <w:tc>
          <w:tcPr>
            <w:tcW w:w="655" w:type="dxa"/>
            <w:vMerge/>
          </w:tcPr>
          <w:p w:rsidR="00581E57" w:rsidRPr="004C1013" w:rsidRDefault="00581E57" w:rsidP="0025522E">
            <w:pPr>
              <w:pStyle w:val="tabbielystyl"/>
            </w:pPr>
          </w:p>
        </w:tc>
        <w:tc>
          <w:tcPr>
            <w:tcW w:w="749" w:type="dxa"/>
          </w:tcPr>
          <w:p w:rsidR="00581E57" w:rsidRPr="004C1013" w:rsidRDefault="00581E57" w:rsidP="0025522E">
            <w:pPr>
              <w:pStyle w:val="tabbielystyl"/>
            </w:pPr>
            <w:r w:rsidRPr="004C1013">
              <w:t>N/A</w:t>
            </w:r>
          </w:p>
        </w:tc>
        <w:tc>
          <w:tcPr>
            <w:tcW w:w="831" w:type="dxa"/>
            <w:vAlign w:val="bottom"/>
          </w:tcPr>
          <w:p w:rsidR="00581E57" w:rsidRPr="004C1013" w:rsidRDefault="00581E57" w:rsidP="0025522E">
            <w:pPr>
              <w:pStyle w:val="tabbielystyl"/>
            </w:pPr>
            <w:r w:rsidRPr="004C1013">
              <w:t>N/A</w:t>
            </w:r>
          </w:p>
        </w:tc>
        <w:tc>
          <w:tcPr>
            <w:tcW w:w="822" w:type="dxa"/>
            <w:vMerge/>
            <w:vAlign w:val="bottom"/>
          </w:tcPr>
          <w:p w:rsidR="00581E57" w:rsidRPr="004C1013" w:rsidRDefault="00581E57" w:rsidP="0025522E">
            <w:pPr>
              <w:pStyle w:val="tabbielystyl"/>
            </w:pPr>
          </w:p>
        </w:tc>
        <w:tc>
          <w:tcPr>
            <w:tcW w:w="680" w:type="dxa"/>
          </w:tcPr>
          <w:p w:rsidR="00581E57" w:rsidRPr="004C1013" w:rsidRDefault="00581E57" w:rsidP="005F2300">
            <w:pPr>
              <w:pStyle w:val="tabbielystyl"/>
            </w:pPr>
            <w:r>
              <w:t>N/A</w:t>
            </w:r>
          </w:p>
        </w:tc>
      </w:tr>
      <w:tr w:rsidR="00581E57" w:rsidRPr="004C1013" w:rsidTr="00581E57">
        <w:trPr>
          <w:trHeight w:val="283"/>
        </w:trPr>
        <w:tc>
          <w:tcPr>
            <w:tcW w:w="1048" w:type="dxa"/>
            <w:hideMark/>
          </w:tcPr>
          <w:p w:rsidR="00581E57" w:rsidRPr="004C1013" w:rsidRDefault="00581E57" w:rsidP="0025522E">
            <w:pPr>
              <w:pStyle w:val="tabbielystyl"/>
            </w:pPr>
            <w:r w:rsidRPr="004C1013">
              <w:t>2018</w:t>
            </w:r>
          </w:p>
        </w:tc>
        <w:tc>
          <w:tcPr>
            <w:tcW w:w="948" w:type="dxa"/>
            <w:hideMark/>
          </w:tcPr>
          <w:p w:rsidR="00581E57" w:rsidRPr="004C1013" w:rsidRDefault="00581E57" w:rsidP="0025522E">
            <w:pPr>
              <w:pStyle w:val="tabbielystyl"/>
            </w:pPr>
            <w:r w:rsidRPr="004C1013">
              <w:t>8.</w:t>
            </w:r>
          </w:p>
        </w:tc>
        <w:tc>
          <w:tcPr>
            <w:tcW w:w="655" w:type="dxa"/>
            <w:vAlign w:val="bottom"/>
            <w:hideMark/>
          </w:tcPr>
          <w:p w:rsidR="00581E57" w:rsidRPr="004C1013" w:rsidRDefault="00581E57" w:rsidP="0025522E">
            <w:pPr>
              <w:pStyle w:val="tabbielystyl"/>
            </w:pPr>
            <w:r w:rsidRPr="004C1013">
              <w:t>421,12</w:t>
            </w:r>
          </w:p>
        </w:tc>
        <w:tc>
          <w:tcPr>
            <w:tcW w:w="655" w:type="dxa"/>
          </w:tcPr>
          <w:p w:rsidR="00581E57" w:rsidRPr="004C1013" w:rsidRDefault="00581E57" w:rsidP="0025522E">
            <w:pPr>
              <w:pStyle w:val="tabbielystyl"/>
            </w:pPr>
            <w:r w:rsidRPr="004C1013">
              <w:t>N/A</w:t>
            </w:r>
          </w:p>
        </w:tc>
        <w:tc>
          <w:tcPr>
            <w:tcW w:w="831" w:type="dxa"/>
          </w:tcPr>
          <w:p w:rsidR="00581E57" w:rsidRPr="004C1013" w:rsidRDefault="00581E57" w:rsidP="0025522E">
            <w:pPr>
              <w:pStyle w:val="tabbielystyl"/>
            </w:pPr>
            <w:r w:rsidRPr="004C1013">
              <w:t>N/A</w:t>
            </w:r>
          </w:p>
        </w:tc>
        <w:tc>
          <w:tcPr>
            <w:tcW w:w="822" w:type="dxa"/>
            <w:vMerge/>
          </w:tcPr>
          <w:p w:rsidR="00581E57" w:rsidRPr="004C1013" w:rsidRDefault="00581E57" w:rsidP="0025522E">
            <w:pPr>
              <w:pStyle w:val="tabbielystyl"/>
            </w:pPr>
          </w:p>
        </w:tc>
        <w:tc>
          <w:tcPr>
            <w:tcW w:w="715" w:type="dxa"/>
          </w:tcPr>
          <w:p w:rsidR="00581E57" w:rsidRPr="004C1013" w:rsidRDefault="00581E57" w:rsidP="0025522E">
            <w:pPr>
              <w:pStyle w:val="tabbielystyl"/>
            </w:pPr>
            <w:r>
              <w:t>N/A</w:t>
            </w:r>
          </w:p>
        </w:tc>
        <w:tc>
          <w:tcPr>
            <w:tcW w:w="655" w:type="dxa"/>
          </w:tcPr>
          <w:p w:rsidR="00581E57" w:rsidRPr="004C1013" w:rsidRDefault="00581E57" w:rsidP="0025522E">
            <w:pPr>
              <w:pStyle w:val="tabbielystyl"/>
            </w:pPr>
            <w:r w:rsidRPr="004C1013">
              <w:t>94,98</w:t>
            </w:r>
          </w:p>
        </w:tc>
        <w:tc>
          <w:tcPr>
            <w:tcW w:w="749" w:type="dxa"/>
          </w:tcPr>
          <w:p w:rsidR="00581E57" w:rsidRPr="004C1013" w:rsidRDefault="00581E57" w:rsidP="0025522E">
            <w:pPr>
              <w:pStyle w:val="tabbielystyl"/>
            </w:pPr>
            <w:r w:rsidRPr="004C1013">
              <w:t>N/A</w:t>
            </w:r>
          </w:p>
        </w:tc>
        <w:tc>
          <w:tcPr>
            <w:tcW w:w="831" w:type="dxa"/>
          </w:tcPr>
          <w:p w:rsidR="00581E57" w:rsidRPr="004C1013" w:rsidRDefault="00581E57" w:rsidP="0025522E">
            <w:pPr>
              <w:pStyle w:val="tabbielystyl"/>
            </w:pPr>
            <w:r w:rsidRPr="004C1013">
              <w:t>N/A</w:t>
            </w:r>
          </w:p>
        </w:tc>
        <w:tc>
          <w:tcPr>
            <w:tcW w:w="822" w:type="dxa"/>
            <w:vMerge/>
          </w:tcPr>
          <w:p w:rsidR="00581E57" w:rsidRPr="004C1013" w:rsidRDefault="00581E57" w:rsidP="0025522E">
            <w:pPr>
              <w:pStyle w:val="tabbielystyl"/>
            </w:pPr>
          </w:p>
        </w:tc>
        <w:tc>
          <w:tcPr>
            <w:tcW w:w="680" w:type="dxa"/>
          </w:tcPr>
          <w:p w:rsidR="00581E57" w:rsidRPr="004C1013" w:rsidRDefault="00581E57" w:rsidP="005F2300">
            <w:pPr>
              <w:pStyle w:val="tabbielystyl"/>
            </w:pPr>
            <w:r>
              <w:t>N/A</w:t>
            </w:r>
          </w:p>
        </w:tc>
      </w:tr>
      <w:tr w:rsidR="00581E57" w:rsidRPr="004C1013" w:rsidTr="00581E57">
        <w:trPr>
          <w:trHeight w:val="283"/>
        </w:trPr>
        <w:tc>
          <w:tcPr>
            <w:tcW w:w="1996" w:type="dxa"/>
            <w:gridSpan w:val="2"/>
            <w:shd w:val="clear" w:color="auto" w:fill="7F7F7F" w:themeFill="text1" w:themeFillTint="80"/>
            <w:hideMark/>
          </w:tcPr>
          <w:p w:rsidR="00581E57" w:rsidRPr="004C1013" w:rsidRDefault="00581E57" w:rsidP="0025522E">
            <w:pPr>
              <w:pStyle w:val="tabukasivystyl"/>
            </w:pPr>
            <w:r w:rsidRPr="004C1013">
              <w:t>Priemer</w:t>
            </w:r>
          </w:p>
        </w:tc>
        <w:tc>
          <w:tcPr>
            <w:tcW w:w="655" w:type="dxa"/>
            <w:shd w:val="clear" w:color="auto" w:fill="7F7F7F" w:themeFill="text1" w:themeFillTint="80"/>
            <w:vAlign w:val="bottom"/>
            <w:hideMark/>
          </w:tcPr>
          <w:p w:rsidR="00581E57" w:rsidRPr="004C1013" w:rsidRDefault="00581E57" w:rsidP="0025522E">
            <w:pPr>
              <w:pStyle w:val="tabukasivystyl"/>
            </w:pPr>
            <w:r w:rsidRPr="004C1013">
              <w:t>369,77</w:t>
            </w:r>
          </w:p>
        </w:tc>
        <w:tc>
          <w:tcPr>
            <w:tcW w:w="655" w:type="dxa"/>
            <w:shd w:val="clear" w:color="auto" w:fill="7F7F7F" w:themeFill="text1" w:themeFillTint="80"/>
          </w:tcPr>
          <w:p w:rsidR="00581E57" w:rsidRPr="004C1013" w:rsidRDefault="00581E57" w:rsidP="0025522E">
            <w:pPr>
              <w:pStyle w:val="tabukasivystyl"/>
            </w:pPr>
            <w:r w:rsidRPr="004C1013">
              <w:t>227,12</w:t>
            </w:r>
          </w:p>
        </w:tc>
        <w:tc>
          <w:tcPr>
            <w:tcW w:w="831" w:type="dxa"/>
            <w:shd w:val="clear" w:color="auto" w:fill="7F7F7F" w:themeFill="text1" w:themeFillTint="80"/>
          </w:tcPr>
          <w:p w:rsidR="00581E57" w:rsidRPr="004C1013" w:rsidRDefault="00581E57" w:rsidP="0025522E">
            <w:pPr>
              <w:pStyle w:val="tabukasivystyl"/>
            </w:pPr>
            <w:r w:rsidRPr="004C1013">
              <w:t>229,41</w:t>
            </w:r>
          </w:p>
        </w:tc>
        <w:tc>
          <w:tcPr>
            <w:tcW w:w="822" w:type="dxa"/>
            <w:shd w:val="clear" w:color="auto" w:fill="7F7F7F" w:themeFill="text1" w:themeFillTint="80"/>
          </w:tcPr>
          <w:p w:rsidR="00581E57" w:rsidRPr="004C1013" w:rsidRDefault="00581E57" w:rsidP="0025522E">
            <w:pPr>
              <w:pStyle w:val="tabukasivystyl"/>
            </w:pPr>
            <w:r w:rsidRPr="004C1013">
              <w:t>338,96 €</w:t>
            </w:r>
          </w:p>
        </w:tc>
        <w:tc>
          <w:tcPr>
            <w:tcW w:w="715" w:type="dxa"/>
            <w:shd w:val="clear" w:color="auto" w:fill="7F7F7F" w:themeFill="text1" w:themeFillTint="80"/>
          </w:tcPr>
          <w:p w:rsidR="00581E57" w:rsidRPr="004C1013" w:rsidRDefault="00581E57" w:rsidP="0025522E">
            <w:pPr>
              <w:pStyle w:val="tabukasivystyl"/>
            </w:pPr>
          </w:p>
        </w:tc>
        <w:tc>
          <w:tcPr>
            <w:tcW w:w="655" w:type="dxa"/>
            <w:shd w:val="clear" w:color="auto" w:fill="7F7F7F" w:themeFill="text1" w:themeFillTint="80"/>
          </w:tcPr>
          <w:p w:rsidR="00581E57" w:rsidRPr="004C1013" w:rsidRDefault="00581E57" w:rsidP="0025522E">
            <w:pPr>
              <w:pStyle w:val="tabukasivystyl"/>
            </w:pPr>
            <w:r w:rsidRPr="004C1013">
              <w:t>92,07</w:t>
            </w:r>
          </w:p>
        </w:tc>
        <w:tc>
          <w:tcPr>
            <w:tcW w:w="749" w:type="dxa"/>
            <w:shd w:val="clear" w:color="auto" w:fill="7F7F7F" w:themeFill="text1" w:themeFillTint="80"/>
          </w:tcPr>
          <w:p w:rsidR="00581E57" w:rsidRPr="004C1013" w:rsidRDefault="00581E57" w:rsidP="0025522E">
            <w:pPr>
              <w:pStyle w:val="tabukasivystyl"/>
            </w:pPr>
            <w:r w:rsidRPr="004C1013">
              <w:t>130,64</w:t>
            </w:r>
          </w:p>
        </w:tc>
        <w:tc>
          <w:tcPr>
            <w:tcW w:w="831" w:type="dxa"/>
            <w:shd w:val="clear" w:color="auto" w:fill="7F7F7F" w:themeFill="text1" w:themeFillTint="80"/>
          </w:tcPr>
          <w:p w:rsidR="00581E57" w:rsidRPr="004C1013" w:rsidRDefault="00581E57" w:rsidP="0025522E">
            <w:pPr>
              <w:pStyle w:val="tabukasivystyl"/>
            </w:pPr>
            <w:r w:rsidRPr="004C1013">
              <w:t>130,65</w:t>
            </w:r>
          </w:p>
        </w:tc>
        <w:tc>
          <w:tcPr>
            <w:tcW w:w="822" w:type="dxa"/>
            <w:shd w:val="clear" w:color="auto" w:fill="7F7F7F" w:themeFill="text1" w:themeFillTint="80"/>
          </w:tcPr>
          <w:p w:rsidR="00581E57" w:rsidRPr="004C1013" w:rsidRDefault="00581E57" w:rsidP="0025522E">
            <w:pPr>
              <w:pStyle w:val="tabukasivystyl"/>
            </w:pPr>
            <w:r w:rsidRPr="004C1013">
              <w:t xml:space="preserve">100,57 </w:t>
            </w:r>
          </w:p>
        </w:tc>
        <w:tc>
          <w:tcPr>
            <w:tcW w:w="680" w:type="dxa"/>
            <w:shd w:val="clear" w:color="auto" w:fill="7F7F7F" w:themeFill="text1" w:themeFillTint="80"/>
          </w:tcPr>
          <w:p w:rsidR="00581E57" w:rsidRPr="004C1013" w:rsidRDefault="00581E57" w:rsidP="0025522E">
            <w:pPr>
              <w:pStyle w:val="tabukasivystyl"/>
            </w:pPr>
            <w:r>
              <w:t>105,16</w:t>
            </w:r>
          </w:p>
        </w:tc>
      </w:tr>
    </w:tbl>
    <w:p w:rsidR="0025522E" w:rsidRPr="004C1013" w:rsidRDefault="0025522E" w:rsidP="0025522E">
      <w:pPr>
        <w:pStyle w:val="Normaltext"/>
        <w:rPr>
          <w:rFonts w:asciiTheme="minorHAnsi" w:hAnsiTheme="minorHAnsi" w:cstheme="minorHAnsi"/>
          <w:sz w:val="20"/>
        </w:rPr>
      </w:pPr>
      <w:r w:rsidRPr="004C1013">
        <w:rPr>
          <w:rFonts w:asciiTheme="minorHAnsi" w:hAnsiTheme="minorHAnsi" w:cstheme="minorHAnsi"/>
          <w:sz w:val="20"/>
        </w:rPr>
        <w:t>* od 1.7.2011</w:t>
      </w:r>
    </w:p>
    <w:p w:rsidR="0025522E" w:rsidRDefault="0025522E" w:rsidP="0025522E">
      <w:pPr>
        <w:pStyle w:val="Normaltext"/>
        <w:rPr>
          <w:rFonts w:asciiTheme="minorHAnsi" w:hAnsiTheme="minorHAnsi" w:cstheme="minorHAnsi"/>
          <w:sz w:val="20"/>
        </w:rPr>
      </w:pPr>
      <w:r w:rsidRPr="004C1013">
        <w:rPr>
          <w:rFonts w:asciiTheme="minorHAnsi" w:hAnsiTheme="minorHAnsi" w:cstheme="minorHAnsi"/>
          <w:sz w:val="20"/>
        </w:rPr>
        <w:t>** od 1.7.2011 do 30.6.2018</w:t>
      </w:r>
    </w:p>
    <w:p w:rsidR="00E30C78" w:rsidRPr="004C1013" w:rsidRDefault="00E30C78" w:rsidP="0025522E">
      <w:pPr>
        <w:pStyle w:val="Normaltext"/>
        <w:rPr>
          <w:rFonts w:asciiTheme="minorHAnsi" w:hAnsiTheme="minorHAnsi" w:cstheme="minorHAnsi"/>
          <w:sz w:val="20"/>
        </w:rPr>
      </w:pPr>
      <w:r>
        <w:rPr>
          <w:rFonts w:asciiTheme="minorHAnsi" w:hAnsiTheme="minorHAnsi" w:cstheme="minorHAnsi"/>
          <w:sz w:val="20"/>
        </w:rPr>
        <w:t xml:space="preserve">*** </w:t>
      </w:r>
      <w:r w:rsidRPr="004C1013">
        <w:rPr>
          <w:rFonts w:asciiTheme="minorHAnsi" w:hAnsiTheme="minorHAnsi" w:cstheme="minorHAnsi"/>
          <w:sz w:val="20"/>
        </w:rPr>
        <w:t>od 1.7.2011 do 30.6.201</w:t>
      </w:r>
      <w:r>
        <w:rPr>
          <w:rFonts w:asciiTheme="minorHAnsi" w:hAnsiTheme="minorHAnsi" w:cstheme="minorHAnsi"/>
          <w:sz w:val="20"/>
        </w:rPr>
        <w:t>6</w:t>
      </w:r>
    </w:p>
    <w:p w:rsidR="0025522E" w:rsidRPr="004C1013" w:rsidRDefault="0025522E" w:rsidP="0025522E">
      <w:r w:rsidRPr="004C1013">
        <w:t>Ako reprezentatívne údaje o výnosoch systému viaTOLL vstupujúce do komparatívnej analýz</w:t>
      </w:r>
      <w:r w:rsidR="003202AC">
        <w:t>y</w:t>
      </w:r>
      <w:r w:rsidRPr="004C1013">
        <w:t xml:space="preserve"> boli použité údaje správcu systému GDDiK [55] a Najvyššieho kontrolného úradu [55], (</w:t>
      </w:r>
      <w:r w:rsidR="00C40D3F">
        <w:fldChar w:fldCharType="begin"/>
      </w:r>
      <w:r w:rsidR="00C40D3F">
        <w:instrText xml:space="preserve"> REF _Ref20602270 \h  \* MERGEFORMAT </w:instrText>
      </w:r>
      <w:r w:rsidR="00C40D3F">
        <w:fldChar w:fldCharType="separate"/>
      </w:r>
      <w:r w:rsidR="001E4C1C" w:rsidRPr="004C1013">
        <w:t xml:space="preserve">Tab.  </w:t>
      </w:r>
      <w:r w:rsidR="001E4C1C">
        <w:rPr>
          <w:noProof/>
        </w:rPr>
        <w:t>1</w:t>
      </w:r>
      <w:r w:rsidR="001E4C1C">
        <w:rPr>
          <w:noProof/>
        </w:rPr>
        <w:noBreakHyphen/>
        <w:t>39</w:t>
      </w:r>
      <w:r w:rsidR="00C40D3F">
        <w:fldChar w:fldCharType="end"/>
      </w:r>
      <w:r w:rsidRPr="004C1013">
        <w:t xml:space="preserve">). </w:t>
      </w:r>
    </w:p>
    <w:p w:rsidR="0025522E" w:rsidRPr="004C1013" w:rsidRDefault="0025522E" w:rsidP="006B1C25">
      <w:pPr>
        <w:pStyle w:val="tabstyl"/>
      </w:pPr>
      <w:bookmarkStart w:id="161" w:name="_Ref20602270"/>
      <w:bookmarkStart w:id="162" w:name="_Toc36664481"/>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39</w:t>
      </w:r>
      <w:r w:rsidR="00C40D3F">
        <w:rPr>
          <w:noProof/>
        </w:rPr>
        <w:fldChar w:fldCharType="end"/>
      </w:r>
      <w:bookmarkEnd w:id="161"/>
      <w:r w:rsidRPr="004C1013">
        <w:t xml:space="preserve"> </w:t>
      </w:r>
      <w:r w:rsidRPr="004C1013">
        <w:tab/>
        <w:t>Poľsko: ETC indikátor 3. Výnosy</w:t>
      </w:r>
      <w:bookmarkEnd w:id="162"/>
      <w:r w:rsidRPr="004C1013">
        <w:t xml:space="preserve"> </w:t>
      </w:r>
    </w:p>
    <w:tbl>
      <w:tblPr>
        <w:tblStyle w:val="tabulkaVUD"/>
        <w:tblW w:w="5000" w:type="pct"/>
        <w:tblLook w:val="04A0" w:firstRow="1" w:lastRow="0" w:firstColumn="1" w:lastColumn="0" w:noHBand="0" w:noVBand="1"/>
      </w:tblPr>
      <w:tblGrid>
        <w:gridCol w:w="3112"/>
        <w:gridCol w:w="2808"/>
        <w:gridCol w:w="3491"/>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674"/>
          <w:tblHeader/>
        </w:trPr>
        <w:tc>
          <w:tcPr>
            <w:tcW w:w="1653" w:type="pct"/>
            <w:shd w:val="clear" w:color="auto" w:fill="7F7F7F" w:themeFill="text1" w:themeFillTint="80"/>
            <w:hideMark/>
          </w:tcPr>
          <w:p w:rsidR="0025522E" w:rsidRPr="004C1013" w:rsidRDefault="0025522E" w:rsidP="009D58D5">
            <w:pPr>
              <w:pStyle w:val="zahltab"/>
            </w:pPr>
            <w:r w:rsidRPr="004C1013">
              <w:t>Kalendárny rok</w:t>
            </w:r>
          </w:p>
        </w:tc>
        <w:tc>
          <w:tcPr>
            <w:tcW w:w="1492" w:type="pct"/>
            <w:hideMark/>
          </w:tcPr>
          <w:p w:rsidR="0025522E" w:rsidRPr="004C1013" w:rsidRDefault="0025522E" w:rsidP="009D58D5">
            <w:pPr>
              <w:pStyle w:val="zahltab"/>
            </w:pPr>
            <w:r w:rsidRPr="004C1013">
              <w:t>Rok prevádzky</w:t>
            </w:r>
          </w:p>
        </w:tc>
        <w:tc>
          <w:tcPr>
            <w:tcW w:w="1855" w:type="pct"/>
          </w:tcPr>
          <w:p w:rsidR="0025522E" w:rsidRPr="004C1013" w:rsidRDefault="0025522E" w:rsidP="009D58D5">
            <w:pPr>
              <w:pStyle w:val="zahltab"/>
            </w:pPr>
            <w:r w:rsidRPr="004C1013">
              <w:t>Výnosy (mil. €)</w:t>
            </w:r>
          </w:p>
        </w:tc>
      </w:tr>
      <w:tr w:rsidR="0025522E" w:rsidRPr="004C1013" w:rsidTr="00404B50">
        <w:trPr>
          <w:trHeight w:val="283"/>
        </w:trPr>
        <w:tc>
          <w:tcPr>
            <w:tcW w:w="1653" w:type="pct"/>
            <w:hideMark/>
          </w:tcPr>
          <w:p w:rsidR="0025522E" w:rsidRPr="004C1013" w:rsidRDefault="0025522E" w:rsidP="0025522E">
            <w:pPr>
              <w:pStyle w:val="tabbielystyl"/>
            </w:pPr>
            <w:r w:rsidRPr="004C1013">
              <w:t>2011</w:t>
            </w:r>
          </w:p>
        </w:tc>
        <w:tc>
          <w:tcPr>
            <w:tcW w:w="1492" w:type="pct"/>
            <w:hideMark/>
          </w:tcPr>
          <w:p w:rsidR="0025522E" w:rsidRPr="004C1013" w:rsidRDefault="0025522E" w:rsidP="0025522E">
            <w:pPr>
              <w:pStyle w:val="tabbielystyl"/>
            </w:pPr>
            <w:r w:rsidRPr="004C1013">
              <w:t>1.</w:t>
            </w:r>
          </w:p>
        </w:tc>
        <w:tc>
          <w:tcPr>
            <w:tcW w:w="1855" w:type="pct"/>
            <w:vAlign w:val="bottom"/>
          </w:tcPr>
          <w:p w:rsidR="0025522E" w:rsidRPr="004C1013" w:rsidRDefault="0025522E" w:rsidP="0025522E">
            <w:pPr>
              <w:pStyle w:val="tabbielystyl"/>
            </w:pPr>
            <w:r w:rsidRPr="004C1013">
              <w:t>83,39*</w:t>
            </w:r>
          </w:p>
        </w:tc>
      </w:tr>
      <w:tr w:rsidR="0025522E" w:rsidRPr="004C1013" w:rsidTr="00404B50">
        <w:trPr>
          <w:trHeight w:val="283"/>
        </w:trPr>
        <w:tc>
          <w:tcPr>
            <w:tcW w:w="1653" w:type="pct"/>
            <w:hideMark/>
          </w:tcPr>
          <w:p w:rsidR="0025522E" w:rsidRPr="004C1013" w:rsidRDefault="0025522E" w:rsidP="0025522E">
            <w:pPr>
              <w:pStyle w:val="tabbielystyl"/>
            </w:pPr>
            <w:r w:rsidRPr="004C1013">
              <w:t>2012</w:t>
            </w:r>
          </w:p>
        </w:tc>
        <w:tc>
          <w:tcPr>
            <w:tcW w:w="1492" w:type="pct"/>
            <w:hideMark/>
          </w:tcPr>
          <w:p w:rsidR="0025522E" w:rsidRPr="004C1013" w:rsidRDefault="0025522E" w:rsidP="0025522E">
            <w:pPr>
              <w:pStyle w:val="tabbielystyl"/>
            </w:pPr>
            <w:r w:rsidRPr="004C1013">
              <w:t>2.</w:t>
            </w:r>
          </w:p>
        </w:tc>
        <w:tc>
          <w:tcPr>
            <w:tcW w:w="1855" w:type="pct"/>
            <w:vAlign w:val="bottom"/>
          </w:tcPr>
          <w:p w:rsidR="0025522E" w:rsidRPr="004C1013" w:rsidRDefault="0025522E" w:rsidP="0025522E">
            <w:pPr>
              <w:pStyle w:val="tabbielystyl"/>
            </w:pPr>
            <w:r w:rsidRPr="004C1013">
              <w:t>194,44</w:t>
            </w:r>
          </w:p>
        </w:tc>
      </w:tr>
      <w:tr w:rsidR="0025522E" w:rsidRPr="004C1013" w:rsidTr="00404B50">
        <w:trPr>
          <w:trHeight w:val="283"/>
        </w:trPr>
        <w:tc>
          <w:tcPr>
            <w:tcW w:w="1653" w:type="pct"/>
            <w:hideMark/>
          </w:tcPr>
          <w:p w:rsidR="0025522E" w:rsidRPr="004C1013" w:rsidRDefault="0025522E" w:rsidP="0025522E">
            <w:pPr>
              <w:pStyle w:val="tabbielystyl"/>
            </w:pPr>
            <w:r w:rsidRPr="004C1013">
              <w:t>2013</w:t>
            </w:r>
          </w:p>
        </w:tc>
        <w:tc>
          <w:tcPr>
            <w:tcW w:w="1492" w:type="pct"/>
            <w:hideMark/>
          </w:tcPr>
          <w:p w:rsidR="0025522E" w:rsidRPr="004C1013" w:rsidRDefault="0025522E" w:rsidP="0025522E">
            <w:pPr>
              <w:pStyle w:val="tabbielystyl"/>
            </w:pPr>
            <w:r w:rsidRPr="004C1013">
              <w:t>3.</w:t>
            </w:r>
          </w:p>
        </w:tc>
        <w:tc>
          <w:tcPr>
            <w:tcW w:w="1855" w:type="pct"/>
            <w:vAlign w:val="bottom"/>
          </w:tcPr>
          <w:p w:rsidR="0025522E" w:rsidRPr="004C1013" w:rsidRDefault="0025522E" w:rsidP="0025522E">
            <w:pPr>
              <w:pStyle w:val="tabbielystyl"/>
            </w:pPr>
            <w:r w:rsidRPr="004C1013">
              <w:t>240,11</w:t>
            </w:r>
          </w:p>
        </w:tc>
      </w:tr>
      <w:tr w:rsidR="0025522E" w:rsidRPr="004C1013" w:rsidTr="00404B50">
        <w:trPr>
          <w:trHeight w:val="283"/>
        </w:trPr>
        <w:tc>
          <w:tcPr>
            <w:tcW w:w="1653" w:type="pct"/>
            <w:hideMark/>
          </w:tcPr>
          <w:p w:rsidR="0025522E" w:rsidRPr="004C1013" w:rsidRDefault="0025522E" w:rsidP="0025522E">
            <w:pPr>
              <w:pStyle w:val="tabbielystyl"/>
            </w:pPr>
            <w:r w:rsidRPr="004C1013">
              <w:t>2014</w:t>
            </w:r>
          </w:p>
        </w:tc>
        <w:tc>
          <w:tcPr>
            <w:tcW w:w="1492" w:type="pct"/>
            <w:hideMark/>
          </w:tcPr>
          <w:p w:rsidR="0025522E" w:rsidRPr="004C1013" w:rsidRDefault="0025522E" w:rsidP="0025522E">
            <w:pPr>
              <w:pStyle w:val="tabbielystyl"/>
            </w:pPr>
            <w:r w:rsidRPr="004C1013">
              <w:t>4.</w:t>
            </w:r>
          </w:p>
        </w:tc>
        <w:tc>
          <w:tcPr>
            <w:tcW w:w="1855" w:type="pct"/>
            <w:vAlign w:val="bottom"/>
          </w:tcPr>
          <w:p w:rsidR="0025522E" w:rsidRPr="004C1013" w:rsidRDefault="0025522E" w:rsidP="0025522E">
            <w:pPr>
              <w:pStyle w:val="tabbielystyl"/>
            </w:pPr>
            <w:r w:rsidRPr="004C1013">
              <w:t xml:space="preserve">293,90 </w:t>
            </w:r>
          </w:p>
        </w:tc>
      </w:tr>
      <w:tr w:rsidR="0025522E" w:rsidRPr="004C1013" w:rsidTr="00404B50">
        <w:trPr>
          <w:trHeight w:val="283"/>
        </w:trPr>
        <w:tc>
          <w:tcPr>
            <w:tcW w:w="1653" w:type="pct"/>
            <w:hideMark/>
          </w:tcPr>
          <w:p w:rsidR="0025522E" w:rsidRPr="004C1013" w:rsidRDefault="0025522E" w:rsidP="0025522E">
            <w:pPr>
              <w:pStyle w:val="tabbielystyl"/>
            </w:pPr>
            <w:r w:rsidRPr="004C1013">
              <w:t>2015</w:t>
            </w:r>
          </w:p>
        </w:tc>
        <w:tc>
          <w:tcPr>
            <w:tcW w:w="1492" w:type="pct"/>
            <w:hideMark/>
          </w:tcPr>
          <w:p w:rsidR="0025522E" w:rsidRPr="004C1013" w:rsidRDefault="0025522E" w:rsidP="0025522E">
            <w:pPr>
              <w:pStyle w:val="tabbielystyl"/>
            </w:pPr>
            <w:r w:rsidRPr="004C1013">
              <w:t>5.</w:t>
            </w:r>
          </w:p>
        </w:tc>
        <w:tc>
          <w:tcPr>
            <w:tcW w:w="1855" w:type="pct"/>
            <w:vAlign w:val="bottom"/>
          </w:tcPr>
          <w:p w:rsidR="0025522E" w:rsidRPr="004C1013" w:rsidRDefault="0025522E" w:rsidP="0025522E">
            <w:pPr>
              <w:pStyle w:val="tabbielystyl"/>
            </w:pPr>
            <w:r w:rsidRPr="004C1013">
              <w:t>323,74</w:t>
            </w:r>
          </w:p>
        </w:tc>
      </w:tr>
      <w:tr w:rsidR="0025522E" w:rsidRPr="004C1013" w:rsidTr="00404B50">
        <w:trPr>
          <w:trHeight w:val="283"/>
        </w:trPr>
        <w:tc>
          <w:tcPr>
            <w:tcW w:w="1653" w:type="pct"/>
            <w:hideMark/>
          </w:tcPr>
          <w:p w:rsidR="0025522E" w:rsidRPr="004C1013" w:rsidRDefault="0025522E" w:rsidP="0025522E">
            <w:pPr>
              <w:pStyle w:val="tabbielystyl"/>
            </w:pPr>
            <w:r w:rsidRPr="004C1013">
              <w:t>2016</w:t>
            </w:r>
          </w:p>
        </w:tc>
        <w:tc>
          <w:tcPr>
            <w:tcW w:w="1492" w:type="pct"/>
            <w:hideMark/>
          </w:tcPr>
          <w:p w:rsidR="0025522E" w:rsidRPr="004C1013" w:rsidRDefault="0025522E" w:rsidP="0025522E">
            <w:pPr>
              <w:pStyle w:val="tabbielystyl"/>
            </w:pPr>
            <w:r w:rsidRPr="004C1013">
              <w:t>6.</w:t>
            </w:r>
          </w:p>
        </w:tc>
        <w:tc>
          <w:tcPr>
            <w:tcW w:w="1855" w:type="pct"/>
            <w:vAlign w:val="bottom"/>
          </w:tcPr>
          <w:p w:rsidR="0025522E" w:rsidRPr="004C1013" w:rsidRDefault="0025522E" w:rsidP="0025522E">
            <w:pPr>
              <w:pStyle w:val="tabbielystyl"/>
            </w:pPr>
            <w:r w:rsidRPr="004C1013">
              <w:t>342,47</w:t>
            </w:r>
          </w:p>
        </w:tc>
      </w:tr>
      <w:tr w:rsidR="0025522E" w:rsidRPr="004C1013" w:rsidTr="00404B50">
        <w:trPr>
          <w:trHeight w:val="283"/>
        </w:trPr>
        <w:tc>
          <w:tcPr>
            <w:tcW w:w="1653" w:type="pct"/>
            <w:hideMark/>
          </w:tcPr>
          <w:p w:rsidR="0025522E" w:rsidRPr="004C1013" w:rsidRDefault="0025522E" w:rsidP="0025522E">
            <w:pPr>
              <w:pStyle w:val="tabbielystyl"/>
            </w:pPr>
            <w:r w:rsidRPr="004C1013">
              <w:t>2017</w:t>
            </w:r>
          </w:p>
        </w:tc>
        <w:tc>
          <w:tcPr>
            <w:tcW w:w="1492" w:type="pct"/>
            <w:hideMark/>
          </w:tcPr>
          <w:p w:rsidR="0025522E" w:rsidRPr="004C1013" w:rsidRDefault="0025522E" w:rsidP="0025522E">
            <w:pPr>
              <w:pStyle w:val="tabbielystyl"/>
            </w:pPr>
            <w:r w:rsidRPr="004C1013">
              <w:t>7.</w:t>
            </w:r>
          </w:p>
        </w:tc>
        <w:tc>
          <w:tcPr>
            <w:tcW w:w="1855" w:type="pct"/>
            <w:vAlign w:val="bottom"/>
          </w:tcPr>
          <w:p w:rsidR="0025522E" w:rsidRPr="004C1013" w:rsidRDefault="0025522E" w:rsidP="0025522E">
            <w:pPr>
              <w:pStyle w:val="tabbielystyl"/>
            </w:pPr>
            <w:r w:rsidRPr="004C1013">
              <w:t>391,75</w:t>
            </w:r>
          </w:p>
        </w:tc>
      </w:tr>
      <w:tr w:rsidR="0025522E" w:rsidRPr="004C1013" w:rsidTr="00404B50">
        <w:trPr>
          <w:trHeight w:val="283"/>
        </w:trPr>
        <w:tc>
          <w:tcPr>
            <w:tcW w:w="1653" w:type="pct"/>
            <w:hideMark/>
          </w:tcPr>
          <w:p w:rsidR="0025522E" w:rsidRPr="004C1013" w:rsidRDefault="0025522E" w:rsidP="0025522E">
            <w:pPr>
              <w:pStyle w:val="tabbielystyl"/>
            </w:pPr>
            <w:r w:rsidRPr="004C1013">
              <w:t>2018</w:t>
            </w:r>
          </w:p>
        </w:tc>
        <w:tc>
          <w:tcPr>
            <w:tcW w:w="1492" w:type="pct"/>
            <w:hideMark/>
          </w:tcPr>
          <w:p w:rsidR="0025522E" w:rsidRPr="004C1013" w:rsidRDefault="0025522E" w:rsidP="0025522E">
            <w:pPr>
              <w:pStyle w:val="tabbielystyl"/>
            </w:pPr>
            <w:r w:rsidRPr="004C1013">
              <w:t>8.</w:t>
            </w:r>
          </w:p>
        </w:tc>
        <w:tc>
          <w:tcPr>
            <w:tcW w:w="1855" w:type="pct"/>
            <w:vAlign w:val="bottom"/>
          </w:tcPr>
          <w:p w:rsidR="0025522E" w:rsidRPr="004C1013" w:rsidRDefault="0025522E" w:rsidP="0025522E">
            <w:pPr>
              <w:pStyle w:val="tabbielystyl"/>
            </w:pPr>
            <w:r w:rsidRPr="004C1013">
              <w:t>421,12</w:t>
            </w:r>
          </w:p>
        </w:tc>
      </w:tr>
      <w:tr w:rsidR="0025522E" w:rsidRPr="004C1013" w:rsidTr="00404B50">
        <w:trPr>
          <w:trHeight w:val="20"/>
        </w:trPr>
        <w:tc>
          <w:tcPr>
            <w:tcW w:w="3145"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55" w:type="pct"/>
            <w:shd w:val="clear" w:color="auto" w:fill="7F7F7F" w:themeFill="text1" w:themeFillTint="80"/>
            <w:vAlign w:val="bottom"/>
          </w:tcPr>
          <w:p w:rsidR="0025522E" w:rsidRPr="004C1013" w:rsidRDefault="0025522E" w:rsidP="0025522E">
            <w:pPr>
              <w:pStyle w:val="tabukasivystyl"/>
            </w:pPr>
            <w:r w:rsidRPr="004C1013">
              <w:t>2290,92</w:t>
            </w:r>
          </w:p>
        </w:tc>
      </w:tr>
      <w:tr w:rsidR="0025522E" w:rsidRPr="004C1013" w:rsidTr="00404B50">
        <w:trPr>
          <w:trHeight w:val="20"/>
        </w:trPr>
        <w:tc>
          <w:tcPr>
            <w:tcW w:w="3145"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855" w:type="pct"/>
            <w:shd w:val="clear" w:color="auto" w:fill="7F7F7F" w:themeFill="text1" w:themeFillTint="80"/>
            <w:vAlign w:val="bottom"/>
          </w:tcPr>
          <w:p w:rsidR="0025522E" w:rsidRPr="004C1013" w:rsidRDefault="0025522E" w:rsidP="0025522E">
            <w:pPr>
              <w:pStyle w:val="tabukasivystyl"/>
            </w:pPr>
            <w:r w:rsidRPr="004C1013">
              <w:t>286,36</w:t>
            </w:r>
          </w:p>
        </w:tc>
      </w:tr>
    </w:tbl>
    <w:p w:rsidR="0025522E" w:rsidRPr="004C1013" w:rsidRDefault="0025522E" w:rsidP="006B1C25">
      <w:pPr>
        <w:pStyle w:val="tabstyl"/>
      </w:pPr>
      <w:r w:rsidRPr="004C1013">
        <w:t>*od 1.7.2011</w:t>
      </w:r>
    </w:p>
    <w:p w:rsidR="0025522E" w:rsidRPr="004C1013" w:rsidRDefault="0025522E" w:rsidP="0025522E">
      <w:r w:rsidRPr="004C1013">
        <w:t>Pri špecifikácii nákladov systému viaTOLL v jednotlivých rokoch jeho prevádzky riešiteľský kolektív uprednostnil údaje zverejnené správcom systému GDDiKA [55] za roky 2011 až 2015 a údaje uvádzané v správe Najvyššieho kontrolného úradu NIK [53] za roky 2015 až 2017 (ročný priemer 91,1 mil. €) a 2018 (31,66 mil.€/4 mesiace). Celkové náklady systému v rokoch 2015 až 2018 boli prepočítane pomerne na základe vyššie uvedených známych hodnôt (</w:t>
      </w:r>
      <w:r w:rsidR="00C40D3F">
        <w:fldChar w:fldCharType="begin"/>
      </w:r>
      <w:r w:rsidR="00C40D3F">
        <w:instrText xml:space="preserve"> REF _Ref20648513 \h  \* MERGEFORMAT </w:instrText>
      </w:r>
      <w:r w:rsidR="00C40D3F">
        <w:fldChar w:fldCharType="separate"/>
      </w:r>
      <w:r w:rsidR="001E4C1C" w:rsidRPr="004C1013">
        <w:t xml:space="preserve">Tab.  </w:t>
      </w:r>
      <w:r w:rsidR="001E4C1C">
        <w:t>1</w:t>
      </w:r>
      <w:r w:rsidR="001E4C1C">
        <w:noBreakHyphen/>
        <w:t>38</w:t>
      </w:r>
      <w:r w:rsidR="00C40D3F">
        <w:fldChar w:fldCharType="end"/>
      </w:r>
      <w:r w:rsidRPr="004C1013">
        <w:t>), (</w:t>
      </w:r>
      <w:r w:rsidR="00C40D3F">
        <w:fldChar w:fldCharType="begin"/>
      </w:r>
      <w:r w:rsidR="00C40D3F">
        <w:instrText xml:space="preserve"> REF _Ref20648515 \h  \* MERGEFORMAT </w:instrText>
      </w:r>
      <w:r w:rsidR="00C40D3F">
        <w:fldChar w:fldCharType="separate"/>
      </w:r>
      <w:r w:rsidR="001E4C1C" w:rsidRPr="004C1013">
        <w:t xml:space="preserve">Tab.  </w:t>
      </w:r>
      <w:r w:rsidR="001E4C1C">
        <w:t>1</w:t>
      </w:r>
      <w:r w:rsidR="001E4C1C">
        <w:noBreakHyphen/>
        <w:t>40</w:t>
      </w:r>
      <w:r w:rsidR="00C40D3F">
        <w:fldChar w:fldCharType="end"/>
      </w:r>
      <w:r w:rsidRPr="004C1013">
        <w:t xml:space="preserve">). </w:t>
      </w:r>
    </w:p>
    <w:p w:rsidR="0025522E" w:rsidRPr="004C1013" w:rsidRDefault="0025522E" w:rsidP="006B1C25">
      <w:pPr>
        <w:pStyle w:val="tabstyl"/>
      </w:pPr>
      <w:bookmarkStart w:id="163" w:name="_Ref20648515"/>
      <w:bookmarkStart w:id="164" w:name="_Toc36664482"/>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40</w:t>
      </w:r>
      <w:r w:rsidR="00C40D3F">
        <w:rPr>
          <w:noProof/>
        </w:rPr>
        <w:fldChar w:fldCharType="end"/>
      </w:r>
      <w:bookmarkEnd w:id="163"/>
      <w:r w:rsidRPr="004C1013">
        <w:t xml:space="preserve"> </w:t>
      </w:r>
      <w:r w:rsidRPr="004C1013">
        <w:tab/>
        <w:t>Poľsko: ETC indikátor 4. Náklady</w:t>
      </w:r>
      <w:bookmarkEnd w:id="164"/>
    </w:p>
    <w:tbl>
      <w:tblPr>
        <w:tblStyle w:val="tabulkaVUD"/>
        <w:tblW w:w="5000" w:type="pct"/>
        <w:tblLook w:val="04A0" w:firstRow="1" w:lastRow="0" w:firstColumn="1" w:lastColumn="0" w:noHBand="0" w:noVBand="1"/>
      </w:tblPr>
      <w:tblGrid>
        <w:gridCol w:w="3112"/>
        <w:gridCol w:w="2808"/>
        <w:gridCol w:w="3491"/>
      </w:tblGrid>
      <w:tr w:rsidR="0025522E" w:rsidRPr="004C1013" w:rsidTr="00404B50">
        <w:trPr>
          <w:cnfStyle w:val="100000000000" w:firstRow="1" w:lastRow="0" w:firstColumn="0" w:lastColumn="0" w:oddVBand="0" w:evenVBand="0" w:oddHBand="0" w:evenHBand="0" w:firstRowFirstColumn="0" w:firstRowLastColumn="0" w:lastRowFirstColumn="0" w:lastRowLastColumn="0"/>
          <w:trHeight w:val="494"/>
          <w:tblHeader/>
        </w:trPr>
        <w:tc>
          <w:tcPr>
            <w:tcW w:w="1653" w:type="pct"/>
            <w:shd w:val="clear" w:color="auto" w:fill="7F7F7F" w:themeFill="text1" w:themeFillTint="80"/>
            <w:hideMark/>
          </w:tcPr>
          <w:p w:rsidR="0025522E" w:rsidRPr="004C1013" w:rsidRDefault="0025522E" w:rsidP="009D58D5">
            <w:pPr>
              <w:pStyle w:val="zahltab"/>
            </w:pPr>
            <w:r w:rsidRPr="004C1013">
              <w:t>Kalendárny rok</w:t>
            </w:r>
          </w:p>
        </w:tc>
        <w:tc>
          <w:tcPr>
            <w:tcW w:w="1492" w:type="pct"/>
            <w:hideMark/>
          </w:tcPr>
          <w:p w:rsidR="0025522E" w:rsidRPr="004C1013" w:rsidRDefault="0025522E" w:rsidP="009D58D5">
            <w:pPr>
              <w:pStyle w:val="zahltab"/>
            </w:pPr>
            <w:r w:rsidRPr="004C1013">
              <w:t>Rok prevádzky</w:t>
            </w:r>
          </w:p>
        </w:tc>
        <w:tc>
          <w:tcPr>
            <w:tcW w:w="1855" w:type="pct"/>
          </w:tcPr>
          <w:p w:rsidR="0025522E" w:rsidRPr="004C1013" w:rsidRDefault="0025522E" w:rsidP="009D58D5">
            <w:pPr>
              <w:pStyle w:val="zahltab"/>
            </w:pPr>
            <w:r w:rsidRPr="004C1013">
              <w:t>Náklady (mil. €)</w:t>
            </w:r>
          </w:p>
        </w:tc>
      </w:tr>
      <w:tr w:rsidR="0025522E" w:rsidRPr="004C1013" w:rsidTr="00404B50">
        <w:trPr>
          <w:trHeight w:val="283"/>
        </w:trPr>
        <w:tc>
          <w:tcPr>
            <w:tcW w:w="1653" w:type="pct"/>
            <w:hideMark/>
          </w:tcPr>
          <w:p w:rsidR="0025522E" w:rsidRPr="004C1013" w:rsidRDefault="0025522E" w:rsidP="0025522E">
            <w:pPr>
              <w:pStyle w:val="tabbielystyl"/>
            </w:pPr>
            <w:r w:rsidRPr="004C1013">
              <w:t>2011</w:t>
            </w:r>
          </w:p>
        </w:tc>
        <w:tc>
          <w:tcPr>
            <w:tcW w:w="1492" w:type="pct"/>
            <w:hideMark/>
          </w:tcPr>
          <w:p w:rsidR="0025522E" w:rsidRPr="004C1013" w:rsidRDefault="0025522E" w:rsidP="0025522E">
            <w:pPr>
              <w:pStyle w:val="tabbielystyl"/>
            </w:pPr>
            <w:r w:rsidRPr="004C1013">
              <w:t>1.</w:t>
            </w:r>
          </w:p>
        </w:tc>
        <w:tc>
          <w:tcPr>
            <w:tcW w:w="1855" w:type="pct"/>
            <w:vAlign w:val="bottom"/>
          </w:tcPr>
          <w:p w:rsidR="0025522E" w:rsidRPr="004C1013" w:rsidRDefault="0025522E" w:rsidP="0025522E">
            <w:pPr>
              <w:pStyle w:val="tabbielystyl"/>
            </w:pPr>
            <w:r w:rsidRPr="004C1013">
              <w:t>144,45*</w:t>
            </w:r>
          </w:p>
        </w:tc>
      </w:tr>
      <w:tr w:rsidR="0025522E" w:rsidRPr="004C1013" w:rsidTr="00404B50">
        <w:trPr>
          <w:trHeight w:val="283"/>
        </w:trPr>
        <w:tc>
          <w:tcPr>
            <w:tcW w:w="1653" w:type="pct"/>
            <w:hideMark/>
          </w:tcPr>
          <w:p w:rsidR="0025522E" w:rsidRPr="004C1013" w:rsidRDefault="0025522E" w:rsidP="0025522E">
            <w:pPr>
              <w:pStyle w:val="tabbielystyl"/>
            </w:pPr>
            <w:r w:rsidRPr="004C1013">
              <w:t>2012</w:t>
            </w:r>
          </w:p>
        </w:tc>
        <w:tc>
          <w:tcPr>
            <w:tcW w:w="1492" w:type="pct"/>
            <w:hideMark/>
          </w:tcPr>
          <w:p w:rsidR="0025522E" w:rsidRPr="004C1013" w:rsidRDefault="0025522E" w:rsidP="0025522E">
            <w:pPr>
              <w:pStyle w:val="tabbielystyl"/>
            </w:pPr>
            <w:r w:rsidRPr="004C1013">
              <w:t>2.</w:t>
            </w:r>
          </w:p>
        </w:tc>
        <w:tc>
          <w:tcPr>
            <w:tcW w:w="1855" w:type="pct"/>
            <w:vAlign w:val="bottom"/>
          </w:tcPr>
          <w:p w:rsidR="0025522E" w:rsidRPr="004C1013" w:rsidRDefault="0025522E" w:rsidP="0025522E">
            <w:pPr>
              <w:pStyle w:val="tabbielystyl"/>
            </w:pPr>
            <w:r w:rsidRPr="004C1013">
              <w:t>234,33</w:t>
            </w:r>
          </w:p>
        </w:tc>
      </w:tr>
      <w:tr w:rsidR="0025522E" w:rsidRPr="004C1013" w:rsidTr="00404B50">
        <w:trPr>
          <w:trHeight w:val="283"/>
        </w:trPr>
        <w:tc>
          <w:tcPr>
            <w:tcW w:w="1653" w:type="pct"/>
            <w:hideMark/>
          </w:tcPr>
          <w:p w:rsidR="0025522E" w:rsidRPr="004C1013" w:rsidRDefault="0025522E" w:rsidP="0025522E">
            <w:pPr>
              <w:pStyle w:val="tabbielystyl"/>
            </w:pPr>
            <w:r w:rsidRPr="004C1013">
              <w:t>2013</w:t>
            </w:r>
          </w:p>
        </w:tc>
        <w:tc>
          <w:tcPr>
            <w:tcW w:w="1492" w:type="pct"/>
            <w:hideMark/>
          </w:tcPr>
          <w:p w:rsidR="0025522E" w:rsidRPr="004C1013" w:rsidRDefault="0025522E" w:rsidP="0025522E">
            <w:pPr>
              <w:pStyle w:val="tabbielystyl"/>
            </w:pPr>
            <w:r w:rsidRPr="004C1013">
              <w:t>3.</w:t>
            </w:r>
          </w:p>
        </w:tc>
        <w:tc>
          <w:tcPr>
            <w:tcW w:w="1855" w:type="pct"/>
            <w:vAlign w:val="bottom"/>
          </w:tcPr>
          <w:p w:rsidR="0025522E" w:rsidRPr="004C1013" w:rsidRDefault="0025522E" w:rsidP="0025522E">
            <w:pPr>
              <w:pStyle w:val="tabbielystyl"/>
            </w:pPr>
            <w:r w:rsidRPr="004C1013">
              <w:t>88,72</w:t>
            </w:r>
          </w:p>
        </w:tc>
      </w:tr>
      <w:tr w:rsidR="0025522E" w:rsidRPr="004C1013" w:rsidTr="00404B50">
        <w:trPr>
          <w:trHeight w:val="283"/>
        </w:trPr>
        <w:tc>
          <w:tcPr>
            <w:tcW w:w="1653" w:type="pct"/>
            <w:hideMark/>
          </w:tcPr>
          <w:p w:rsidR="0025522E" w:rsidRPr="004C1013" w:rsidRDefault="0025522E" w:rsidP="0025522E">
            <w:pPr>
              <w:pStyle w:val="tabbielystyl"/>
            </w:pPr>
            <w:r w:rsidRPr="004C1013">
              <w:t>2014</w:t>
            </w:r>
          </w:p>
        </w:tc>
        <w:tc>
          <w:tcPr>
            <w:tcW w:w="1492" w:type="pct"/>
            <w:hideMark/>
          </w:tcPr>
          <w:p w:rsidR="0025522E" w:rsidRPr="004C1013" w:rsidRDefault="0025522E" w:rsidP="0025522E">
            <w:pPr>
              <w:pStyle w:val="tabbielystyl"/>
            </w:pPr>
            <w:r w:rsidRPr="004C1013">
              <w:t>4.</w:t>
            </w:r>
          </w:p>
        </w:tc>
        <w:tc>
          <w:tcPr>
            <w:tcW w:w="1855" w:type="pct"/>
            <w:vAlign w:val="bottom"/>
          </w:tcPr>
          <w:p w:rsidR="0025522E" w:rsidRPr="004C1013" w:rsidRDefault="0025522E" w:rsidP="0025522E">
            <w:pPr>
              <w:pStyle w:val="tabbielystyl"/>
            </w:pPr>
            <w:r w:rsidRPr="004C1013">
              <w:t>100,21</w:t>
            </w:r>
          </w:p>
        </w:tc>
      </w:tr>
      <w:tr w:rsidR="0025522E" w:rsidRPr="004C1013" w:rsidTr="00404B50">
        <w:trPr>
          <w:trHeight w:val="283"/>
        </w:trPr>
        <w:tc>
          <w:tcPr>
            <w:tcW w:w="1653" w:type="pct"/>
            <w:hideMark/>
          </w:tcPr>
          <w:p w:rsidR="0025522E" w:rsidRPr="004C1013" w:rsidRDefault="0025522E" w:rsidP="0025522E">
            <w:pPr>
              <w:pStyle w:val="tabbielystyl"/>
            </w:pPr>
            <w:r w:rsidRPr="004C1013">
              <w:t>2015</w:t>
            </w:r>
          </w:p>
        </w:tc>
        <w:tc>
          <w:tcPr>
            <w:tcW w:w="1492" w:type="pct"/>
            <w:hideMark/>
          </w:tcPr>
          <w:p w:rsidR="0025522E" w:rsidRPr="004C1013" w:rsidRDefault="0025522E" w:rsidP="0025522E">
            <w:pPr>
              <w:pStyle w:val="tabbielystyl"/>
            </w:pPr>
            <w:r w:rsidRPr="004C1013">
              <w:t>5.</w:t>
            </w:r>
          </w:p>
        </w:tc>
        <w:tc>
          <w:tcPr>
            <w:tcW w:w="1855" w:type="pct"/>
            <w:vAlign w:val="bottom"/>
          </w:tcPr>
          <w:p w:rsidR="0025522E" w:rsidRPr="004C1013" w:rsidRDefault="0025522E" w:rsidP="0025522E">
            <w:pPr>
              <w:pStyle w:val="tabbielystyl"/>
            </w:pPr>
            <w:r w:rsidRPr="004C1013">
              <w:t>85,50</w:t>
            </w:r>
          </w:p>
        </w:tc>
      </w:tr>
      <w:tr w:rsidR="0025522E" w:rsidRPr="004C1013" w:rsidTr="00404B50">
        <w:trPr>
          <w:trHeight w:val="283"/>
        </w:trPr>
        <w:tc>
          <w:tcPr>
            <w:tcW w:w="1653" w:type="pct"/>
            <w:hideMark/>
          </w:tcPr>
          <w:p w:rsidR="0025522E" w:rsidRPr="004C1013" w:rsidRDefault="0025522E" w:rsidP="0025522E">
            <w:pPr>
              <w:pStyle w:val="tabbielystyl"/>
            </w:pPr>
            <w:r w:rsidRPr="004C1013">
              <w:t>2016</w:t>
            </w:r>
          </w:p>
        </w:tc>
        <w:tc>
          <w:tcPr>
            <w:tcW w:w="1492" w:type="pct"/>
            <w:hideMark/>
          </w:tcPr>
          <w:p w:rsidR="0025522E" w:rsidRPr="004C1013" w:rsidRDefault="0025522E" w:rsidP="0025522E">
            <w:pPr>
              <w:pStyle w:val="tabbielystyl"/>
            </w:pPr>
            <w:r w:rsidRPr="004C1013">
              <w:t>6.</w:t>
            </w:r>
          </w:p>
        </w:tc>
        <w:tc>
          <w:tcPr>
            <w:tcW w:w="1855" w:type="pct"/>
            <w:vAlign w:val="bottom"/>
          </w:tcPr>
          <w:p w:rsidR="0025522E" w:rsidRPr="004C1013" w:rsidRDefault="0025522E" w:rsidP="0025522E">
            <w:pPr>
              <w:pStyle w:val="tabbielystyl"/>
            </w:pPr>
            <w:r w:rsidRPr="004C1013">
              <w:t>92,74</w:t>
            </w:r>
          </w:p>
        </w:tc>
      </w:tr>
      <w:tr w:rsidR="0025522E" w:rsidRPr="004C1013" w:rsidTr="00404B50">
        <w:trPr>
          <w:trHeight w:val="283"/>
        </w:trPr>
        <w:tc>
          <w:tcPr>
            <w:tcW w:w="1653" w:type="pct"/>
            <w:hideMark/>
          </w:tcPr>
          <w:p w:rsidR="0025522E" w:rsidRPr="004C1013" w:rsidRDefault="0025522E" w:rsidP="0025522E">
            <w:pPr>
              <w:pStyle w:val="tabbielystyl"/>
            </w:pPr>
            <w:r w:rsidRPr="004C1013">
              <w:t>2017</w:t>
            </w:r>
          </w:p>
        </w:tc>
        <w:tc>
          <w:tcPr>
            <w:tcW w:w="1492" w:type="pct"/>
            <w:hideMark/>
          </w:tcPr>
          <w:p w:rsidR="0025522E" w:rsidRPr="004C1013" w:rsidRDefault="0025522E" w:rsidP="0025522E">
            <w:pPr>
              <w:pStyle w:val="tabbielystyl"/>
            </w:pPr>
            <w:r w:rsidRPr="004C1013">
              <w:t>7.</w:t>
            </w:r>
          </w:p>
        </w:tc>
        <w:tc>
          <w:tcPr>
            <w:tcW w:w="1855" w:type="pct"/>
            <w:vAlign w:val="bottom"/>
          </w:tcPr>
          <w:p w:rsidR="0025522E" w:rsidRPr="004C1013" w:rsidRDefault="0025522E" w:rsidP="0025522E">
            <w:pPr>
              <w:pStyle w:val="tabbielystyl"/>
            </w:pPr>
            <w:r w:rsidRPr="004C1013">
              <w:t>95,05</w:t>
            </w:r>
          </w:p>
        </w:tc>
      </w:tr>
      <w:tr w:rsidR="0025522E" w:rsidRPr="004C1013" w:rsidTr="00404B50">
        <w:trPr>
          <w:trHeight w:val="283"/>
        </w:trPr>
        <w:tc>
          <w:tcPr>
            <w:tcW w:w="1653" w:type="pct"/>
            <w:hideMark/>
          </w:tcPr>
          <w:p w:rsidR="0025522E" w:rsidRPr="004C1013" w:rsidRDefault="0025522E" w:rsidP="0025522E">
            <w:pPr>
              <w:pStyle w:val="tabbielystyl"/>
            </w:pPr>
            <w:r w:rsidRPr="004C1013">
              <w:t>2018</w:t>
            </w:r>
          </w:p>
        </w:tc>
        <w:tc>
          <w:tcPr>
            <w:tcW w:w="1492" w:type="pct"/>
            <w:hideMark/>
          </w:tcPr>
          <w:p w:rsidR="0025522E" w:rsidRPr="004C1013" w:rsidRDefault="0025522E" w:rsidP="0025522E">
            <w:pPr>
              <w:pStyle w:val="tabbielystyl"/>
            </w:pPr>
            <w:r w:rsidRPr="004C1013">
              <w:t>8.</w:t>
            </w:r>
          </w:p>
        </w:tc>
        <w:tc>
          <w:tcPr>
            <w:tcW w:w="1855" w:type="pct"/>
            <w:vAlign w:val="bottom"/>
          </w:tcPr>
          <w:p w:rsidR="0025522E" w:rsidRPr="004C1013" w:rsidRDefault="0025522E" w:rsidP="0025522E">
            <w:pPr>
              <w:pStyle w:val="tabbielystyl"/>
            </w:pPr>
            <w:r w:rsidRPr="004C1013">
              <w:t>94,98</w:t>
            </w:r>
          </w:p>
        </w:tc>
      </w:tr>
      <w:tr w:rsidR="0025522E" w:rsidRPr="004C1013" w:rsidTr="00404B50">
        <w:trPr>
          <w:trHeight w:val="283"/>
        </w:trPr>
        <w:tc>
          <w:tcPr>
            <w:tcW w:w="3145" w:type="pct"/>
            <w:gridSpan w:val="2"/>
            <w:shd w:val="clear" w:color="auto" w:fill="7F7F7F" w:themeFill="text1" w:themeFillTint="80"/>
            <w:hideMark/>
          </w:tcPr>
          <w:p w:rsidR="0025522E" w:rsidRPr="004C1013" w:rsidRDefault="0025522E" w:rsidP="0025522E">
            <w:pPr>
              <w:pStyle w:val="tabukasivystyl"/>
            </w:pPr>
            <w:r w:rsidRPr="004C1013">
              <w:t>Spolu</w:t>
            </w:r>
          </w:p>
        </w:tc>
        <w:tc>
          <w:tcPr>
            <w:tcW w:w="1855" w:type="pct"/>
            <w:shd w:val="clear" w:color="auto" w:fill="7F7F7F" w:themeFill="text1" w:themeFillTint="80"/>
            <w:vAlign w:val="bottom"/>
          </w:tcPr>
          <w:p w:rsidR="0025522E" w:rsidRPr="004C1013" w:rsidRDefault="0025522E" w:rsidP="0025522E">
            <w:pPr>
              <w:pStyle w:val="tabukasivystyl"/>
            </w:pPr>
            <w:r w:rsidRPr="004C1013">
              <w:t>935,98</w:t>
            </w:r>
          </w:p>
        </w:tc>
      </w:tr>
      <w:tr w:rsidR="0025522E" w:rsidRPr="004C1013" w:rsidTr="00404B50">
        <w:trPr>
          <w:trHeight w:val="283"/>
        </w:trPr>
        <w:tc>
          <w:tcPr>
            <w:tcW w:w="3145" w:type="pct"/>
            <w:gridSpan w:val="2"/>
            <w:shd w:val="clear" w:color="auto" w:fill="7F7F7F" w:themeFill="text1" w:themeFillTint="80"/>
            <w:hideMark/>
          </w:tcPr>
          <w:p w:rsidR="0025522E" w:rsidRPr="004C1013" w:rsidRDefault="0025522E" w:rsidP="0025522E">
            <w:pPr>
              <w:pStyle w:val="tabukasivystyl"/>
            </w:pPr>
            <w:r w:rsidRPr="004C1013">
              <w:t>Ročný priemer</w:t>
            </w:r>
          </w:p>
        </w:tc>
        <w:tc>
          <w:tcPr>
            <w:tcW w:w="1855" w:type="pct"/>
            <w:shd w:val="clear" w:color="auto" w:fill="7F7F7F" w:themeFill="text1" w:themeFillTint="80"/>
            <w:vAlign w:val="bottom"/>
          </w:tcPr>
          <w:p w:rsidR="0025522E" w:rsidRPr="004C1013" w:rsidRDefault="0025522E" w:rsidP="0025522E">
            <w:pPr>
              <w:pStyle w:val="tabukasivystyl"/>
            </w:pPr>
            <w:r w:rsidRPr="004C1013">
              <w:t>117,00</w:t>
            </w:r>
          </w:p>
        </w:tc>
      </w:tr>
    </w:tbl>
    <w:p w:rsidR="0025522E" w:rsidRPr="004C1013" w:rsidRDefault="0025522E" w:rsidP="006B1C25">
      <w:pPr>
        <w:pStyle w:val="tabstyl"/>
      </w:pPr>
      <w:r w:rsidRPr="004C1013">
        <w:t>*od 1.7.2011</w:t>
      </w:r>
    </w:p>
    <w:p w:rsidR="0025522E" w:rsidRPr="00E47B23" w:rsidRDefault="00AE5B8A" w:rsidP="0025522E">
      <w:pPr>
        <w:pStyle w:val="Nadpis2"/>
        <w:rPr>
          <w:rFonts w:asciiTheme="minorHAnsi" w:hAnsiTheme="minorHAnsi" w:cstheme="minorHAnsi"/>
        </w:rPr>
      </w:pPr>
      <w:bookmarkStart w:id="165" w:name="_Toc20687943"/>
      <w:bookmarkStart w:id="166" w:name="_Toc36664386"/>
      <w:r w:rsidRPr="00E47B23">
        <w:rPr>
          <w:rFonts w:asciiTheme="minorHAnsi" w:hAnsiTheme="minorHAnsi" w:cstheme="minorHAnsi"/>
        </w:rPr>
        <w:t xml:space="preserve">Zhodnotenie výsledkov analýzy </w:t>
      </w:r>
      <w:bookmarkEnd w:id="165"/>
      <w:r w:rsidRPr="00E47B23">
        <w:rPr>
          <w:rFonts w:asciiTheme="minorHAnsi" w:hAnsiTheme="minorHAnsi" w:cstheme="minorHAnsi"/>
        </w:rPr>
        <w:t>systémov ETC</w:t>
      </w:r>
      <w:bookmarkEnd w:id="166"/>
      <w:r w:rsidRPr="00E47B23">
        <w:rPr>
          <w:rFonts w:asciiTheme="minorHAnsi" w:hAnsiTheme="minorHAnsi" w:cstheme="minorHAnsi"/>
        </w:rPr>
        <w:t xml:space="preserve"> </w:t>
      </w:r>
    </w:p>
    <w:p w:rsidR="0025522E" w:rsidRDefault="00F949F2" w:rsidP="00F949F2">
      <w:pPr>
        <w:pStyle w:val="Normaltext"/>
        <w:spacing w:line="276" w:lineRule="auto"/>
      </w:pPr>
      <w:r>
        <w:rPr>
          <w:rFonts w:asciiTheme="minorHAnsi" w:hAnsiTheme="minorHAnsi" w:cstheme="minorHAnsi"/>
        </w:rPr>
        <w:t xml:space="preserve">Cieľom realizovanej analýzy systémov ETC bolo získanie základnej </w:t>
      </w:r>
      <w:r w:rsidR="00B442E6">
        <w:rPr>
          <w:rFonts w:asciiTheme="minorHAnsi" w:hAnsiTheme="minorHAnsi" w:cstheme="minorHAnsi"/>
        </w:rPr>
        <w:t>údajovej bázy</w:t>
      </w:r>
      <w:r>
        <w:rPr>
          <w:rFonts w:asciiTheme="minorHAnsi" w:hAnsiTheme="minorHAnsi" w:cstheme="minorHAnsi"/>
        </w:rPr>
        <w:t xml:space="preserve"> pre vzájomnú  komparáciu </w:t>
      </w:r>
      <w:r w:rsidR="00B442E6">
        <w:rPr>
          <w:rFonts w:asciiTheme="minorHAnsi" w:hAnsiTheme="minorHAnsi" w:cstheme="minorHAnsi"/>
        </w:rPr>
        <w:t xml:space="preserve">týchto systémov </w:t>
      </w:r>
      <w:r>
        <w:rPr>
          <w:rFonts w:asciiTheme="minorHAnsi" w:hAnsiTheme="minorHAnsi" w:cstheme="minorHAnsi"/>
        </w:rPr>
        <w:t>vrátane porovnania</w:t>
      </w:r>
      <w:r w:rsidR="00B442E6">
        <w:rPr>
          <w:rFonts w:asciiTheme="minorHAnsi" w:hAnsiTheme="minorHAnsi" w:cstheme="minorHAnsi"/>
        </w:rPr>
        <w:t xml:space="preserve"> ich efektívnosti. </w:t>
      </w:r>
      <w:r>
        <w:rPr>
          <w:rFonts w:asciiTheme="minorHAnsi" w:hAnsiTheme="minorHAnsi" w:cstheme="minorHAnsi"/>
        </w:rPr>
        <w:t xml:space="preserve">Pre ten účel boli </w:t>
      </w:r>
      <w:r>
        <w:t xml:space="preserve">podrobne analyzované </w:t>
      </w:r>
      <w:r w:rsidR="00493794">
        <w:t xml:space="preserve">a navzájom verifikované </w:t>
      </w:r>
      <w:r>
        <w:t>údaje publikované štátnymi inštitúciami, správcom systému a prevádzkovateľom systému, údaje v odborných štúdiách, tlačových správach</w:t>
      </w:r>
      <w:r w:rsidR="00B442E6">
        <w:t xml:space="preserve"> a správach ASECAP.</w:t>
      </w:r>
      <w:r w:rsidR="00E07433">
        <w:t xml:space="preserve"> Vzhľadom na to, že jednotlivé štáty uvádzajú v správach ASECAP navzájom nejednotné údaje </w:t>
      </w:r>
      <w:r w:rsidR="0085647A">
        <w:t xml:space="preserve"> za systém ETC </w:t>
      </w:r>
      <w:r w:rsidR="00E07433">
        <w:t>(dĺžka siete, dopravné výkony povinných vozidiel na spoplatnenej sieti a výnosy)</w:t>
      </w:r>
      <w:r w:rsidR="006011E4">
        <w:t xml:space="preserve">, </w:t>
      </w:r>
      <w:r w:rsidR="00E07433">
        <w:t xml:space="preserve">boli </w:t>
      </w:r>
      <w:r w:rsidR="006011E4">
        <w:t xml:space="preserve">v komparácii systémov prevažne použité </w:t>
      </w:r>
      <w:r w:rsidR="00E07433">
        <w:t>údaje uvádzan</w:t>
      </w:r>
      <w:r w:rsidR="006011E4">
        <w:t>é štátnymi inštitúciami, resp.</w:t>
      </w:r>
      <w:r w:rsidR="00E07433">
        <w:t> prevádzkovateľmi systému</w:t>
      </w:r>
      <w:r w:rsidR="006011E4">
        <w:t xml:space="preserve">. V tomto kontexte boli údaje zo správ ASECAP skôr doplnkové a kontrolné. </w:t>
      </w:r>
    </w:p>
    <w:p w:rsidR="00B442E6" w:rsidRDefault="00B442E6" w:rsidP="00F949F2">
      <w:pPr>
        <w:pStyle w:val="Normaltext"/>
        <w:spacing w:line="276" w:lineRule="auto"/>
      </w:pPr>
      <w:r>
        <w:t>Analýzou bola potvrdená jedinečnosť každého z porovnávaných systémov, či už z hľadiska dĺžky spoplatnenej siete, intenzity povinných vozidiel na sieti, kateg</w:t>
      </w:r>
      <w:r w:rsidR="001F37C2">
        <w:t>órie povinných vozidiel a mýtnych sadzieb, tak aj z hľadiska celkových výnosov a nákladov systému. Práve výška nákladov a výnosov systému, t.j. celková úroveň efektívnosti je ovplyvňovaná týmito špecifikami nastavenia konkrétneho systému ETC prevádzkovaného v danej krajine.</w:t>
      </w:r>
    </w:p>
    <w:p w:rsidR="003C1045" w:rsidRDefault="00B442E6" w:rsidP="00F949F2">
      <w:pPr>
        <w:pStyle w:val="Normaltext"/>
        <w:spacing w:line="276" w:lineRule="auto"/>
      </w:pPr>
      <w:r>
        <w:t>V </w:t>
      </w:r>
      <w:r w:rsidR="001F37C2">
        <w:t>niektorých</w:t>
      </w:r>
      <w:r>
        <w:t xml:space="preserve"> prípadoch sa riešiteľský kolektív musel vysporiadať s nekonzistentnosťou zverejnených údajov </w:t>
      </w:r>
      <w:r w:rsidR="001F37C2">
        <w:t xml:space="preserve">v dostupných zdrojoch </w:t>
      </w:r>
      <w:r>
        <w:t xml:space="preserve">ako aj ich nedostupnosťou. </w:t>
      </w:r>
      <w:r w:rsidR="00C03452">
        <w:t>Postup vzájomnej verifikácie údajov a stanovenie výstupnej údajovej bázy charakteristických indikátorov systémov ETC je v texte podrobne popísaný. Vo všeobecnosti však možno konštatovať, že z</w:t>
      </w:r>
      <w:r w:rsidR="00675F29">
        <w:t>atiaľ čo v prípade dopravných parametrov systému (dĺžka spoplatnenej siete, intenzita povinných vozidiel na sieti) a výnosov systémov ETC v jednotlivých rokoch prevádzky sa zverejnené údaje prevažne zhodovali, v prípade vyčíslenia nákladov systémov boli zistené významné disproporcie v uvádzaných údajoch</w:t>
      </w:r>
      <w:r w:rsidR="00493794">
        <w:t xml:space="preserve"> </w:t>
      </w:r>
      <w:r w:rsidR="004969E0">
        <w:t xml:space="preserve">štátnych inštitúcií, resp. správcu systému a prevádzkovateľa systému. </w:t>
      </w:r>
    </w:p>
    <w:p w:rsidR="00CC6AE4" w:rsidRDefault="004969E0" w:rsidP="00F949F2">
      <w:pPr>
        <w:pStyle w:val="Normaltext"/>
        <w:spacing w:line="276" w:lineRule="auto"/>
      </w:pPr>
      <w:r w:rsidRPr="003C1045">
        <w:t>Prevádzkovateľ systému spravidla uvádza čisté náklady súvisiace výhradne s vybudovaním a prevádzkou systému</w:t>
      </w:r>
      <w:r w:rsidR="003C1045">
        <w:t xml:space="preserve"> v zmysle zmluvného vzťahu a</w:t>
      </w:r>
      <w:r w:rsidRPr="003C1045">
        <w:t xml:space="preserve"> správca systému, ministerstvo a najvyšší kontrolný úrad uvádzajú </w:t>
      </w:r>
      <w:r w:rsidR="00C752E6" w:rsidRPr="003C1045">
        <w:t xml:space="preserve">celkové </w:t>
      </w:r>
      <w:r w:rsidRPr="003C1045">
        <w:t>náklady štátu na systém ETC.</w:t>
      </w:r>
      <w:r w:rsidR="003C1045">
        <w:t xml:space="preserve"> To vyplýva najmä zo skutočnosti, že prevádzkovateľ systému neznáša všetky náklady systému ETC a časť nákladov (napr. enforcement, OBU, bankové transakcie, nezávislý znalec a pod.) je presunutých na správcu systému</w:t>
      </w:r>
      <w:r w:rsidR="004B63F2">
        <w:t xml:space="preserve"> -</w:t>
      </w:r>
      <w:r w:rsidR="003C1045">
        <w:t xml:space="preserve"> štát podľa zmluvných dohovorov.</w:t>
      </w:r>
      <w:r w:rsidR="006011E4">
        <w:t xml:space="preserve"> </w:t>
      </w:r>
    </w:p>
    <w:p w:rsidR="00CC6AE4" w:rsidRDefault="00CC6AE4" w:rsidP="00CC6AE4">
      <w:pPr>
        <w:pStyle w:val="Normaltext"/>
        <w:spacing w:line="276" w:lineRule="auto"/>
      </w:pPr>
      <w:r>
        <w:t>Údajová báza nákladov systémov ETC z hľadiska konzistentnosti tak vykazuje istú neurčitosť, čo vyplýva z rôznorodosti zahrnutých nákladových položiek správcu a prevádzkovateľa systému každého z porovnávaných štátov. Tieto disproporcie vychádzajú z nasledujúcich skutočností:</w:t>
      </w:r>
    </w:p>
    <w:p w:rsidR="00CC6AE4" w:rsidRDefault="00CC6AE4" w:rsidP="00CC6AE4">
      <w:pPr>
        <w:pStyle w:val="Normaltext"/>
        <w:numPr>
          <w:ilvl w:val="0"/>
          <w:numId w:val="25"/>
        </w:numPr>
        <w:spacing w:line="276" w:lineRule="auto"/>
      </w:pPr>
      <w:r>
        <w:t>odlišné rozlíšenie CAPEX, OPEX v rámci vyčíslenia celkových nákladov systému v jednotlivých rokoch prevádzky systému,</w:t>
      </w:r>
    </w:p>
    <w:p w:rsidR="00CC6AE4" w:rsidRDefault="00CC6AE4" w:rsidP="00CC6AE4">
      <w:pPr>
        <w:pStyle w:val="Normaltext"/>
        <w:numPr>
          <w:ilvl w:val="0"/>
          <w:numId w:val="25"/>
        </w:numPr>
        <w:spacing w:line="276" w:lineRule="auto"/>
      </w:pPr>
      <w:r>
        <w:t xml:space="preserve">odlišná štruktúra položiek nákladov správcu a prevádzkovateľa systémov: </w:t>
      </w:r>
    </w:p>
    <w:p w:rsidR="00CC6AE4" w:rsidRDefault="00CC6AE4" w:rsidP="00CC6AE4">
      <w:pPr>
        <w:pStyle w:val="Normaltext"/>
        <w:numPr>
          <w:ilvl w:val="1"/>
          <w:numId w:val="25"/>
        </w:numPr>
        <w:spacing w:line="276" w:lineRule="auto"/>
      </w:pPr>
      <w:r>
        <w:t>náklady na enforcement,</w:t>
      </w:r>
    </w:p>
    <w:p w:rsidR="00CC6AE4" w:rsidRDefault="00CC6AE4" w:rsidP="00CC6AE4">
      <w:pPr>
        <w:pStyle w:val="Normaltext"/>
        <w:numPr>
          <w:ilvl w:val="1"/>
          <w:numId w:val="25"/>
        </w:numPr>
        <w:spacing w:line="276" w:lineRule="auto"/>
      </w:pPr>
      <w:r>
        <w:t>náklady na OBU,</w:t>
      </w:r>
    </w:p>
    <w:p w:rsidR="00CC6AE4" w:rsidRDefault="00CC6AE4" w:rsidP="00CC6AE4">
      <w:pPr>
        <w:pStyle w:val="Normaltext"/>
        <w:numPr>
          <w:ilvl w:val="1"/>
          <w:numId w:val="25"/>
        </w:numPr>
        <w:spacing w:line="276" w:lineRule="auto"/>
      </w:pPr>
      <w:r>
        <w:t>náklady na bankové transakcie,</w:t>
      </w:r>
    </w:p>
    <w:p w:rsidR="00CC6AE4" w:rsidRDefault="00CC6AE4" w:rsidP="00CC6AE4">
      <w:pPr>
        <w:pStyle w:val="Normaltext"/>
        <w:numPr>
          <w:ilvl w:val="1"/>
          <w:numId w:val="25"/>
        </w:numPr>
        <w:spacing w:line="276" w:lineRule="auto"/>
      </w:pPr>
      <w:r>
        <w:t>náklady na kontrolnú činnosť, nezávislého znalca,</w:t>
      </w:r>
    </w:p>
    <w:p w:rsidR="00CC6AE4" w:rsidRDefault="00CC6AE4" w:rsidP="00CC6AE4">
      <w:pPr>
        <w:pStyle w:val="Normaltext"/>
        <w:numPr>
          <w:ilvl w:val="1"/>
          <w:numId w:val="25"/>
        </w:numPr>
        <w:spacing w:line="276" w:lineRule="auto"/>
      </w:pPr>
      <w:r>
        <w:t>náklady na zákaznícke miesta,</w:t>
      </w:r>
    </w:p>
    <w:p w:rsidR="00CC6AE4" w:rsidRDefault="00CC6AE4" w:rsidP="00CC6AE4">
      <w:pPr>
        <w:pStyle w:val="Normaltext"/>
        <w:numPr>
          <w:ilvl w:val="1"/>
          <w:numId w:val="25"/>
        </w:numPr>
        <w:spacing w:line="276" w:lineRule="auto"/>
      </w:pPr>
      <w:r>
        <w:t xml:space="preserve">personálne náklady, </w:t>
      </w:r>
    </w:p>
    <w:p w:rsidR="00CC6AE4" w:rsidRDefault="00CC6AE4" w:rsidP="00CC6AE4">
      <w:pPr>
        <w:pStyle w:val="Normaltext"/>
        <w:numPr>
          <w:ilvl w:val="1"/>
          <w:numId w:val="25"/>
        </w:numPr>
        <w:spacing w:line="276" w:lineRule="auto"/>
      </w:pPr>
      <w:r>
        <w:t>náklady na vývoj a inovácie a i.,</w:t>
      </w:r>
    </w:p>
    <w:p w:rsidR="00CC6AE4" w:rsidRDefault="00CC6AE4" w:rsidP="00CC6AE4">
      <w:pPr>
        <w:pStyle w:val="Normaltext"/>
        <w:numPr>
          <w:ilvl w:val="0"/>
          <w:numId w:val="25"/>
        </w:numPr>
        <w:spacing w:line="276" w:lineRule="auto"/>
      </w:pPr>
      <w:r>
        <w:t>odlišné účtovníctvo nákladových položiek/odpisovanie hmotného majetku,</w:t>
      </w:r>
    </w:p>
    <w:p w:rsidR="00CC6AE4" w:rsidRDefault="00CC6AE4" w:rsidP="00CC6AE4">
      <w:pPr>
        <w:pStyle w:val="Normaltext"/>
        <w:numPr>
          <w:ilvl w:val="0"/>
          <w:numId w:val="25"/>
        </w:numPr>
        <w:spacing w:line="276" w:lineRule="auto"/>
      </w:pPr>
      <w:r>
        <w:t>odlišné zohľadnenie dodatočných nákladov podľa dodatkov k zmluvám (súvisiace/nesúvisiace so systémom výberu mýta).</w:t>
      </w:r>
    </w:p>
    <w:p w:rsidR="00CC6AE4" w:rsidRDefault="00CC6AE4" w:rsidP="00CC6AE4">
      <w:pPr>
        <w:pStyle w:val="Normaltext"/>
        <w:spacing w:line="276" w:lineRule="auto"/>
      </w:pPr>
      <w:r>
        <w:t xml:space="preserve">Najnižšie rozdiely v uvádzaných nákladoch systémov ETC štátom ako správcom systému ETC a prevádzkovateľom systému sú v Slovenskej republike (priemer 5,5 mil. € ročne). Naopak najvyššie rozdiely v publikovaných údajoch </w:t>
      </w:r>
      <w:r w:rsidRPr="006C4461">
        <w:t>sú v Českej republike, kde za prvých päť rokov prevádzky boli rozdiely v priemere 40 mil.</w:t>
      </w:r>
      <w:r>
        <w:t xml:space="preserve"> </w:t>
      </w:r>
      <w:r w:rsidRPr="006C4461">
        <w:t>€ ročne.</w:t>
      </w:r>
      <w:r>
        <w:t xml:space="preserve"> Rozdiely v uvádzaných nákladoch správcu a prevádzkovateľa mýtneho systému v Poľsku sa za 5 rokov prevádzky pohybujú na úrovni približne 20 mil. €. Riešiteľský kolektív v tomto kontexte uprednostnil údaje správcov systémov ETC, ktoré zohľadňujú širšiu nákladovú schému systémov. Pre slovenský systém ETC sú v komparatívnej analýze systémov uvažované údaje prevádzkovateľa aj správcu systému. </w:t>
      </w:r>
    </w:p>
    <w:p w:rsidR="00CC6AE4" w:rsidRDefault="00CC6AE4" w:rsidP="00CC6AE4">
      <w:pPr>
        <w:pStyle w:val="Normaltext"/>
        <w:spacing w:line="276" w:lineRule="auto"/>
      </w:pPr>
      <w:r>
        <w:t xml:space="preserve">V prípade Nemecka a Rakúska boli dostupnými zdrojmi pojednávajúcimi o nákladoch systému najmä odborné štúdie. Uvádzaná výška nákladov na systém ETC v Nemecku bola v týchto štúdiách čerpaná zo štátnych štatistík a navzájom sa zhodovala. Neboli však dostupné údaje prevádzkovateľa systému.  V odborných štúdiách o systéme ETC v Rakúsku boli na rozdiel od Nemecka uvádzané navzájom nekonzistentné údaje o výške nákladov. Z toho dôvodu možno uvažované paušálne ročné náklady systému vo výške 12% výnosov považovať len za orientačné pre účely komparácie systémov. Reálne náklady systému v Rakúsku boli v prvých rokoch prevádzky s veľkou pravdepodobnosťou vyššie, a to aj na úrovni 20% z výnosov. </w:t>
      </w:r>
    </w:p>
    <w:p w:rsidR="006011E4" w:rsidRDefault="006011E4" w:rsidP="00F949F2">
      <w:pPr>
        <w:pStyle w:val="Normaltext"/>
        <w:spacing w:line="276" w:lineRule="auto"/>
      </w:pPr>
      <w:r>
        <w:t xml:space="preserve">Aj napriek uvedenému bolo zistené, že uvádzaná výška nákladov zo strany štátnych inštitúcii neobsahuje rovnakú štruktúru nákladových položiek a na rozdiel od SR sú uvádzané náklady porovnávaných systémov Nemecka, Rakúska, Českej republiky a Poľska znížené o vybrané položky, ktoré neboli z dôvodu ich </w:t>
      </w:r>
      <w:r w:rsidR="00D06381">
        <w:t>ne</w:t>
      </w:r>
      <w:r>
        <w:t>zverej</w:t>
      </w:r>
      <w:r w:rsidR="00D06381">
        <w:t xml:space="preserve">ňovania </w:t>
      </w:r>
      <w:r>
        <w:t>jasne identifikova</w:t>
      </w:r>
      <w:r w:rsidR="00D06381">
        <w:t>teľn</w:t>
      </w:r>
      <w:r>
        <w:t>é.  V prípade Nemecka je zrejmé, že do celkových nákladov nie sú započítané niektoré</w:t>
      </w:r>
      <w:r w:rsidR="00D06381">
        <w:t xml:space="preserve"> z</w:t>
      </w:r>
      <w:r>
        <w:t xml:space="preserve"> položiek ako napr. splátka systému, náklady na enforcement, nezávisl</w:t>
      </w:r>
      <w:r w:rsidR="00D06381">
        <w:t>é</w:t>
      </w:r>
      <w:r>
        <w:t xml:space="preserve">ho znalca alebo palivové karty.  </w:t>
      </w:r>
      <w:r w:rsidR="00D06381">
        <w:t xml:space="preserve">V nákladoch Českej republiky nie sú započítané náklady na kontrolnú činnosť, ktorú zabezpečuje colná správa a náklady na telematické aplikácie. Informácie o započítaní ostatných nákladových položiek ako napr. marketing a poradenstvo, výskum a vývoj, platobné transakcie a ďalšie nie sú </w:t>
      </w:r>
      <w:r w:rsidR="00CC6AE4">
        <w:t>známe</w:t>
      </w:r>
      <w:r w:rsidR="00D06381">
        <w:t xml:space="preserve">. Rovnaká neurčitosť je pri skladbe nákladov systému ETC v Poľsku a predovšetkým v Rakúsku, ku ktorému neboli agregované údaje o nákladoch za jednotlivé roky prevádzky systému vôbec k dispozícii. Vzhľadom na uvedené možno konštatovať, že uvádzané náklady systémov ETC porovnávaných štátov  uvažované v komparatívnej analýze </w:t>
      </w:r>
      <w:r w:rsidR="00CC6AE4">
        <w:t>neobsahujú všetky nákladové položky systému ako v prípade SR a v tomto kontexte je pri porovnávaní celkovej efektívnosti potrebné zohľadňovať predmetné znevýhodnenie slovenského systému oproti iným systémom.</w:t>
      </w:r>
    </w:p>
    <w:p w:rsidR="00CC6AE4" w:rsidRDefault="00CC6AE4" w:rsidP="00CC6AE4">
      <w:pPr>
        <w:pStyle w:val="Normaltext"/>
        <w:spacing w:line="276" w:lineRule="auto"/>
      </w:pPr>
      <w:r>
        <w:t xml:space="preserve">Z diskutovaných disproporcií v uvádzaných nákladoch zo strany správcu a prevádzkovateľa systému možno z hľadiska komparácie systémov a ich efektívnosti konštatovať len orientačnú výpovednú hodnotu vyčíslených nákladov systémov ETC. Presná špecifikácia nákladov systémov by si vyžadovala podrobnú analýzu účtovných položiek každého systému, presné rozlíšenie investičných a prevádzkových nákladov, resp. aplikáciu jednotnej metodiky ich vyčíslenia. Takáto detailná a jednotná finančná analýza nákladov systémov ETC nie je cieľom predkladanej štúdie. V tomto význame možno konštatovať, že z hľadiska dôvernosti údajov ako aj osobitosti účtovania položiek nákladov v ročných účtovných závierkach každého zo systémov je predmetná detailná a jednotná finančná analýza ťažko uskutočniteľná.  </w:t>
      </w:r>
    </w:p>
    <w:p w:rsidR="002746A3" w:rsidRDefault="009A600C" w:rsidP="00F949F2">
      <w:pPr>
        <w:pStyle w:val="Normaltext"/>
        <w:spacing w:line="276" w:lineRule="auto"/>
      </w:pPr>
      <w:r>
        <w:t>Súhrnné výsledky analýzy systémov v podobe základných charakteristických indikátorov sú uveden</w:t>
      </w:r>
      <w:r w:rsidR="00546C93">
        <w:t>é</w:t>
      </w:r>
      <w:r>
        <w:t xml:space="preserve"> v nasledujúcej tabuľke</w:t>
      </w:r>
      <w:r w:rsidR="00546C93">
        <w:t xml:space="preserve"> (</w:t>
      </w:r>
      <w:r w:rsidR="00AE5B8A">
        <w:fldChar w:fldCharType="begin"/>
      </w:r>
      <w:r w:rsidR="00546C93">
        <w:instrText xml:space="preserve"> REF _Ref21201324 \h </w:instrText>
      </w:r>
      <w:r w:rsidR="00AE5B8A">
        <w:fldChar w:fldCharType="separate"/>
      </w:r>
      <w:r w:rsidR="001E4C1C" w:rsidRPr="004C1013">
        <w:t xml:space="preserve">Tab.  </w:t>
      </w:r>
      <w:r w:rsidR="001E4C1C">
        <w:rPr>
          <w:noProof/>
        </w:rPr>
        <w:t>1</w:t>
      </w:r>
      <w:r w:rsidR="001E4C1C">
        <w:noBreakHyphen/>
      </w:r>
      <w:r w:rsidR="001E4C1C">
        <w:rPr>
          <w:noProof/>
        </w:rPr>
        <w:t>41</w:t>
      </w:r>
      <w:r w:rsidR="00AE5B8A">
        <w:fldChar w:fldCharType="end"/>
      </w:r>
      <w:r w:rsidR="00546C93">
        <w:t xml:space="preserve">). </w:t>
      </w:r>
    </w:p>
    <w:p w:rsidR="008862A1" w:rsidRDefault="008862A1" w:rsidP="00D45DBF">
      <w:pPr>
        <w:pStyle w:val="Normaltext"/>
      </w:pPr>
    </w:p>
    <w:p w:rsidR="00D45DBF" w:rsidRDefault="00D45DBF" w:rsidP="00D45DBF">
      <w:pPr>
        <w:pStyle w:val="Normaltext"/>
      </w:pPr>
    </w:p>
    <w:p w:rsidR="00D45DBF" w:rsidRPr="00D45DBF" w:rsidRDefault="00D45DBF" w:rsidP="00D45DBF">
      <w:pPr>
        <w:pStyle w:val="Normaltext"/>
        <w:sectPr w:rsidR="00D45DBF" w:rsidRPr="00D45DBF" w:rsidSect="00135588">
          <w:headerReference w:type="even" r:id="rId24"/>
          <w:headerReference w:type="default" r:id="rId25"/>
          <w:footerReference w:type="even" r:id="rId26"/>
          <w:footerReference w:type="default" r:id="rId27"/>
          <w:pgSz w:w="11907" w:h="16840" w:code="9"/>
          <w:pgMar w:top="1985" w:right="1134" w:bottom="1440" w:left="1418" w:header="567" w:footer="370" w:gutter="0"/>
          <w:cols w:space="240"/>
          <w:docGrid w:linePitch="326"/>
        </w:sectPr>
      </w:pPr>
    </w:p>
    <w:p w:rsidR="0025522E" w:rsidRPr="004C1013" w:rsidRDefault="0025522E" w:rsidP="006B1C25">
      <w:pPr>
        <w:pStyle w:val="tabstyl"/>
      </w:pPr>
      <w:bookmarkStart w:id="167" w:name="_Ref21201324"/>
      <w:bookmarkStart w:id="168" w:name="_Toc36664483"/>
      <w:r w:rsidRPr="004C1013">
        <w:t xml:space="preserve">Tab.  </w:t>
      </w:r>
      <w:r w:rsidR="00C40D3F">
        <w:fldChar w:fldCharType="begin"/>
      </w:r>
      <w:r w:rsidR="00C40D3F">
        <w:instrText xml:space="preserve"> STYLEREF 1 \s </w:instrText>
      </w:r>
      <w:r w:rsidR="00C40D3F">
        <w:fldChar w:fldCharType="separate"/>
      </w:r>
      <w:r w:rsidR="00AE19F9">
        <w:rPr>
          <w:noProof/>
        </w:rPr>
        <w:t>1</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41</w:t>
      </w:r>
      <w:r w:rsidR="00C40D3F">
        <w:rPr>
          <w:noProof/>
        </w:rPr>
        <w:fldChar w:fldCharType="end"/>
      </w:r>
      <w:bookmarkEnd w:id="167"/>
      <w:r w:rsidRPr="004C1013">
        <w:tab/>
        <w:t>Súhrnné výsledky analýzy charakteristických indikátorov systémov ETC</w:t>
      </w:r>
      <w:bookmarkEnd w:id="168"/>
    </w:p>
    <w:tbl>
      <w:tblPr>
        <w:tblStyle w:val="tabulkaVUD"/>
        <w:tblW w:w="5000" w:type="pct"/>
        <w:tblLook w:val="04A0" w:firstRow="1" w:lastRow="0" w:firstColumn="1" w:lastColumn="0" w:noHBand="0" w:noVBand="1"/>
      </w:tblPr>
      <w:tblGrid>
        <w:gridCol w:w="1318"/>
        <w:gridCol w:w="1043"/>
        <w:gridCol w:w="1048"/>
        <w:gridCol w:w="84"/>
        <w:gridCol w:w="964"/>
        <w:gridCol w:w="1332"/>
        <w:gridCol w:w="1332"/>
        <w:gridCol w:w="1163"/>
        <w:gridCol w:w="1150"/>
        <w:gridCol w:w="1163"/>
        <w:gridCol w:w="1150"/>
        <w:gridCol w:w="1163"/>
        <w:gridCol w:w="1150"/>
      </w:tblGrid>
      <w:tr w:rsidR="0011256D" w:rsidRPr="004C1013" w:rsidTr="009B2509">
        <w:trPr>
          <w:cnfStyle w:val="100000000000" w:firstRow="1" w:lastRow="0" w:firstColumn="0" w:lastColumn="0" w:oddVBand="0" w:evenVBand="0" w:oddHBand="0" w:evenHBand="0" w:firstRowFirstColumn="0" w:firstRowLastColumn="0" w:lastRowFirstColumn="0" w:lastRowLastColumn="0"/>
          <w:trHeight w:val="410"/>
          <w:tblHeader/>
        </w:trPr>
        <w:tc>
          <w:tcPr>
            <w:tcW w:w="1317" w:type="dxa"/>
            <w:vMerge w:val="restart"/>
            <w:shd w:val="clear" w:color="auto" w:fill="7F7F7F" w:themeFill="text1" w:themeFillTint="80"/>
            <w:hideMark/>
          </w:tcPr>
          <w:p w:rsidR="0011256D" w:rsidRPr="0011256D" w:rsidRDefault="0011256D" w:rsidP="009D58D5">
            <w:pPr>
              <w:pStyle w:val="zahltab"/>
            </w:pPr>
            <w:r w:rsidRPr="0011256D">
              <w:t>Kalendárny rok</w:t>
            </w:r>
          </w:p>
        </w:tc>
        <w:tc>
          <w:tcPr>
            <w:tcW w:w="3134" w:type="dxa"/>
            <w:gridSpan w:val="4"/>
            <w:shd w:val="clear" w:color="auto" w:fill="7F7F7F" w:themeFill="text1" w:themeFillTint="80"/>
            <w:hideMark/>
          </w:tcPr>
          <w:p w:rsidR="0011256D" w:rsidRPr="004C1013" w:rsidRDefault="0011256D" w:rsidP="009D58D5">
            <w:pPr>
              <w:pStyle w:val="zahltab"/>
            </w:pPr>
            <w:r w:rsidRPr="004C1013">
              <w:t>Slovensko</w:t>
            </w:r>
          </w:p>
        </w:tc>
        <w:tc>
          <w:tcPr>
            <w:tcW w:w="2660" w:type="dxa"/>
            <w:gridSpan w:val="2"/>
            <w:shd w:val="clear" w:color="auto" w:fill="7F7F7F" w:themeFill="text1" w:themeFillTint="80"/>
            <w:hideMark/>
          </w:tcPr>
          <w:p w:rsidR="0011256D" w:rsidRPr="004C1013" w:rsidRDefault="0011256D" w:rsidP="009D58D5">
            <w:pPr>
              <w:pStyle w:val="zahltab"/>
            </w:pPr>
            <w:r w:rsidRPr="004C1013">
              <w:t>Nemecko</w:t>
            </w:r>
          </w:p>
        </w:tc>
        <w:tc>
          <w:tcPr>
            <w:tcW w:w="2309" w:type="dxa"/>
            <w:gridSpan w:val="2"/>
            <w:shd w:val="clear" w:color="auto" w:fill="7F7F7F" w:themeFill="text1" w:themeFillTint="80"/>
            <w:hideMark/>
          </w:tcPr>
          <w:p w:rsidR="0011256D" w:rsidRPr="004C1013" w:rsidRDefault="0011256D" w:rsidP="009D58D5">
            <w:pPr>
              <w:pStyle w:val="zahltab"/>
            </w:pPr>
            <w:r w:rsidRPr="004C1013">
              <w:t>Česká republika</w:t>
            </w:r>
          </w:p>
        </w:tc>
        <w:tc>
          <w:tcPr>
            <w:tcW w:w="2309" w:type="dxa"/>
            <w:gridSpan w:val="2"/>
            <w:shd w:val="clear" w:color="auto" w:fill="7F7F7F" w:themeFill="text1" w:themeFillTint="80"/>
            <w:hideMark/>
          </w:tcPr>
          <w:p w:rsidR="0011256D" w:rsidRPr="004C1013" w:rsidRDefault="0011256D" w:rsidP="009D58D5">
            <w:pPr>
              <w:pStyle w:val="zahltab"/>
            </w:pPr>
            <w:r w:rsidRPr="004C1013">
              <w:t>Rakúsko</w:t>
            </w:r>
          </w:p>
        </w:tc>
        <w:tc>
          <w:tcPr>
            <w:tcW w:w="2309" w:type="dxa"/>
            <w:gridSpan w:val="2"/>
            <w:shd w:val="clear" w:color="auto" w:fill="7F7F7F" w:themeFill="text1" w:themeFillTint="80"/>
            <w:hideMark/>
          </w:tcPr>
          <w:p w:rsidR="0011256D" w:rsidRPr="004C1013" w:rsidRDefault="0011256D" w:rsidP="009D58D5">
            <w:pPr>
              <w:pStyle w:val="zahltab"/>
            </w:pPr>
            <w:r w:rsidRPr="004C1013">
              <w:t>Poľsko</w:t>
            </w:r>
          </w:p>
        </w:tc>
      </w:tr>
      <w:tr w:rsidR="0011256D" w:rsidRPr="004C1013" w:rsidTr="0011256D">
        <w:trPr>
          <w:cnfStyle w:val="100000000000" w:firstRow="1" w:lastRow="0" w:firstColumn="0" w:lastColumn="0" w:oddVBand="0" w:evenVBand="0" w:oddHBand="0" w:evenHBand="0" w:firstRowFirstColumn="0" w:firstRowLastColumn="0" w:lastRowFirstColumn="0" w:lastRowLastColumn="0"/>
          <w:trHeight w:val="259"/>
          <w:tblHeader/>
        </w:trPr>
        <w:tc>
          <w:tcPr>
            <w:tcW w:w="1317" w:type="dxa"/>
            <w:vMerge/>
            <w:shd w:val="clear" w:color="auto" w:fill="7F7F7F" w:themeFill="text1" w:themeFillTint="80"/>
            <w:hideMark/>
          </w:tcPr>
          <w:p w:rsidR="0011256D" w:rsidRPr="0011256D" w:rsidRDefault="0011256D" w:rsidP="009D58D5">
            <w:pPr>
              <w:pStyle w:val="zahltab"/>
            </w:pPr>
          </w:p>
        </w:tc>
        <w:tc>
          <w:tcPr>
            <w:tcW w:w="1042" w:type="dxa"/>
            <w:vMerge w:val="restart"/>
            <w:shd w:val="clear" w:color="auto" w:fill="7F7F7F" w:themeFill="text1" w:themeFillTint="80"/>
            <w:hideMark/>
          </w:tcPr>
          <w:p w:rsidR="0011256D" w:rsidRPr="004C1013" w:rsidRDefault="0011256D" w:rsidP="009D58D5">
            <w:pPr>
              <w:pStyle w:val="zahltab"/>
            </w:pPr>
            <w:r w:rsidRPr="004C1013">
              <w:t>Rok prevádzky</w:t>
            </w:r>
          </w:p>
        </w:tc>
        <w:tc>
          <w:tcPr>
            <w:tcW w:w="2092" w:type="dxa"/>
            <w:gridSpan w:val="3"/>
            <w:shd w:val="clear" w:color="auto" w:fill="7F7F7F" w:themeFill="text1" w:themeFillTint="80"/>
            <w:hideMark/>
          </w:tcPr>
          <w:p w:rsidR="0011256D" w:rsidRPr="004C1013" w:rsidRDefault="0011256D" w:rsidP="009D58D5">
            <w:pPr>
              <w:pStyle w:val="zahltab"/>
            </w:pPr>
            <w:r w:rsidRPr="004C1013">
              <w:t>Hodnota </w:t>
            </w:r>
            <w:r>
              <w:t xml:space="preserve"> indikátora</w:t>
            </w:r>
          </w:p>
        </w:tc>
        <w:tc>
          <w:tcPr>
            <w:tcW w:w="1330" w:type="dxa"/>
            <w:vMerge w:val="restart"/>
            <w:shd w:val="clear" w:color="auto" w:fill="7F7F7F" w:themeFill="text1" w:themeFillTint="80"/>
            <w:hideMark/>
          </w:tcPr>
          <w:p w:rsidR="0011256D" w:rsidRPr="004C1013" w:rsidRDefault="0011256D" w:rsidP="009D58D5">
            <w:pPr>
              <w:pStyle w:val="zahltab"/>
            </w:pPr>
            <w:r w:rsidRPr="004C1013">
              <w:t>Rok prevádzky</w:t>
            </w:r>
          </w:p>
        </w:tc>
        <w:tc>
          <w:tcPr>
            <w:tcW w:w="1330" w:type="dxa"/>
            <w:vMerge w:val="restart"/>
            <w:shd w:val="clear" w:color="auto" w:fill="7F7F7F" w:themeFill="text1" w:themeFillTint="80"/>
            <w:hideMark/>
          </w:tcPr>
          <w:p w:rsidR="0011256D" w:rsidRPr="004C1013" w:rsidRDefault="0011256D" w:rsidP="009D58D5">
            <w:pPr>
              <w:pStyle w:val="zahltab"/>
            </w:pPr>
            <w:r w:rsidRPr="004C1013">
              <w:t>Hodnota  </w:t>
            </w:r>
            <w:r>
              <w:t xml:space="preserve"> indikátora</w:t>
            </w:r>
          </w:p>
        </w:tc>
        <w:tc>
          <w:tcPr>
            <w:tcW w:w="1161" w:type="dxa"/>
            <w:vMerge w:val="restart"/>
            <w:shd w:val="clear" w:color="auto" w:fill="7F7F7F" w:themeFill="text1" w:themeFillTint="80"/>
            <w:hideMark/>
          </w:tcPr>
          <w:p w:rsidR="0011256D" w:rsidRPr="004C1013" w:rsidRDefault="0011256D" w:rsidP="009D58D5">
            <w:pPr>
              <w:pStyle w:val="zahltab"/>
            </w:pPr>
            <w:r w:rsidRPr="004C1013">
              <w:t>Rok prevádzky</w:t>
            </w:r>
          </w:p>
        </w:tc>
        <w:tc>
          <w:tcPr>
            <w:tcW w:w="1148" w:type="dxa"/>
            <w:vMerge w:val="restart"/>
            <w:shd w:val="clear" w:color="auto" w:fill="7F7F7F" w:themeFill="text1" w:themeFillTint="80"/>
            <w:hideMark/>
          </w:tcPr>
          <w:p w:rsidR="0011256D" w:rsidRPr="004C1013" w:rsidRDefault="0011256D" w:rsidP="009D58D5">
            <w:pPr>
              <w:pStyle w:val="zahltab"/>
            </w:pPr>
            <w:r w:rsidRPr="004C1013">
              <w:t> Hodnota</w:t>
            </w:r>
            <w:r>
              <w:t xml:space="preserve"> indikátora</w:t>
            </w:r>
            <w:r w:rsidRPr="004C1013">
              <w:t> </w:t>
            </w:r>
          </w:p>
        </w:tc>
        <w:tc>
          <w:tcPr>
            <w:tcW w:w="1161" w:type="dxa"/>
            <w:vMerge w:val="restart"/>
            <w:shd w:val="clear" w:color="auto" w:fill="7F7F7F" w:themeFill="text1" w:themeFillTint="80"/>
            <w:hideMark/>
          </w:tcPr>
          <w:p w:rsidR="0011256D" w:rsidRPr="004C1013" w:rsidRDefault="0011256D" w:rsidP="009D58D5">
            <w:pPr>
              <w:pStyle w:val="zahltab"/>
            </w:pPr>
            <w:r w:rsidRPr="004C1013">
              <w:t>Rok prevádzky</w:t>
            </w:r>
          </w:p>
        </w:tc>
        <w:tc>
          <w:tcPr>
            <w:tcW w:w="1148" w:type="dxa"/>
            <w:vMerge w:val="restart"/>
            <w:shd w:val="clear" w:color="auto" w:fill="7F7F7F" w:themeFill="text1" w:themeFillTint="80"/>
            <w:hideMark/>
          </w:tcPr>
          <w:p w:rsidR="0011256D" w:rsidRDefault="0011256D" w:rsidP="009D58D5">
            <w:pPr>
              <w:pStyle w:val="zahltab"/>
            </w:pPr>
            <w:r w:rsidRPr="004C1013">
              <w:t>Hodnota</w:t>
            </w:r>
          </w:p>
          <w:p w:rsidR="0011256D" w:rsidRPr="004C1013" w:rsidRDefault="0011256D" w:rsidP="009D58D5">
            <w:pPr>
              <w:pStyle w:val="zahltab"/>
            </w:pPr>
            <w:r>
              <w:t>indikátora</w:t>
            </w:r>
          </w:p>
        </w:tc>
        <w:tc>
          <w:tcPr>
            <w:tcW w:w="1161" w:type="dxa"/>
            <w:vMerge w:val="restart"/>
            <w:shd w:val="clear" w:color="auto" w:fill="7F7F7F" w:themeFill="text1" w:themeFillTint="80"/>
            <w:hideMark/>
          </w:tcPr>
          <w:p w:rsidR="0011256D" w:rsidRPr="004C1013" w:rsidRDefault="0011256D" w:rsidP="009D58D5">
            <w:pPr>
              <w:pStyle w:val="zahltab"/>
            </w:pPr>
            <w:r w:rsidRPr="004C1013">
              <w:t>Rok prevádzky</w:t>
            </w:r>
          </w:p>
        </w:tc>
        <w:tc>
          <w:tcPr>
            <w:tcW w:w="1148" w:type="dxa"/>
            <w:vMerge w:val="restart"/>
            <w:shd w:val="clear" w:color="auto" w:fill="7F7F7F" w:themeFill="text1" w:themeFillTint="80"/>
            <w:hideMark/>
          </w:tcPr>
          <w:p w:rsidR="0011256D" w:rsidRPr="004C1013" w:rsidRDefault="0011256D" w:rsidP="009D58D5">
            <w:pPr>
              <w:pStyle w:val="zahltab"/>
            </w:pPr>
            <w:r w:rsidRPr="004C1013">
              <w:t> Hodnota</w:t>
            </w:r>
            <w:r>
              <w:t xml:space="preserve"> indikátora</w:t>
            </w:r>
            <w:r w:rsidRPr="004C1013">
              <w:t> </w:t>
            </w:r>
          </w:p>
        </w:tc>
      </w:tr>
      <w:tr w:rsidR="0011256D" w:rsidRPr="004C1013" w:rsidTr="0011256D">
        <w:trPr>
          <w:cnfStyle w:val="100000000000" w:firstRow="1" w:lastRow="0" w:firstColumn="0" w:lastColumn="0" w:oddVBand="0" w:evenVBand="0" w:oddHBand="0" w:evenHBand="0" w:firstRowFirstColumn="0" w:firstRowLastColumn="0" w:lastRowFirstColumn="0" w:lastRowLastColumn="0"/>
          <w:trHeight w:val="348"/>
          <w:tblHeader/>
        </w:trPr>
        <w:tc>
          <w:tcPr>
            <w:tcW w:w="1317" w:type="dxa"/>
            <w:vMerge/>
            <w:shd w:val="clear" w:color="auto" w:fill="7F7F7F" w:themeFill="text1" w:themeFillTint="80"/>
            <w:hideMark/>
          </w:tcPr>
          <w:p w:rsidR="0011256D" w:rsidRPr="0011256D" w:rsidRDefault="0011256D" w:rsidP="009D58D5">
            <w:pPr>
              <w:pStyle w:val="zahltab"/>
            </w:pPr>
          </w:p>
        </w:tc>
        <w:tc>
          <w:tcPr>
            <w:tcW w:w="1042" w:type="dxa"/>
            <w:vMerge/>
            <w:shd w:val="clear" w:color="auto" w:fill="7F7F7F" w:themeFill="text1" w:themeFillTint="80"/>
            <w:hideMark/>
          </w:tcPr>
          <w:p w:rsidR="0011256D" w:rsidRPr="004C1013" w:rsidRDefault="0011256D" w:rsidP="009D58D5">
            <w:pPr>
              <w:pStyle w:val="zahltab"/>
            </w:pPr>
          </w:p>
        </w:tc>
        <w:tc>
          <w:tcPr>
            <w:tcW w:w="1046" w:type="dxa"/>
            <w:shd w:val="clear" w:color="auto" w:fill="7F7F7F" w:themeFill="text1" w:themeFillTint="80"/>
            <w:hideMark/>
          </w:tcPr>
          <w:p w:rsidR="0011256D" w:rsidRPr="004C1013" w:rsidRDefault="0011256D" w:rsidP="009D58D5">
            <w:pPr>
              <w:pStyle w:val="zahltab"/>
            </w:pPr>
            <w:r>
              <w:t>SkyToll, a.s</w:t>
            </w:r>
          </w:p>
        </w:tc>
        <w:tc>
          <w:tcPr>
            <w:tcW w:w="1046" w:type="dxa"/>
            <w:gridSpan w:val="2"/>
            <w:shd w:val="clear" w:color="auto" w:fill="7F7F7F" w:themeFill="text1" w:themeFillTint="80"/>
          </w:tcPr>
          <w:p w:rsidR="0011256D" w:rsidRPr="004C1013" w:rsidRDefault="0011256D" w:rsidP="009D58D5">
            <w:pPr>
              <w:pStyle w:val="zahltab"/>
            </w:pPr>
            <w:r>
              <w:t>NDS, a.s</w:t>
            </w:r>
          </w:p>
        </w:tc>
        <w:tc>
          <w:tcPr>
            <w:tcW w:w="1330" w:type="dxa"/>
            <w:vMerge/>
            <w:shd w:val="clear" w:color="auto" w:fill="7F7F7F" w:themeFill="text1" w:themeFillTint="80"/>
            <w:hideMark/>
          </w:tcPr>
          <w:p w:rsidR="0011256D" w:rsidRPr="004C1013" w:rsidRDefault="0011256D" w:rsidP="009D58D5">
            <w:pPr>
              <w:pStyle w:val="zahltab"/>
            </w:pPr>
          </w:p>
        </w:tc>
        <w:tc>
          <w:tcPr>
            <w:tcW w:w="1330" w:type="dxa"/>
            <w:vMerge/>
            <w:shd w:val="clear" w:color="auto" w:fill="7F7F7F" w:themeFill="text1" w:themeFillTint="80"/>
            <w:hideMark/>
          </w:tcPr>
          <w:p w:rsidR="0011256D" w:rsidRPr="004C1013" w:rsidRDefault="0011256D" w:rsidP="009D58D5">
            <w:pPr>
              <w:pStyle w:val="zahltab"/>
            </w:pPr>
          </w:p>
        </w:tc>
        <w:tc>
          <w:tcPr>
            <w:tcW w:w="1161" w:type="dxa"/>
            <w:vMerge/>
            <w:shd w:val="clear" w:color="auto" w:fill="7F7F7F" w:themeFill="text1" w:themeFillTint="80"/>
            <w:hideMark/>
          </w:tcPr>
          <w:p w:rsidR="0011256D" w:rsidRPr="004C1013" w:rsidRDefault="0011256D" w:rsidP="009D58D5">
            <w:pPr>
              <w:pStyle w:val="zahltab"/>
            </w:pPr>
          </w:p>
        </w:tc>
        <w:tc>
          <w:tcPr>
            <w:tcW w:w="1148" w:type="dxa"/>
            <w:vMerge/>
            <w:shd w:val="clear" w:color="auto" w:fill="7F7F7F" w:themeFill="text1" w:themeFillTint="80"/>
            <w:hideMark/>
          </w:tcPr>
          <w:p w:rsidR="0011256D" w:rsidRPr="004C1013" w:rsidRDefault="0011256D" w:rsidP="009D58D5">
            <w:pPr>
              <w:pStyle w:val="zahltab"/>
            </w:pPr>
          </w:p>
        </w:tc>
        <w:tc>
          <w:tcPr>
            <w:tcW w:w="1161" w:type="dxa"/>
            <w:vMerge/>
            <w:shd w:val="clear" w:color="auto" w:fill="7F7F7F" w:themeFill="text1" w:themeFillTint="80"/>
            <w:hideMark/>
          </w:tcPr>
          <w:p w:rsidR="0011256D" w:rsidRPr="004C1013" w:rsidRDefault="0011256D" w:rsidP="009D58D5">
            <w:pPr>
              <w:pStyle w:val="zahltab"/>
            </w:pPr>
          </w:p>
        </w:tc>
        <w:tc>
          <w:tcPr>
            <w:tcW w:w="1148" w:type="dxa"/>
            <w:vMerge/>
            <w:shd w:val="clear" w:color="auto" w:fill="7F7F7F" w:themeFill="text1" w:themeFillTint="80"/>
            <w:hideMark/>
          </w:tcPr>
          <w:p w:rsidR="0011256D" w:rsidRPr="004C1013" w:rsidRDefault="0011256D" w:rsidP="009D58D5">
            <w:pPr>
              <w:pStyle w:val="zahltab"/>
            </w:pPr>
          </w:p>
        </w:tc>
        <w:tc>
          <w:tcPr>
            <w:tcW w:w="1161" w:type="dxa"/>
            <w:vMerge/>
            <w:shd w:val="clear" w:color="auto" w:fill="7F7F7F" w:themeFill="text1" w:themeFillTint="80"/>
            <w:hideMark/>
          </w:tcPr>
          <w:p w:rsidR="0011256D" w:rsidRPr="004C1013" w:rsidRDefault="0011256D" w:rsidP="009D58D5">
            <w:pPr>
              <w:pStyle w:val="zahltab"/>
            </w:pPr>
          </w:p>
        </w:tc>
        <w:tc>
          <w:tcPr>
            <w:tcW w:w="1148" w:type="dxa"/>
            <w:vMerge/>
            <w:shd w:val="clear" w:color="auto" w:fill="7F7F7F" w:themeFill="text1" w:themeFillTint="80"/>
            <w:hideMark/>
          </w:tcPr>
          <w:p w:rsidR="0011256D" w:rsidRPr="004C1013" w:rsidRDefault="0011256D" w:rsidP="009D58D5">
            <w:pPr>
              <w:pStyle w:val="zahltab"/>
            </w:pPr>
          </w:p>
        </w:tc>
      </w:tr>
      <w:tr w:rsidR="0011256D" w:rsidRPr="004C1013" w:rsidTr="0011256D">
        <w:trPr>
          <w:trHeight w:val="424"/>
        </w:trPr>
        <w:tc>
          <w:tcPr>
            <w:tcW w:w="14038" w:type="dxa"/>
            <w:gridSpan w:val="13"/>
            <w:shd w:val="clear" w:color="auto" w:fill="7F7F7F" w:themeFill="text1" w:themeFillTint="80"/>
          </w:tcPr>
          <w:p w:rsidR="0011256D" w:rsidRPr="0011256D" w:rsidRDefault="0011256D" w:rsidP="0011256D">
            <w:pPr>
              <w:rPr>
                <w:b/>
                <w:color w:val="FFFFFF" w:themeColor="background1"/>
              </w:rPr>
            </w:pPr>
            <w:r w:rsidRPr="0011256D">
              <w:rPr>
                <w:b/>
                <w:caps/>
                <w:color w:val="FFFFFF" w:themeColor="background1"/>
              </w:rPr>
              <w:t>Dĺžka siete</w:t>
            </w:r>
            <w:r w:rsidRPr="0011256D">
              <w:rPr>
                <w:b/>
                <w:color w:val="FFFFFF" w:themeColor="background1"/>
              </w:rPr>
              <w:t xml:space="preserve"> (km)</w:t>
            </w:r>
          </w:p>
        </w:tc>
      </w:tr>
      <w:tr w:rsidR="0011256D" w:rsidRPr="004C1013" w:rsidTr="009B2509">
        <w:trPr>
          <w:trHeight w:val="300"/>
        </w:trPr>
        <w:tc>
          <w:tcPr>
            <w:tcW w:w="1317" w:type="dxa"/>
            <w:hideMark/>
          </w:tcPr>
          <w:p w:rsidR="0011256D" w:rsidRPr="004C1013" w:rsidRDefault="0011256D" w:rsidP="00404B50">
            <w:pPr>
              <w:pStyle w:val="tabbielystyl"/>
            </w:pPr>
            <w:r w:rsidRPr="004C1013">
              <w:t>2004</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hideMark/>
          </w:tcPr>
          <w:p w:rsidR="0011256D" w:rsidRPr="004C1013" w:rsidRDefault="0011256D" w:rsidP="00404B50">
            <w:pPr>
              <w:pStyle w:val="tabbielystyl"/>
            </w:pPr>
            <w:r w:rsidRPr="004C1013">
              <w:t>- </w:t>
            </w:r>
          </w:p>
        </w:tc>
        <w:tc>
          <w:tcPr>
            <w:tcW w:w="1330"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2 034,00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2005</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1.</w:t>
            </w:r>
          </w:p>
        </w:tc>
        <w:tc>
          <w:tcPr>
            <w:tcW w:w="1330" w:type="dxa"/>
            <w:noWrap/>
            <w:hideMark/>
          </w:tcPr>
          <w:p w:rsidR="0011256D" w:rsidRPr="004C1013" w:rsidRDefault="0011256D" w:rsidP="00404B50">
            <w:pPr>
              <w:pStyle w:val="tabbielystyl"/>
            </w:pPr>
            <w:r w:rsidRPr="004C1013">
              <w:t>12 211</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2 035,00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2006</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2.</w:t>
            </w:r>
          </w:p>
        </w:tc>
        <w:tc>
          <w:tcPr>
            <w:tcW w:w="1330" w:type="dxa"/>
            <w:noWrap/>
            <w:hideMark/>
          </w:tcPr>
          <w:p w:rsidR="0011256D" w:rsidRPr="004C1013" w:rsidRDefault="0011256D" w:rsidP="00404B50">
            <w:pPr>
              <w:pStyle w:val="tabbielystyl"/>
            </w:pPr>
            <w:r w:rsidRPr="004C1013">
              <w:t>12 363</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3.</w:t>
            </w:r>
          </w:p>
        </w:tc>
        <w:tc>
          <w:tcPr>
            <w:tcW w:w="1148" w:type="dxa"/>
            <w:hideMark/>
          </w:tcPr>
          <w:p w:rsidR="0011256D" w:rsidRPr="004C1013" w:rsidRDefault="0011256D" w:rsidP="00404B50">
            <w:pPr>
              <w:pStyle w:val="tabbielystyl"/>
            </w:pPr>
            <w:r w:rsidRPr="004C1013">
              <w:t>2 061,80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2007</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3.</w:t>
            </w:r>
          </w:p>
        </w:tc>
        <w:tc>
          <w:tcPr>
            <w:tcW w:w="1330" w:type="dxa"/>
            <w:noWrap/>
            <w:hideMark/>
          </w:tcPr>
          <w:p w:rsidR="0011256D" w:rsidRPr="004C1013" w:rsidRDefault="0011256D" w:rsidP="00404B50">
            <w:pPr>
              <w:pStyle w:val="tabbielystyl"/>
            </w:pPr>
            <w:r w:rsidRPr="004C1013">
              <w:t>12 531</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949,9</w:t>
            </w:r>
          </w:p>
        </w:tc>
        <w:tc>
          <w:tcPr>
            <w:tcW w:w="1161" w:type="dxa"/>
            <w:hideMark/>
          </w:tcPr>
          <w:p w:rsidR="0011256D" w:rsidRPr="004C1013" w:rsidRDefault="0011256D" w:rsidP="00404B50">
            <w:pPr>
              <w:pStyle w:val="tabbielystyl"/>
            </w:pPr>
            <w:r w:rsidRPr="004C1013">
              <w:t>4.</w:t>
            </w:r>
          </w:p>
        </w:tc>
        <w:tc>
          <w:tcPr>
            <w:tcW w:w="1148" w:type="dxa"/>
            <w:hideMark/>
          </w:tcPr>
          <w:p w:rsidR="0011256D" w:rsidRPr="004C1013" w:rsidRDefault="0011256D" w:rsidP="00404B50">
            <w:pPr>
              <w:pStyle w:val="tabbielystyl"/>
            </w:pPr>
            <w:r w:rsidRPr="004C1013">
              <w:t>2 103,70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2008</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4.</w:t>
            </w:r>
          </w:p>
        </w:tc>
        <w:tc>
          <w:tcPr>
            <w:tcW w:w="1330" w:type="dxa"/>
            <w:noWrap/>
            <w:hideMark/>
          </w:tcPr>
          <w:p w:rsidR="0011256D" w:rsidRPr="004C1013" w:rsidRDefault="0011256D" w:rsidP="00404B50">
            <w:pPr>
              <w:pStyle w:val="tabbielystyl"/>
            </w:pPr>
            <w:r w:rsidRPr="004C1013">
              <w:t>12 678</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1 170,90</w:t>
            </w:r>
          </w:p>
        </w:tc>
        <w:tc>
          <w:tcPr>
            <w:tcW w:w="1161" w:type="dxa"/>
            <w:hideMark/>
          </w:tcPr>
          <w:p w:rsidR="0011256D" w:rsidRPr="004C1013" w:rsidRDefault="0011256D" w:rsidP="00404B50">
            <w:pPr>
              <w:pStyle w:val="tabbielystyl"/>
            </w:pPr>
            <w:r w:rsidRPr="004C1013">
              <w:t>5.</w:t>
            </w:r>
          </w:p>
        </w:tc>
        <w:tc>
          <w:tcPr>
            <w:tcW w:w="1148" w:type="dxa"/>
            <w:hideMark/>
          </w:tcPr>
          <w:p w:rsidR="0011256D" w:rsidRPr="004C1013" w:rsidRDefault="0011256D" w:rsidP="00404B50">
            <w:pPr>
              <w:pStyle w:val="tabbielystyl"/>
            </w:pPr>
            <w:r w:rsidRPr="004C1013">
              <w:t>2 103,70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2009</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5.</w:t>
            </w:r>
          </w:p>
        </w:tc>
        <w:tc>
          <w:tcPr>
            <w:tcW w:w="1330" w:type="dxa"/>
            <w:noWrap/>
            <w:hideMark/>
          </w:tcPr>
          <w:p w:rsidR="0011256D" w:rsidRPr="004C1013" w:rsidRDefault="0011256D" w:rsidP="00404B50">
            <w:pPr>
              <w:pStyle w:val="tabbielystyl"/>
            </w:pPr>
            <w:r w:rsidRPr="004C1013">
              <w:t>12 775</w:t>
            </w:r>
          </w:p>
        </w:tc>
        <w:tc>
          <w:tcPr>
            <w:tcW w:w="1161" w:type="dxa"/>
            <w:hideMark/>
          </w:tcPr>
          <w:p w:rsidR="0011256D" w:rsidRPr="004C1013" w:rsidRDefault="0011256D" w:rsidP="00404B50">
            <w:pPr>
              <w:pStyle w:val="tabbielystyl"/>
            </w:pPr>
            <w:r w:rsidRPr="004C1013">
              <w:t>3.</w:t>
            </w:r>
          </w:p>
        </w:tc>
        <w:tc>
          <w:tcPr>
            <w:tcW w:w="1148" w:type="dxa"/>
            <w:hideMark/>
          </w:tcPr>
          <w:p w:rsidR="0011256D" w:rsidRPr="004C1013" w:rsidRDefault="0011256D" w:rsidP="00404B50">
            <w:pPr>
              <w:pStyle w:val="tabbielystyl"/>
            </w:pPr>
            <w:r w:rsidRPr="004C1013">
              <w:t>1 261,50</w:t>
            </w:r>
          </w:p>
        </w:tc>
        <w:tc>
          <w:tcPr>
            <w:tcW w:w="1161" w:type="dxa"/>
            <w:hideMark/>
          </w:tcPr>
          <w:p w:rsidR="0011256D" w:rsidRPr="004C1013" w:rsidRDefault="0011256D" w:rsidP="00404B50">
            <w:pPr>
              <w:pStyle w:val="tabbielystyl"/>
            </w:pPr>
            <w:r w:rsidRPr="004C1013">
              <w:t>6.</w:t>
            </w:r>
          </w:p>
        </w:tc>
        <w:tc>
          <w:tcPr>
            <w:tcW w:w="1148" w:type="dxa"/>
            <w:hideMark/>
          </w:tcPr>
          <w:p w:rsidR="0011256D" w:rsidRPr="004C1013" w:rsidRDefault="0011256D" w:rsidP="00404B50">
            <w:pPr>
              <w:pStyle w:val="tabbielystyl"/>
            </w:pPr>
            <w:r w:rsidRPr="004C1013">
              <w:t>2 135,60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2010</w:t>
            </w:r>
          </w:p>
        </w:tc>
        <w:tc>
          <w:tcPr>
            <w:tcW w:w="1042" w:type="dxa"/>
            <w:hideMark/>
          </w:tcPr>
          <w:p w:rsidR="0011256D" w:rsidRPr="004C1013" w:rsidRDefault="0011256D" w:rsidP="00404B50">
            <w:pPr>
              <w:pStyle w:val="tabbielystyl"/>
            </w:pPr>
            <w:r w:rsidRPr="004C1013">
              <w:t>1.</w:t>
            </w:r>
          </w:p>
        </w:tc>
        <w:tc>
          <w:tcPr>
            <w:tcW w:w="2092" w:type="dxa"/>
            <w:gridSpan w:val="3"/>
            <w:hideMark/>
          </w:tcPr>
          <w:p w:rsidR="0011256D" w:rsidRPr="004C1013" w:rsidRDefault="0011256D" w:rsidP="00404B50">
            <w:pPr>
              <w:pStyle w:val="tabbielystyl"/>
            </w:pPr>
            <w:r w:rsidRPr="004C1013">
              <w:t>1 948,20</w:t>
            </w:r>
          </w:p>
        </w:tc>
        <w:tc>
          <w:tcPr>
            <w:tcW w:w="1330" w:type="dxa"/>
            <w:noWrap/>
            <w:hideMark/>
          </w:tcPr>
          <w:p w:rsidR="0011256D" w:rsidRPr="004C1013" w:rsidRDefault="0011256D" w:rsidP="00404B50">
            <w:pPr>
              <w:pStyle w:val="tabbielystyl"/>
            </w:pPr>
            <w:r w:rsidRPr="004C1013">
              <w:t>6.</w:t>
            </w:r>
          </w:p>
        </w:tc>
        <w:tc>
          <w:tcPr>
            <w:tcW w:w="1330" w:type="dxa"/>
            <w:noWrap/>
            <w:hideMark/>
          </w:tcPr>
          <w:p w:rsidR="0011256D" w:rsidRPr="004C1013" w:rsidRDefault="0011256D" w:rsidP="00404B50">
            <w:pPr>
              <w:pStyle w:val="tabbielystyl"/>
            </w:pPr>
            <w:r w:rsidRPr="004C1013">
              <w:t>12 788</w:t>
            </w:r>
          </w:p>
        </w:tc>
        <w:tc>
          <w:tcPr>
            <w:tcW w:w="1161" w:type="dxa"/>
            <w:hideMark/>
          </w:tcPr>
          <w:p w:rsidR="0011256D" w:rsidRPr="004C1013" w:rsidRDefault="0011256D" w:rsidP="00404B50">
            <w:pPr>
              <w:pStyle w:val="tabbielystyl"/>
            </w:pPr>
            <w:r w:rsidRPr="004C1013">
              <w:t>4.</w:t>
            </w:r>
          </w:p>
        </w:tc>
        <w:tc>
          <w:tcPr>
            <w:tcW w:w="1148" w:type="dxa"/>
            <w:hideMark/>
          </w:tcPr>
          <w:p w:rsidR="0011256D" w:rsidRPr="004C1013" w:rsidRDefault="0011256D" w:rsidP="00404B50">
            <w:pPr>
              <w:pStyle w:val="tabbielystyl"/>
            </w:pPr>
            <w:r w:rsidRPr="004C1013">
              <w:t>1 377,60</w:t>
            </w:r>
          </w:p>
        </w:tc>
        <w:tc>
          <w:tcPr>
            <w:tcW w:w="1161" w:type="dxa"/>
            <w:hideMark/>
          </w:tcPr>
          <w:p w:rsidR="0011256D" w:rsidRPr="004C1013" w:rsidRDefault="0011256D" w:rsidP="00404B50">
            <w:pPr>
              <w:pStyle w:val="tabbielystyl"/>
            </w:pPr>
            <w:r w:rsidRPr="004C1013">
              <w:t>7.</w:t>
            </w:r>
          </w:p>
        </w:tc>
        <w:tc>
          <w:tcPr>
            <w:tcW w:w="1148" w:type="dxa"/>
            <w:hideMark/>
          </w:tcPr>
          <w:p w:rsidR="0011256D" w:rsidRPr="004C1013" w:rsidRDefault="0011256D" w:rsidP="00404B50">
            <w:pPr>
              <w:pStyle w:val="tabbielystyl"/>
            </w:pPr>
            <w:r w:rsidRPr="004C1013">
              <w:t>2 175,70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2011</w:t>
            </w:r>
          </w:p>
        </w:tc>
        <w:tc>
          <w:tcPr>
            <w:tcW w:w="1042" w:type="dxa"/>
            <w:hideMark/>
          </w:tcPr>
          <w:p w:rsidR="0011256D" w:rsidRPr="004C1013" w:rsidRDefault="0011256D" w:rsidP="00404B50">
            <w:pPr>
              <w:pStyle w:val="tabbielystyl"/>
            </w:pPr>
            <w:r w:rsidRPr="004C1013">
              <w:t>2.</w:t>
            </w:r>
          </w:p>
        </w:tc>
        <w:tc>
          <w:tcPr>
            <w:tcW w:w="2092" w:type="dxa"/>
            <w:gridSpan w:val="3"/>
            <w:hideMark/>
          </w:tcPr>
          <w:p w:rsidR="0011256D" w:rsidRPr="004C1013" w:rsidRDefault="0011256D" w:rsidP="00404B50">
            <w:pPr>
              <w:pStyle w:val="tabbielystyl"/>
            </w:pPr>
            <w:r w:rsidRPr="004C1013">
              <w:t>1 999,13</w:t>
            </w:r>
          </w:p>
        </w:tc>
        <w:tc>
          <w:tcPr>
            <w:tcW w:w="1330" w:type="dxa"/>
            <w:noWrap/>
            <w:hideMark/>
          </w:tcPr>
          <w:p w:rsidR="0011256D" w:rsidRPr="004C1013" w:rsidRDefault="0011256D" w:rsidP="00404B50">
            <w:pPr>
              <w:pStyle w:val="tabbielystyl"/>
            </w:pPr>
            <w:r w:rsidRPr="004C1013">
              <w:t>7.</w:t>
            </w:r>
          </w:p>
        </w:tc>
        <w:tc>
          <w:tcPr>
            <w:tcW w:w="1330" w:type="dxa"/>
            <w:noWrap/>
            <w:hideMark/>
          </w:tcPr>
          <w:p w:rsidR="0011256D" w:rsidRPr="004C1013" w:rsidRDefault="0011256D" w:rsidP="00404B50">
            <w:pPr>
              <w:pStyle w:val="tabbielystyl"/>
            </w:pPr>
            <w:r w:rsidRPr="004C1013">
              <w:t>12 812</w:t>
            </w:r>
          </w:p>
        </w:tc>
        <w:tc>
          <w:tcPr>
            <w:tcW w:w="1161" w:type="dxa"/>
            <w:hideMark/>
          </w:tcPr>
          <w:p w:rsidR="0011256D" w:rsidRPr="004C1013" w:rsidRDefault="0011256D" w:rsidP="00404B50">
            <w:pPr>
              <w:pStyle w:val="tabbielystyl"/>
            </w:pPr>
            <w:r w:rsidRPr="004C1013">
              <w:t>5.</w:t>
            </w:r>
          </w:p>
        </w:tc>
        <w:tc>
          <w:tcPr>
            <w:tcW w:w="1148" w:type="dxa"/>
            <w:hideMark/>
          </w:tcPr>
          <w:p w:rsidR="0011256D" w:rsidRPr="004C1013" w:rsidRDefault="0011256D" w:rsidP="00404B50">
            <w:pPr>
              <w:pStyle w:val="tabbielystyl"/>
            </w:pPr>
            <w:r w:rsidRPr="004C1013">
              <w:t>1 389,20</w:t>
            </w:r>
          </w:p>
        </w:tc>
        <w:tc>
          <w:tcPr>
            <w:tcW w:w="1161" w:type="dxa"/>
            <w:hideMark/>
          </w:tcPr>
          <w:p w:rsidR="0011256D" w:rsidRPr="004C1013" w:rsidRDefault="0011256D" w:rsidP="00404B50">
            <w:pPr>
              <w:pStyle w:val="tabbielystyl"/>
            </w:pPr>
            <w:r w:rsidRPr="004C1013">
              <w:t>8.</w:t>
            </w:r>
          </w:p>
        </w:tc>
        <w:tc>
          <w:tcPr>
            <w:tcW w:w="1148" w:type="dxa"/>
            <w:hideMark/>
          </w:tcPr>
          <w:p w:rsidR="0011256D" w:rsidRPr="004C1013" w:rsidRDefault="0011256D" w:rsidP="00404B50">
            <w:pPr>
              <w:pStyle w:val="tabbielystyl"/>
            </w:pPr>
            <w:r w:rsidRPr="004C1013">
              <w:t>2 175,70</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1 565,00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2012</w:t>
            </w:r>
          </w:p>
        </w:tc>
        <w:tc>
          <w:tcPr>
            <w:tcW w:w="1042" w:type="dxa"/>
            <w:hideMark/>
          </w:tcPr>
          <w:p w:rsidR="0011256D" w:rsidRPr="004C1013" w:rsidRDefault="0011256D" w:rsidP="00404B50">
            <w:pPr>
              <w:pStyle w:val="tabbielystyl"/>
            </w:pPr>
            <w:r w:rsidRPr="004C1013">
              <w:t>3.</w:t>
            </w:r>
          </w:p>
        </w:tc>
        <w:tc>
          <w:tcPr>
            <w:tcW w:w="2092" w:type="dxa"/>
            <w:gridSpan w:val="3"/>
            <w:hideMark/>
          </w:tcPr>
          <w:p w:rsidR="0011256D" w:rsidRPr="004C1013" w:rsidRDefault="0011256D" w:rsidP="00404B50">
            <w:pPr>
              <w:pStyle w:val="tabbielystyl"/>
            </w:pPr>
            <w:r w:rsidRPr="004C1013">
              <w:t>2 032,91</w:t>
            </w:r>
          </w:p>
        </w:tc>
        <w:tc>
          <w:tcPr>
            <w:tcW w:w="1330" w:type="dxa"/>
            <w:noWrap/>
            <w:hideMark/>
          </w:tcPr>
          <w:p w:rsidR="0011256D" w:rsidRPr="004C1013" w:rsidRDefault="0011256D" w:rsidP="00404B50">
            <w:pPr>
              <w:pStyle w:val="tabbielystyl"/>
            </w:pPr>
            <w:r w:rsidRPr="004C1013">
              <w:t>8.</w:t>
            </w:r>
          </w:p>
        </w:tc>
        <w:tc>
          <w:tcPr>
            <w:tcW w:w="1330" w:type="dxa"/>
            <w:noWrap/>
            <w:hideMark/>
          </w:tcPr>
          <w:p w:rsidR="0011256D" w:rsidRPr="004C1013" w:rsidRDefault="0011256D" w:rsidP="00404B50">
            <w:pPr>
              <w:pStyle w:val="tabbielystyl"/>
            </w:pPr>
            <w:r w:rsidRPr="004C1013">
              <w:t>13 999</w:t>
            </w:r>
          </w:p>
        </w:tc>
        <w:tc>
          <w:tcPr>
            <w:tcW w:w="1161" w:type="dxa"/>
            <w:hideMark/>
          </w:tcPr>
          <w:p w:rsidR="0011256D" w:rsidRPr="004C1013" w:rsidRDefault="0011256D" w:rsidP="00404B50">
            <w:pPr>
              <w:pStyle w:val="tabbielystyl"/>
            </w:pPr>
            <w:r w:rsidRPr="004C1013">
              <w:t>6.</w:t>
            </w:r>
          </w:p>
        </w:tc>
        <w:tc>
          <w:tcPr>
            <w:tcW w:w="1148" w:type="dxa"/>
            <w:hideMark/>
          </w:tcPr>
          <w:p w:rsidR="0011256D" w:rsidRPr="004C1013" w:rsidRDefault="0011256D" w:rsidP="00404B50">
            <w:pPr>
              <w:pStyle w:val="tabbielystyl"/>
            </w:pPr>
            <w:r w:rsidRPr="004C1013">
              <w:t>1 400,90</w:t>
            </w:r>
          </w:p>
        </w:tc>
        <w:tc>
          <w:tcPr>
            <w:tcW w:w="1161" w:type="dxa"/>
            <w:hideMark/>
          </w:tcPr>
          <w:p w:rsidR="0011256D" w:rsidRPr="004C1013" w:rsidRDefault="0011256D" w:rsidP="00404B50">
            <w:pPr>
              <w:pStyle w:val="tabbielystyl"/>
            </w:pPr>
            <w:r w:rsidRPr="004C1013">
              <w:t>9.</w:t>
            </w:r>
          </w:p>
        </w:tc>
        <w:tc>
          <w:tcPr>
            <w:tcW w:w="1148" w:type="dxa"/>
            <w:hideMark/>
          </w:tcPr>
          <w:p w:rsidR="0011256D" w:rsidRPr="004C1013" w:rsidRDefault="0011256D" w:rsidP="00404B50">
            <w:pPr>
              <w:pStyle w:val="tabbielystyl"/>
            </w:pPr>
            <w:r w:rsidRPr="004C1013">
              <w:t>2 177,40</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1 890,00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2013</w:t>
            </w:r>
          </w:p>
        </w:tc>
        <w:tc>
          <w:tcPr>
            <w:tcW w:w="1042" w:type="dxa"/>
            <w:hideMark/>
          </w:tcPr>
          <w:p w:rsidR="0011256D" w:rsidRPr="004C1013" w:rsidRDefault="0011256D" w:rsidP="00404B50">
            <w:pPr>
              <w:pStyle w:val="tabbielystyl"/>
            </w:pPr>
            <w:r w:rsidRPr="004C1013">
              <w:t>4.</w:t>
            </w:r>
          </w:p>
        </w:tc>
        <w:tc>
          <w:tcPr>
            <w:tcW w:w="2092" w:type="dxa"/>
            <w:gridSpan w:val="3"/>
            <w:hideMark/>
          </w:tcPr>
          <w:p w:rsidR="0011256D" w:rsidRPr="004C1013" w:rsidRDefault="0011256D" w:rsidP="00404B50">
            <w:pPr>
              <w:pStyle w:val="tabbielystyl"/>
            </w:pPr>
            <w:r w:rsidRPr="004C1013">
              <w:t>2 056,17</w:t>
            </w:r>
          </w:p>
        </w:tc>
        <w:tc>
          <w:tcPr>
            <w:tcW w:w="1330" w:type="dxa"/>
            <w:noWrap/>
            <w:hideMark/>
          </w:tcPr>
          <w:p w:rsidR="0011256D" w:rsidRPr="004C1013" w:rsidRDefault="0011256D" w:rsidP="00404B50">
            <w:pPr>
              <w:pStyle w:val="tabbielystyl"/>
            </w:pPr>
            <w:r w:rsidRPr="004C1013">
              <w:t>9.</w:t>
            </w:r>
          </w:p>
        </w:tc>
        <w:tc>
          <w:tcPr>
            <w:tcW w:w="1330" w:type="dxa"/>
            <w:noWrap/>
            <w:hideMark/>
          </w:tcPr>
          <w:p w:rsidR="0011256D" w:rsidRPr="004C1013" w:rsidRDefault="0011256D" w:rsidP="00404B50">
            <w:pPr>
              <w:pStyle w:val="tabbielystyl"/>
            </w:pPr>
            <w:r w:rsidRPr="004C1013">
              <w:t>14 064</w:t>
            </w:r>
          </w:p>
        </w:tc>
        <w:tc>
          <w:tcPr>
            <w:tcW w:w="1161" w:type="dxa"/>
            <w:hideMark/>
          </w:tcPr>
          <w:p w:rsidR="0011256D" w:rsidRPr="004C1013" w:rsidRDefault="0011256D" w:rsidP="00404B50">
            <w:pPr>
              <w:pStyle w:val="tabbielystyl"/>
            </w:pPr>
            <w:r w:rsidRPr="004C1013">
              <w:t>7.</w:t>
            </w:r>
          </w:p>
        </w:tc>
        <w:tc>
          <w:tcPr>
            <w:tcW w:w="1148" w:type="dxa"/>
            <w:hideMark/>
          </w:tcPr>
          <w:p w:rsidR="0011256D" w:rsidRPr="004C1013" w:rsidRDefault="0011256D" w:rsidP="00404B50">
            <w:pPr>
              <w:pStyle w:val="tabbielystyl"/>
            </w:pPr>
            <w:r w:rsidRPr="004C1013">
              <w:t>1 446,20</w:t>
            </w:r>
          </w:p>
        </w:tc>
        <w:tc>
          <w:tcPr>
            <w:tcW w:w="1161" w:type="dxa"/>
            <w:hideMark/>
          </w:tcPr>
          <w:p w:rsidR="0011256D" w:rsidRPr="004C1013" w:rsidRDefault="0011256D" w:rsidP="00404B50">
            <w:pPr>
              <w:pStyle w:val="tabbielystyl"/>
            </w:pPr>
            <w:r w:rsidRPr="004C1013">
              <w:t>10.</w:t>
            </w:r>
          </w:p>
        </w:tc>
        <w:tc>
          <w:tcPr>
            <w:tcW w:w="1148" w:type="dxa"/>
            <w:hideMark/>
          </w:tcPr>
          <w:p w:rsidR="0011256D" w:rsidRPr="004C1013" w:rsidRDefault="0011256D" w:rsidP="00404B50">
            <w:pPr>
              <w:pStyle w:val="tabbielystyl"/>
            </w:pPr>
            <w:r w:rsidRPr="004C1013">
              <w:t>2 177,40</w:t>
            </w:r>
          </w:p>
        </w:tc>
        <w:tc>
          <w:tcPr>
            <w:tcW w:w="1161" w:type="dxa"/>
            <w:hideMark/>
          </w:tcPr>
          <w:p w:rsidR="0011256D" w:rsidRPr="004C1013" w:rsidRDefault="0011256D" w:rsidP="00404B50">
            <w:pPr>
              <w:pStyle w:val="tabbielystyl"/>
            </w:pPr>
            <w:r w:rsidRPr="004C1013">
              <w:t>3.</w:t>
            </w:r>
          </w:p>
        </w:tc>
        <w:tc>
          <w:tcPr>
            <w:tcW w:w="1148" w:type="dxa"/>
            <w:hideMark/>
          </w:tcPr>
          <w:p w:rsidR="0011256D" w:rsidRPr="004C1013" w:rsidRDefault="0011256D" w:rsidP="00404B50">
            <w:pPr>
              <w:pStyle w:val="tabbielystyl"/>
            </w:pPr>
            <w:r w:rsidRPr="004C1013">
              <w:t>2 653,00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2014</w:t>
            </w:r>
          </w:p>
        </w:tc>
        <w:tc>
          <w:tcPr>
            <w:tcW w:w="1042" w:type="dxa"/>
            <w:hideMark/>
          </w:tcPr>
          <w:p w:rsidR="0011256D" w:rsidRPr="004C1013" w:rsidRDefault="0011256D" w:rsidP="00404B50">
            <w:pPr>
              <w:pStyle w:val="tabbielystyl"/>
            </w:pPr>
            <w:r w:rsidRPr="004C1013">
              <w:t>5.</w:t>
            </w:r>
          </w:p>
        </w:tc>
        <w:tc>
          <w:tcPr>
            <w:tcW w:w="2092" w:type="dxa"/>
            <w:gridSpan w:val="3"/>
            <w:hideMark/>
          </w:tcPr>
          <w:p w:rsidR="0011256D" w:rsidRPr="004C1013" w:rsidRDefault="0011256D" w:rsidP="00404B50">
            <w:pPr>
              <w:pStyle w:val="tabbielystyl"/>
            </w:pPr>
            <w:r w:rsidRPr="004C1013">
              <w:t>2 269,46</w:t>
            </w:r>
          </w:p>
        </w:tc>
        <w:tc>
          <w:tcPr>
            <w:tcW w:w="1330" w:type="dxa"/>
            <w:noWrap/>
            <w:hideMark/>
          </w:tcPr>
          <w:p w:rsidR="0011256D" w:rsidRPr="004C1013" w:rsidRDefault="0011256D" w:rsidP="00404B50">
            <w:pPr>
              <w:pStyle w:val="tabbielystyl"/>
            </w:pPr>
            <w:r w:rsidRPr="004C1013">
              <w:t>10.</w:t>
            </w:r>
          </w:p>
        </w:tc>
        <w:tc>
          <w:tcPr>
            <w:tcW w:w="1330" w:type="dxa"/>
            <w:noWrap/>
            <w:hideMark/>
          </w:tcPr>
          <w:p w:rsidR="0011256D" w:rsidRPr="004C1013" w:rsidRDefault="0011256D" w:rsidP="00404B50">
            <w:pPr>
              <w:pStyle w:val="tabbielystyl"/>
            </w:pPr>
            <w:r w:rsidRPr="004C1013">
              <w:t>14 136</w:t>
            </w:r>
          </w:p>
        </w:tc>
        <w:tc>
          <w:tcPr>
            <w:tcW w:w="1161" w:type="dxa"/>
            <w:hideMark/>
          </w:tcPr>
          <w:p w:rsidR="0011256D" w:rsidRPr="004C1013" w:rsidRDefault="0011256D" w:rsidP="00404B50">
            <w:pPr>
              <w:pStyle w:val="tabbielystyl"/>
            </w:pPr>
            <w:r w:rsidRPr="004C1013">
              <w:t>8.</w:t>
            </w:r>
          </w:p>
        </w:tc>
        <w:tc>
          <w:tcPr>
            <w:tcW w:w="1148" w:type="dxa"/>
            <w:hideMark/>
          </w:tcPr>
          <w:p w:rsidR="0011256D" w:rsidRPr="004C1013" w:rsidRDefault="0011256D" w:rsidP="00404B50">
            <w:pPr>
              <w:pStyle w:val="tabbielystyl"/>
            </w:pPr>
            <w:r w:rsidRPr="004C1013">
              <w:t>1 446,20</w:t>
            </w:r>
          </w:p>
        </w:tc>
        <w:tc>
          <w:tcPr>
            <w:tcW w:w="1161" w:type="dxa"/>
            <w:hideMark/>
          </w:tcPr>
          <w:p w:rsidR="0011256D" w:rsidRPr="004C1013" w:rsidRDefault="0011256D" w:rsidP="00404B50">
            <w:pPr>
              <w:pStyle w:val="tabbielystyl"/>
            </w:pPr>
            <w:r w:rsidRPr="004C1013">
              <w:t>11.</w:t>
            </w:r>
          </w:p>
        </w:tc>
        <w:tc>
          <w:tcPr>
            <w:tcW w:w="1148" w:type="dxa"/>
            <w:hideMark/>
          </w:tcPr>
          <w:p w:rsidR="0011256D" w:rsidRPr="004C1013" w:rsidRDefault="0011256D" w:rsidP="00404B50">
            <w:pPr>
              <w:pStyle w:val="tabbielystyl"/>
            </w:pPr>
            <w:r w:rsidRPr="004C1013">
              <w:t>2 183,90</w:t>
            </w:r>
          </w:p>
        </w:tc>
        <w:tc>
          <w:tcPr>
            <w:tcW w:w="1161" w:type="dxa"/>
            <w:hideMark/>
          </w:tcPr>
          <w:p w:rsidR="0011256D" w:rsidRPr="004C1013" w:rsidRDefault="0011256D" w:rsidP="00404B50">
            <w:pPr>
              <w:pStyle w:val="tabbielystyl"/>
            </w:pPr>
            <w:r w:rsidRPr="004C1013">
              <w:t>4.</w:t>
            </w:r>
          </w:p>
        </w:tc>
        <w:tc>
          <w:tcPr>
            <w:tcW w:w="1148" w:type="dxa"/>
            <w:hideMark/>
          </w:tcPr>
          <w:p w:rsidR="0011256D" w:rsidRPr="004C1013" w:rsidRDefault="0011256D" w:rsidP="00404B50">
            <w:pPr>
              <w:pStyle w:val="tabbielystyl"/>
            </w:pPr>
            <w:r w:rsidRPr="004C1013">
              <w:t>2 917,00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2015</w:t>
            </w:r>
          </w:p>
        </w:tc>
        <w:tc>
          <w:tcPr>
            <w:tcW w:w="1042" w:type="dxa"/>
            <w:hideMark/>
          </w:tcPr>
          <w:p w:rsidR="0011256D" w:rsidRPr="004C1013" w:rsidRDefault="0011256D" w:rsidP="00404B50">
            <w:pPr>
              <w:pStyle w:val="tabbielystyl"/>
            </w:pPr>
            <w:r w:rsidRPr="004C1013">
              <w:t>6.</w:t>
            </w:r>
          </w:p>
        </w:tc>
        <w:tc>
          <w:tcPr>
            <w:tcW w:w="2092" w:type="dxa"/>
            <w:gridSpan w:val="3"/>
            <w:hideMark/>
          </w:tcPr>
          <w:p w:rsidR="0011256D" w:rsidRPr="004C1013" w:rsidRDefault="0011256D" w:rsidP="00404B50">
            <w:pPr>
              <w:pStyle w:val="tabbielystyl"/>
            </w:pPr>
            <w:r w:rsidRPr="004C1013">
              <w:t>2 327,08</w:t>
            </w:r>
          </w:p>
        </w:tc>
        <w:tc>
          <w:tcPr>
            <w:tcW w:w="1330" w:type="dxa"/>
            <w:noWrap/>
            <w:hideMark/>
          </w:tcPr>
          <w:p w:rsidR="0011256D" w:rsidRPr="004C1013" w:rsidRDefault="0011256D" w:rsidP="00404B50">
            <w:pPr>
              <w:pStyle w:val="tabbielystyl"/>
            </w:pPr>
            <w:r w:rsidRPr="004C1013">
              <w:t>11.</w:t>
            </w:r>
          </w:p>
        </w:tc>
        <w:tc>
          <w:tcPr>
            <w:tcW w:w="1330" w:type="dxa"/>
            <w:noWrap/>
            <w:hideMark/>
          </w:tcPr>
          <w:p w:rsidR="0011256D" w:rsidRPr="004C1013" w:rsidRDefault="0011256D" w:rsidP="00404B50">
            <w:pPr>
              <w:pStyle w:val="tabbielystyl"/>
            </w:pPr>
            <w:r w:rsidRPr="004C1013">
              <w:t>15 252</w:t>
            </w:r>
          </w:p>
        </w:tc>
        <w:tc>
          <w:tcPr>
            <w:tcW w:w="1161" w:type="dxa"/>
            <w:hideMark/>
          </w:tcPr>
          <w:p w:rsidR="0011256D" w:rsidRPr="004C1013" w:rsidRDefault="0011256D" w:rsidP="00404B50">
            <w:pPr>
              <w:pStyle w:val="tabbielystyl"/>
            </w:pPr>
            <w:r w:rsidRPr="004C1013">
              <w:t>9.</w:t>
            </w:r>
          </w:p>
        </w:tc>
        <w:tc>
          <w:tcPr>
            <w:tcW w:w="1148" w:type="dxa"/>
            <w:hideMark/>
          </w:tcPr>
          <w:p w:rsidR="0011256D" w:rsidRPr="004C1013" w:rsidRDefault="0011256D" w:rsidP="00404B50">
            <w:pPr>
              <w:pStyle w:val="tabbielystyl"/>
            </w:pPr>
            <w:r w:rsidRPr="004C1013">
              <w:t>1 446,20</w:t>
            </w:r>
          </w:p>
        </w:tc>
        <w:tc>
          <w:tcPr>
            <w:tcW w:w="1161" w:type="dxa"/>
            <w:hideMark/>
          </w:tcPr>
          <w:p w:rsidR="0011256D" w:rsidRPr="004C1013" w:rsidRDefault="0011256D" w:rsidP="00404B50">
            <w:pPr>
              <w:pStyle w:val="tabbielystyl"/>
            </w:pPr>
            <w:r w:rsidRPr="004C1013">
              <w:t>12.</w:t>
            </w:r>
          </w:p>
        </w:tc>
        <w:tc>
          <w:tcPr>
            <w:tcW w:w="1148" w:type="dxa"/>
            <w:hideMark/>
          </w:tcPr>
          <w:p w:rsidR="0011256D" w:rsidRPr="004C1013" w:rsidRDefault="0011256D" w:rsidP="00404B50">
            <w:pPr>
              <w:pStyle w:val="tabbielystyl"/>
            </w:pPr>
            <w:r w:rsidRPr="004C1013">
              <w:t>2 199,00</w:t>
            </w:r>
          </w:p>
        </w:tc>
        <w:tc>
          <w:tcPr>
            <w:tcW w:w="1161" w:type="dxa"/>
            <w:hideMark/>
          </w:tcPr>
          <w:p w:rsidR="0011256D" w:rsidRPr="004C1013" w:rsidRDefault="0011256D" w:rsidP="00404B50">
            <w:pPr>
              <w:pStyle w:val="tabbielystyl"/>
            </w:pPr>
            <w:r w:rsidRPr="004C1013">
              <w:t>5.</w:t>
            </w:r>
          </w:p>
        </w:tc>
        <w:tc>
          <w:tcPr>
            <w:tcW w:w="1148" w:type="dxa"/>
            <w:hideMark/>
          </w:tcPr>
          <w:p w:rsidR="0011256D" w:rsidRPr="004C1013" w:rsidRDefault="0011256D" w:rsidP="00404B50">
            <w:pPr>
              <w:pStyle w:val="tabbielystyl"/>
            </w:pPr>
            <w:r w:rsidRPr="004C1013">
              <w:t>3 168,00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2016</w:t>
            </w:r>
          </w:p>
        </w:tc>
        <w:tc>
          <w:tcPr>
            <w:tcW w:w="1042" w:type="dxa"/>
            <w:hideMark/>
          </w:tcPr>
          <w:p w:rsidR="0011256D" w:rsidRPr="004C1013" w:rsidRDefault="0011256D" w:rsidP="00404B50">
            <w:pPr>
              <w:pStyle w:val="tabbielystyl"/>
            </w:pPr>
            <w:r w:rsidRPr="004C1013">
              <w:t>7.</w:t>
            </w:r>
          </w:p>
        </w:tc>
        <w:tc>
          <w:tcPr>
            <w:tcW w:w="2092" w:type="dxa"/>
            <w:gridSpan w:val="3"/>
            <w:hideMark/>
          </w:tcPr>
          <w:p w:rsidR="0011256D" w:rsidRPr="004C1013" w:rsidRDefault="0011256D" w:rsidP="00404B50">
            <w:pPr>
              <w:pStyle w:val="tabbielystyl"/>
            </w:pPr>
            <w:r w:rsidRPr="004C1013">
              <w:t>2 345,09</w:t>
            </w:r>
          </w:p>
        </w:tc>
        <w:tc>
          <w:tcPr>
            <w:tcW w:w="1330" w:type="dxa"/>
            <w:noWrap/>
            <w:hideMark/>
          </w:tcPr>
          <w:p w:rsidR="0011256D" w:rsidRPr="004C1013" w:rsidRDefault="0011256D" w:rsidP="00404B50">
            <w:pPr>
              <w:pStyle w:val="tabbielystyl"/>
            </w:pPr>
            <w:r w:rsidRPr="004C1013">
              <w:t>12.</w:t>
            </w:r>
          </w:p>
        </w:tc>
        <w:tc>
          <w:tcPr>
            <w:tcW w:w="1330" w:type="dxa"/>
            <w:noWrap/>
            <w:hideMark/>
          </w:tcPr>
          <w:p w:rsidR="0011256D" w:rsidRPr="004C1013" w:rsidRDefault="0011256D" w:rsidP="00404B50">
            <w:pPr>
              <w:pStyle w:val="tabbielystyl"/>
            </w:pPr>
            <w:r w:rsidRPr="004C1013">
              <w:t>15 276</w:t>
            </w:r>
          </w:p>
        </w:tc>
        <w:tc>
          <w:tcPr>
            <w:tcW w:w="1161" w:type="dxa"/>
            <w:hideMark/>
          </w:tcPr>
          <w:p w:rsidR="0011256D" w:rsidRPr="004C1013" w:rsidRDefault="0011256D" w:rsidP="00404B50">
            <w:pPr>
              <w:pStyle w:val="tabbielystyl"/>
            </w:pPr>
            <w:r w:rsidRPr="004C1013">
              <w:t>10.</w:t>
            </w:r>
          </w:p>
        </w:tc>
        <w:tc>
          <w:tcPr>
            <w:tcW w:w="1148" w:type="dxa"/>
            <w:hideMark/>
          </w:tcPr>
          <w:p w:rsidR="0011256D" w:rsidRPr="004C1013" w:rsidRDefault="0011256D" w:rsidP="00404B50">
            <w:pPr>
              <w:pStyle w:val="tabbielystyl"/>
            </w:pPr>
            <w:r w:rsidRPr="004C1013">
              <w:t>1 449,90</w:t>
            </w:r>
          </w:p>
        </w:tc>
        <w:tc>
          <w:tcPr>
            <w:tcW w:w="1161" w:type="dxa"/>
            <w:hideMark/>
          </w:tcPr>
          <w:p w:rsidR="0011256D" w:rsidRPr="004C1013" w:rsidRDefault="0011256D" w:rsidP="00404B50">
            <w:pPr>
              <w:pStyle w:val="tabbielystyl"/>
            </w:pPr>
            <w:r w:rsidRPr="004C1013">
              <w:t>13.</w:t>
            </w:r>
          </w:p>
        </w:tc>
        <w:tc>
          <w:tcPr>
            <w:tcW w:w="1148" w:type="dxa"/>
            <w:hideMark/>
          </w:tcPr>
          <w:p w:rsidR="0011256D" w:rsidRPr="004C1013" w:rsidRDefault="0011256D" w:rsidP="00404B50">
            <w:pPr>
              <w:pStyle w:val="tabbielystyl"/>
            </w:pPr>
            <w:r w:rsidRPr="004C1013">
              <w:t>2 199,00</w:t>
            </w:r>
          </w:p>
        </w:tc>
        <w:tc>
          <w:tcPr>
            <w:tcW w:w="1161" w:type="dxa"/>
            <w:hideMark/>
          </w:tcPr>
          <w:p w:rsidR="0011256D" w:rsidRPr="004C1013" w:rsidRDefault="0011256D" w:rsidP="00404B50">
            <w:pPr>
              <w:pStyle w:val="tabbielystyl"/>
            </w:pPr>
            <w:r w:rsidRPr="004C1013">
              <w:t>6.</w:t>
            </w:r>
          </w:p>
        </w:tc>
        <w:tc>
          <w:tcPr>
            <w:tcW w:w="1148" w:type="dxa"/>
            <w:hideMark/>
          </w:tcPr>
          <w:p w:rsidR="0011256D" w:rsidRPr="004C1013" w:rsidRDefault="0011256D" w:rsidP="00404B50">
            <w:pPr>
              <w:pStyle w:val="tabbielystyl"/>
            </w:pPr>
            <w:r w:rsidRPr="004C1013">
              <w:t>3 318,00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2017</w:t>
            </w:r>
          </w:p>
        </w:tc>
        <w:tc>
          <w:tcPr>
            <w:tcW w:w="1042" w:type="dxa"/>
            <w:hideMark/>
          </w:tcPr>
          <w:p w:rsidR="0011256D" w:rsidRPr="004C1013" w:rsidRDefault="0011256D" w:rsidP="00404B50">
            <w:pPr>
              <w:pStyle w:val="tabbielystyl"/>
            </w:pPr>
            <w:r w:rsidRPr="004C1013">
              <w:t>8.</w:t>
            </w:r>
          </w:p>
        </w:tc>
        <w:tc>
          <w:tcPr>
            <w:tcW w:w="2092" w:type="dxa"/>
            <w:gridSpan w:val="3"/>
            <w:hideMark/>
          </w:tcPr>
          <w:p w:rsidR="0011256D" w:rsidRPr="004C1013" w:rsidRDefault="0011256D" w:rsidP="00404B50">
            <w:pPr>
              <w:pStyle w:val="tabbielystyl"/>
            </w:pPr>
            <w:r w:rsidRPr="004C1013">
              <w:t>2 365,95</w:t>
            </w:r>
          </w:p>
        </w:tc>
        <w:tc>
          <w:tcPr>
            <w:tcW w:w="1330" w:type="dxa"/>
            <w:noWrap/>
            <w:hideMark/>
          </w:tcPr>
          <w:p w:rsidR="0011256D" w:rsidRPr="004C1013" w:rsidRDefault="0011256D" w:rsidP="00404B50">
            <w:pPr>
              <w:pStyle w:val="tabbielystyl"/>
            </w:pPr>
            <w:r w:rsidRPr="004C1013">
              <w:t>13.</w:t>
            </w:r>
          </w:p>
        </w:tc>
        <w:tc>
          <w:tcPr>
            <w:tcW w:w="1330" w:type="dxa"/>
            <w:noWrap/>
            <w:hideMark/>
          </w:tcPr>
          <w:p w:rsidR="0011256D" w:rsidRPr="004C1013" w:rsidRDefault="0011256D" w:rsidP="00404B50">
            <w:pPr>
              <w:pStyle w:val="tabbielystyl"/>
            </w:pPr>
            <w:r w:rsidRPr="004C1013">
              <w:t>15 306</w:t>
            </w:r>
          </w:p>
        </w:tc>
        <w:tc>
          <w:tcPr>
            <w:tcW w:w="1161" w:type="dxa"/>
            <w:hideMark/>
          </w:tcPr>
          <w:p w:rsidR="0011256D" w:rsidRPr="004C1013" w:rsidRDefault="0011256D" w:rsidP="00404B50">
            <w:pPr>
              <w:pStyle w:val="tabbielystyl"/>
            </w:pPr>
            <w:r w:rsidRPr="004C1013">
              <w:t>11.</w:t>
            </w:r>
          </w:p>
        </w:tc>
        <w:tc>
          <w:tcPr>
            <w:tcW w:w="1148" w:type="dxa"/>
            <w:hideMark/>
          </w:tcPr>
          <w:p w:rsidR="0011256D" w:rsidRPr="004C1013" w:rsidRDefault="0011256D" w:rsidP="00404B50">
            <w:pPr>
              <w:pStyle w:val="tabbielystyl"/>
            </w:pPr>
            <w:r w:rsidRPr="004C1013">
              <w:t>1 472,20</w:t>
            </w:r>
          </w:p>
        </w:tc>
        <w:tc>
          <w:tcPr>
            <w:tcW w:w="1161" w:type="dxa"/>
            <w:hideMark/>
          </w:tcPr>
          <w:p w:rsidR="0011256D" w:rsidRPr="004C1013" w:rsidRDefault="0011256D" w:rsidP="00404B50">
            <w:pPr>
              <w:pStyle w:val="tabbielystyl"/>
            </w:pPr>
            <w:r w:rsidRPr="004C1013">
              <w:t>14.</w:t>
            </w:r>
          </w:p>
        </w:tc>
        <w:tc>
          <w:tcPr>
            <w:tcW w:w="1148" w:type="dxa"/>
            <w:hideMark/>
          </w:tcPr>
          <w:p w:rsidR="0011256D" w:rsidRPr="004C1013" w:rsidRDefault="0011256D" w:rsidP="00404B50">
            <w:pPr>
              <w:pStyle w:val="tabbielystyl"/>
            </w:pPr>
            <w:r w:rsidRPr="004C1013">
              <w:t>2 223,00</w:t>
            </w:r>
          </w:p>
        </w:tc>
        <w:tc>
          <w:tcPr>
            <w:tcW w:w="1161" w:type="dxa"/>
            <w:hideMark/>
          </w:tcPr>
          <w:p w:rsidR="0011256D" w:rsidRPr="004C1013" w:rsidRDefault="0011256D" w:rsidP="00404B50">
            <w:pPr>
              <w:pStyle w:val="tabbielystyl"/>
            </w:pPr>
            <w:r w:rsidRPr="004C1013">
              <w:t>7.</w:t>
            </w:r>
          </w:p>
        </w:tc>
        <w:tc>
          <w:tcPr>
            <w:tcW w:w="1148" w:type="dxa"/>
            <w:hideMark/>
          </w:tcPr>
          <w:p w:rsidR="0011256D" w:rsidRPr="004C1013" w:rsidRDefault="0011256D" w:rsidP="00404B50">
            <w:pPr>
              <w:pStyle w:val="tabbielystyl"/>
            </w:pPr>
            <w:r w:rsidRPr="004C1013">
              <w:t>3 678,00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2018</w:t>
            </w:r>
          </w:p>
        </w:tc>
        <w:tc>
          <w:tcPr>
            <w:tcW w:w="1042" w:type="dxa"/>
            <w:hideMark/>
          </w:tcPr>
          <w:p w:rsidR="0011256D" w:rsidRPr="004C1013" w:rsidRDefault="0011256D" w:rsidP="00404B50">
            <w:pPr>
              <w:pStyle w:val="tabbielystyl"/>
            </w:pPr>
            <w:r w:rsidRPr="004C1013">
              <w:t>9.</w:t>
            </w:r>
          </w:p>
        </w:tc>
        <w:tc>
          <w:tcPr>
            <w:tcW w:w="2092" w:type="dxa"/>
            <w:gridSpan w:val="3"/>
            <w:hideMark/>
          </w:tcPr>
          <w:p w:rsidR="0011256D" w:rsidRPr="004C1013" w:rsidRDefault="0011256D" w:rsidP="00404B50">
            <w:pPr>
              <w:pStyle w:val="tabbielystyl"/>
            </w:pPr>
            <w:r w:rsidRPr="004C1013">
              <w:t>2 365,95</w:t>
            </w:r>
          </w:p>
        </w:tc>
        <w:tc>
          <w:tcPr>
            <w:tcW w:w="1330" w:type="dxa"/>
            <w:noWrap/>
            <w:hideMark/>
          </w:tcPr>
          <w:p w:rsidR="0011256D" w:rsidRPr="004C1013" w:rsidRDefault="0011256D" w:rsidP="00404B50">
            <w:pPr>
              <w:pStyle w:val="tabbielystyl"/>
            </w:pPr>
            <w:r w:rsidRPr="004C1013">
              <w:t>14.</w:t>
            </w:r>
          </w:p>
        </w:tc>
        <w:tc>
          <w:tcPr>
            <w:tcW w:w="1330" w:type="dxa"/>
            <w:noWrap/>
            <w:hideMark/>
          </w:tcPr>
          <w:p w:rsidR="0011256D" w:rsidRPr="004C1013" w:rsidRDefault="0011256D" w:rsidP="00404B50">
            <w:pPr>
              <w:pStyle w:val="tabbielystyl"/>
            </w:pPr>
            <w:r w:rsidRPr="004C1013">
              <w:t>50 842</w:t>
            </w:r>
          </w:p>
        </w:tc>
        <w:tc>
          <w:tcPr>
            <w:tcW w:w="1161" w:type="dxa"/>
            <w:hideMark/>
          </w:tcPr>
          <w:p w:rsidR="0011256D" w:rsidRPr="004C1013" w:rsidRDefault="0011256D" w:rsidP="00404B50">
            <w:pPr>
              <w:pStyle w:val="tabbielystyl"/>
            </w:pPr>
            <w:r w:rsidRPr="004C1013">
              <w:t>12.</w:t>
            </w:r>
          </w:p>
        </w:tc>
        <w:tc>
          <w:tcPr>
            <w:tcW w:w="1148" w:type="dxa"/>
            <w:hideMark/>
          </w:tcPr>
          <w:p w:rsidR="0011256D" w:rsidRPr="004C1013" w:rsidRDefault="0011256D" w:rsidP="00404B50">
            <w:pPr>
              <w:pStyle w:val="tabbielystyl"/>
            </w:pPr>
            <w:r w:rsidRPr="004C1013">
              <w:t>1 476,20</w:t>
            </w:r>
          </w:p>
        </w:tc>
        <w:tc>
          <w:tcPr>
            <w:tcW w:w="1161" w:type="dxa"/>
            <w:hideMark/>
          </w:tcPr>
          <w:p w:rsidR="0011256D" w:rsidRPr="004C1013" w:rsidRDefault="0011256D" w:rsidP="00404B50">
            <w:pPr>
              <w:pStyle w:val="tabbielystyl"/>
            </w:pPr>
            <w:r w:rsidRPr="004C1013">
              <w:t>15.</w:t>
            </w:r>
          </w:p>
        </w:tc>
        <w:tc>
          <w:tcPr>
            <w:tcW w:w="1148" w:type="dxa"/>
            <w:hideMark/>
          </w:tcPr>
          <w:p w:rsidR="0011256D" w:rsidRPr="004C1013" w:rsidRDefault="0011256D" w:rsidP="00404B50">
            <w:pPr>
              <w:pStyle w:val="tabbielystyl"/>
            </w:pPr>
            <w:r w:rsidRPr="004C1013">
              <w:t>2 223,00</w:t>
            </w:r>
          </w:p>
        </w:tc>
        <w:tc>
          <w:tcPr>
            <w:tcW w:w="1161" w:type="dxa"/>
            <w:hideMark/>
          </w:tcPr>
          <w:p w:rsidR="0011256D" w:rsidRPr="004C1013" w:rsidRDefault="0011256D" w:rsidP="00404B50">
            <w:pPr>
              <w:pStyle w:val="tabbielystyl"/>
            </w:pPr>
            <w:r w:rsidRPr="004C1013">
              <w:t>8.</w:t>
            </w:r>
          </w:p>
        </w:tc>
        <w:tc>
          <w:tcPr>
            <w:tcW w:w="1148" w:type="dxa"/>
            <w:hideMark/>
          </w:tcPr>
          <w:p w:rsidR="0011256D" w:rsidRPr="004C1013" w:rsidRDefault="0011256D" w:rsidP="00404B50">
            <w:pPr>
              <w:pStyle w:val="tabbielystyl"/>
            </w:pPr>
            <w:r w:rsidRPr="004C1013">
              <w:t>3 731,00</w:t>
            </w:r>
          </w:p>
        </w:tc>
      </w:tr>
      <w:tr w:rsidR="0011256D" w:rsidRPr="004C1013" w:rsidTr="009B2509">
        <w:trPr>
          <w:trHeight w:val="330"/>
        </w:trPr>
        <w:tc>
          <w:tcPr>
            <w:tcW w:w="1317" w:type="dxa"/>
            <w:shd w:val="clear" w:color="auto" w:fill="BFBFBF" w:themeFill="background1" w:themeFillShade="BF"/>
            <w:hideMark/>
          </w:tcPr>
          <w:p w:rsidR="0011256D" w:rsidRPr="00404B50" w:rsidRDefault="0011256D" w:rsidP="00404B50">
            <w:pPr>
              <w:pStyle w:val="tabbielystyl"/>
              <w:rPr>
                <w:b/>
                <w:i/>
              </w:rPr>
            </w:pPr>
            <w:r w:rsidRPr="00404B50">
              <w:rPr>
                <w:b/>
                <w:i/>
              </w:rPr>
              <w:t>Ročný priemer </w:t>
            </w:r>
          </w:p>
        </w:tc>
        <w:tc>
          <w:tcPr>
            <w:tcW w:w="1042"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2092" w:type="dxa"/>
            <w:gridSpan w:val="3"/>
            <w:shd w:val="clear" w:color="auto" w:fill="BFBFBF" w:themeFill="background1" w:themeFillShade="BF"/>
            <w:hideMark/>
          </w:tcPr>
          <w:p w:rsidR="0011256D" w:rsidRPr="00404B50" w:rsidRDefault="0011256D" w:rsidP="00404B50">
            <w:pPr>
              <w:pStyle w:val="tabbielystyl"/>
              <w:rPr>
                <w:b/>
                <w:i/>
              </w:rPr>
            </w:pPr>
            <w:r w:rsidRPr="00404B50">
              <w:rPr>
                <w:b/>
                <w:i/>
              </w:rPr>
              <w:t>2 189,99</w:t>
            </w:r>
          </w:p>
        </w:tc>
        <w:tc>
          <w:tcPr>
            <w:tcW w:w="1330" w:type="dxa"/>
            <w:shd w:val="clear" w:color="auto" w:fill="BFBFBF" w:themeFill="background1" w:themeFillShade="BF"/>
            <w:noWrap/>
            <w:hideMark/>
          </w:tcPr>
          <w:p w:rsidR="0011256D" w:rsidRPr="00404B50" w:rsidRDefault="0011256D" w:rsidP="00404B50">
            <w:pPr>
              <w:pStyle w:val="tabbielystyl"/>
              <w:rPr>
                <w:b/>
                <w:i/>
              </w:rPr>
            </w:pPr>
            <w:r w:rsidRPr="00404B50">
              <w:rPr>
                <w:b/>
                <w:i/>
              </w:rPr>
              <w:t> </w:t>
            </w:r>
          </w:p>
        </w:tc>
        <w:tc>
          <w:tcPr>
            <w:tcW w:w="1330" w:type="dxa"/>
            <w:shd w:val="clear" w:color="auto" w:fill="BFBFBF" w:themeFill="background1" w:themeFillShade="BF"/>
            <w:noWrap/>
            <w:hideMark/>
          </w:tcPr>
          <w:p w:rsidR="0011256D" w:rsidRPr="00404B50" w:rsidRDefault="0011256D" w:rsidP="00404B50">
            <w:pPr>
              <w:pStyle w:val="tabbielystyl"/>
              <w:rPr>
                <w:b/>
                <w:i/>
              </w:rPr>
            </w:pPr>
            <w:r w:rsidRPr="00404B50">
              <w:rPr>
                <w:b/>
                <w:i/>
              </w:rPr>
              <w:t>16 217</w:t>
            </w:r>
          </w:p>
        </w:tc>
        <w:tc>
          <w:tcPr>
            <w:tcW w:w="1161"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404B50">
            <w:pPr>
              <w:pStyle w:val="tabbielystyl"/>
              <w:rPr>
                <w:b/>
                <w:i/>
              </w:rPr>
            </w:pPr>
            <w:r w:rsidRPr="00404B50">
              <w:rPr>
                <w:b/>
                <w:i/>
              </w:rPr>
              <w:t>1 357</w:t>
            </w:r>
          </w:p>
        </w:tc>
        <w:tc>
          <w:tcPr>
            <w:tcW w:w="1161"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404B50">
            <w:pPr>
              <w:pStyle w:val="tabbielystyl"/>
              <w:rPr>
                <w:b/>
                <w:i/>
              </w:rPr>
            </w:pPr>
            <w:r w:rsidRPr="00404B50">
              <w:rPr>
                <w:b/>
                <w:i/>
              </w:rPr>
              <w:t>2 147,19</w:t>
            </w:r>
          </w:p>
        </w:tc>
        <w:tc>
          <w:tcPr>
            <w:tcW w:w="1161"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404B50">
            <w:pPr>
              <w:pStyle w:val="tabbielystyl"/>
              <w:rPr>
                <w:b/>
                <w:i/>
              </w:rPr>
            </w:pPr>
            <w:r w:rsidRPr="00404B50">
              <w:rPr>
                <w:b/>
                <w:i/>
              </w:rPr>
              <w:t>2 865,00</w:t>
            </w:r>
          </w:p>
        </w:tc>
      </w:tr>
      <w:tr w:rsidR="0011256D" w:rsidRPr="004C1013" w:rsidTr="0011256D">
        <w:trPr>
          <w:trHeight w:val="349"/>
        </w:trPr>
        <w:tc>
          <w:tcPr>
            <w:tcW w:w="14038" w:type="dxa"/>
            <w:gridSpan w:val="13"/>
            <w:shd w:val="clear" w:color="auto" w:fill="7F7F7F" w:themeFill="text1" w:themeFillTint="80"/>
          </w:tcPr>
          <w:p w:rsidR="0011256D" w:rsidRPr="00404B50" w:rsidRDefault="0011256D" w:rsidP="0025522E">
            <w:pPr>
              <w:rPr>
                <w:b/>
              </w:rPr>
            </w:pPr>
            <w:r w:rsidRPr="00404B50">
              <w:rPr>
                <w:b/>
                <w:caps/>
                <w:color w:val="FFFFFF" w:themeColor="background1"/>
              </w:rPr>
              <w:t>Priemerná intenzita na 1km spoplatnenej siete</w:t>
            </w:r>
            <w:r w:rsidRPr="00404B50">
              <w:rPr>
                <w:b/>
                <w:color w:val="FFFFFF" w:themeColor="background1"/>
              </w:rPr>
              <w:t xml:space="preserve">  (voz.)</w:t>
            </w:r>
          </w:p>
        </w:tc>
      </w:tr>
      <w:tr w:rsidR="0011256D" w:rsidRPr="004C1013" w:rsidTr="009B2509">
        <w:trPr>
          <w:trHeight w:val="300"/>
        </w:trPr>
        <w:tc>
          <w:tcPr>
            <w:tcW w:w="1317" w:type="dxa"/>
            <w:hideMark/>
          </w:tcPr>
          <w:p w:rsidR="0011256D" w:rsidRPr="004C1013" w:rsidRDefault="0011256D" w:rsidP="00404B50">
            <w:pPr>
              <w:pStyle w:val="tabbielystyl"/>
            </w:pPr>
            <w:r w:rsidRPr="004C1013">
              <w:t>2004</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hideMark/>
          </w:tcPr>
          <w:p w:rsidR="0011256D" w:rsidRPr="004C1013" w:rsidRDefault="0011256D" w:rsidP="00404B50">
            <w:pPr>
              <w:pStyle w:val="tabbielystyl"/>
            </w:pPr>
            <w:r w:rsidRPr="004C1013">
              <w:t>- </w:t>
            </w:r>
          </w:p>
        </w:tc>
        <w:tc>
          <w:tcPr>
            <w:tcW w:w="1330"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3 637</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2005</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1.</w:t>
            </w:r>
          </w:p>
        </w:tc>
        <w:tc>
          <w:tcPr>
            <w:tcW w:w="1330" w:type="dxa"/>
            <w:noWrap/>
            <w:hideMark/>
          </w:tcPr>
          <w:p w:rsidR="0011256D" w:rsidRPr="004C1013" w:rsidRDefault="0011256D" w:rsidP="00404B50">
            <w:pPr>
              <w:pStyle w:val="tabbielystyl"/>
            </w:pPr>
            <w:r w:rsidRPr="004C1013">
              <w:t>5 385</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3 702</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5F2300">
            <w:pPr>
              <w:pStyle w:val="tabbielystyl"/>
            </w:pPr>
            <w:r w:rsidRPr="004C1013">
              <w:t>2006</w:t>
            </w:r>
          </w:p>
        </w:tc>
        <w:tc>
          <w:tcPr>
            <w:tcW w:w="1042" w:type="dxa"/>
            <w:hideMark/>
          </w:tcPr>
          <w:p w:rsidR="0011256D" w:rsidRPr="004C1013" w:rsidRDefault="0011256D" w:rsidP="005F2300">
            <w:pPr>
              <w:pStyle w:val="tabbielystyl"/>
            </w:pPr>
            <w:r w:rsidRPr="004C1013">
              <w:t>- </w:t>
            </w:r>
          </w:p>
        </w:tc>
        <w:tc>
          <w:tcPr>
            <w:tcW w:w="2092" w:type="dxa"/>
            <w:gridSpan w:val="3"/>
            <w:hideMark/>
          </w:tcPr>
          <w:p w:rsidR="0011256D" w:rsidRPr="004C1013" w:rsidRDefault="0011256D" w:rsidP="005F2300">
            <w:pPr>
              <w:pStyle w:val="tabbielystyl"/>
            </w:pPr>
            <w:r w:rsidRPr="004C1013">
              <w:t>- </w:t>
            </w:r>
          </w:p>
        </w:tc>
        <w:tc>
          <w:tcPr>
            <w:tcW w:w="1330" w:type="dxa"/>
            <w:noWrap/>
            <w:hideMark/>
          </w:tcPr>
          <w:p w:rsidR="0011256D" w:rsidRPr="004C1013" w:rsidRDefault="0011256D" w:rsidP="005F2300">
            <w:pPr>
              <w:pStyle w:val="tabbielystyl"/>
            </w:pPr>
            <w:r w:rsidRPr="004C1013">
              <w:t>2.</w:t>
            </w:r>
          </w:p>
        </w:tc>
        <w:tc>
          <w:tcPr>
            <w:tcW w:w="1330" w:type="dxa"/>
            <w:noWrap/>
            <w:hideMark/>
          </w:tcPr>
          <w:p w:rsidR="0011256D" w:rsidRPr="004C1013" w:rsidRDefault="0011256D" w:rsidP="005F2300">
            <w:pPr>
              <w:pStyle w:val="tabbielystyl"/>
            </w:pPr>
            <w:r w:rsidRPr="004C1013">
              <w:t>5 739</w:t>
            </w:r>
          </w:p>
        </w:tc>
        <w:tc>
          <w:tcPr>
            <w:tcW w:w="1161" w:type="dxa"/>
            <w:hideMark/>
          </w:tcPr>
          <w:p w:rsidR="0011256D" w:rsidRPr="004C1013" w:rsidRDefault="0011256D" w:rsidP="005F2300">
            <w:pPr>
              <w:pStyle w:val="tabbielystyl"/>
            </w:pPr>
            <w:r w:rsidRPr="004C1013">
              <w:t>- </w:t>
            </w:r>
          </w:p>
        </w:tc>
        <w:tc>
          <w:tcPr>
            <w:tcW w:w="1148" w:type="dxa"/>
            <w:hideMark/>
          </w:tcPr>
          <w:p w:rsidR="0011256D" w:rsidRPr="004C1013" w:rsidRDefault="0011256D" w:rsidP="005F2300">
            <w:pPr>
              <w:pStyle w:val="tabbielystyl"/>
            </w:pPr>
            <w:r w:rsidRPr="004C1013">
              <w:t>- </w:t>
            </w:r>
          </w:p>
        </w:tc>
        <w:tc>
          <w:tcPr>
            <w:tcW w:w="1161" w:type="dxa"/>
            <w:hideMark/>
          </w:tcPr>
          <w:p w:rsidR="0011256D" w:rsidRPr="004C1013" w:rsidRDefault="0011256D" w:rsidP="005F2300">
            <w:pPr>
              <w:pStyle w:val="tabbielystyl"/>
            </w:pPr>
            <w:r w:rsidRPr="004C1013">
              <w:t>3.</w:t>
            </w:r>
          </w:p>
        </w:tc>
        <w:tc>
          <w:tcPr>
            <w:tcW w:w="1148" w:type="dxa"/>
            <w:hideMark/>
          </w:tcPr>
          <w:p w:rsidR="0011256D" w:rsidRPr="004C1013" w:rsidRDefault="0011256D" w:rsidP="005F2300">
            <w:pPr>
              <w:pStyle w:val="tabbielystyl"/>
            </w:pPr>
            <w:r w:rsidRPr="004C1013">
              <w:t>3 907</w:t>
            </w:r>
          </w:p>
        </w:tc>
        <w:tc>
          <w:tcPr>
            <w:tcW w:w="1161" w:type="dxa"/>
            <w:hideMark/>
          </w:tcPr>
          <w:p w:rsidR="0011256D" w:rsidRPr="004C1013" w:rsidRDefault="0011256D" w:rsidP="005F2300">
            <w:pPr>
              <w:pStyle w:val="tabbielystyl"/>
            </w:pPr>
            <w:r w:rsidRPr="004C1013">
              <w:t>- </w:t>
            </w:r>
          </w:p>
        </w:tc>
        <w:tc>
          <w:tcPr>
            <w:tcW w:w="1148" w:type="dxa"/>
            <w:hideMark/>
          </w:tcPr>
          <w:p w:rsidR="0011256D" w:rsidRPr="004C1013" w:rsidRDefault="0011256D" w:rsidP="005F2300">
            <w:pPr>
              <w:pStyle w:val="tabbielystyl"/>
            </w:pPr>
            <w:r w:rsidRPr="004C1013">
              <w:t>- </w:t>
            </w:r>
          </w:p>
        </w:tc>
      </w:tr>
      <w:tr w:rsidR="0011256D" w:rsidRPr="004C1013" w:rsidTr="009B2509">
        <w:trPr>
          <w:trHeight w:val="300"/>
        </w:trPr>
        <w:tc>
          <w:tcPr>
            <w:tcW w:w="1317" w:type="dxa"/>
            <w:hideMark/>
          </w:tcPr>
          <w:p w:rsidR="0011256D" w:rsidRPr="004C1013" w:rsidRDefault="0011256D" w:rsidP="005F2300">
            <w:pPr>
              <w:pStyle w:val="tabbielystyl"/>
            </w:pPr>
            <w:r w:rsidRPr="004C1013">
              <w:t>2007</w:t>
            </w:r>
          </w:p>
        </w:tc>
        <w:tc>
          <w:tcPr>
            <w:tcW w:w="1042" w:type="dxa"/>
            <w:hideMark/>
          </w:tcPr>
          <w:p w:rsidR="0011256D" w:rsidRPr="004C1013" w:rsidRDefault="0011256D" w:rsidP="005F2300">
            <w:pPr>
              <w:pStyle w:val="tabbielystyl"/>
            </w:pPr>
            <w:r w:rsidRPr="004C1013">
              <w:t>- </w:t>
            </w:r>
          </w:p>
        </w:tc>
        <w:tc>
          <w:tcPr>
            <w:tcW w:w="2092" w:type="dxa"/>
            <w:gridSpan w:val="3"/>
            <w:hideMark/>
          </w:tcPr>
          <w:p w:rsidR="0011256D" w:rsidRPr="004C1013" w:rsidRDefault="0011256D" w:rsidP="005F2300">
            <w:pPr>
              <w:pStyle w:val="tabbielystyl"/>
            </w:pPr>
            <w:r w:rsidRPr="004C1013">
              <w:t>- </w:t>
            </w:r>
          </w:p>
        </w:tc>
        <w:tc>
          <w:tcPr>
            <w:tcW w:w="1330" w:type="dxa"/>
            <w:noWrap/>
            <w:hideMark/>
          </w:tcPr>
          <w:p w:rsidR="0011256D" w:rsidRPr="004C1013" w:rsidRDefault="0011256D" w:rsidP="005F2300">
            <w:pPr>
              <w:pStyle w:val="tabbielystyl"/>
            </w:pPr>
            <w:r w:rsidRPr="004C1013">
              <w:t>3.</w:t>
            </w:r>
          </w:p>
        </w:tc>
        <w:tc>
          <w:tcPr>
            <w:tcW w:w="1330" w:type="dxa"/>
            <w:noWrap/>
            <w:hideMark/>
          </w:tcPr>
          <w:p w:rsidR="0011256D" w:rsidRPr="004C1013" w:rsidRDefault="0011256D" w:rsidP="005F2300">
            <w:pPr>
              <w:pStyle w:val="tabbielystyl"/>
            </w:pPr>
            <w:r w:rsidRPr="004C1013">
              <w:t>5 996</w:t>
            </w:r>
          </w:p>
        </w:tc>
        <w:tc>
          <w:tcPr>
            <w:tcW w:w="1161" w:type="dxa"/>
            <w:hideMark/>
          </w:tcPr>
          <w:p w:rsidR="0011256D" w:rsidRPr="004C1013" w:rsidRDefault="0011256D" w:rsidP="005F2300">
            <w:pPr>
              <w:pStyle w:val="tabbielystyl"/>
            </w:pPr>
            <w:r w:rsidRPr="004C1013">
              <w:t>1.</w:t>
            </w:r>
          </w:p>
        </w:tc>
        <w:tc>
          <w:tcPr>
            <w:tcW w:w="1148" w:type="dxa"/>
            <w:hideMark/>
          </w:tcPr>
          <w:p w:rsidR="0011256D" w:rsidRPr="004C1013" w:rsidRDefault="0011256D" w:rsidP="005F2300">
            <w:pPr>
              <w:pStyle w:val="tabbielystyl"/>
            </w:pPr>
            <w:r w:rsidRPr="004C1013">
              <w:t>3887</w:t>
            </w:r>
          </w:p>
        </w:tc>
        <w:tc>
          <w:tcPr>
            <w:tcW w:w="1161" w:type="dxa"/>
            <w:hideMark/>
          </w:tcPr>
          <w:p w:rsidR="0011256D" w:rsidRPr="004C1013" w:rsidRDefault="0011256D" w:rsidP="005F2300">
            <w:pPr>
              <w:pStyle w:val="tabbielystyl"/>
            </w:pPr>
            <w:r w:rsidRPr="004C1013">
              <w:t>4.</w:t>
            </w:r>
          </w:p>
        </w:tc>
        <w:tc>
          <w:tcPr>
            <w:tcW w:w="1148" w:type="dxa"/>
            <w:hideMark/>
          </w:tcPr>
          <w:p w:rsidR="0011256D" w:rsidRPr="004C1013" w:rsidRDefault="0011256D" w:rsidP="005F2300">
            <w:pPr>
              <w:pStyle w:val="tabbielystyl"/>
            </w:pPr>
            <w:r w:rsidRPr="004C1013">
              <w:t>4 247</w:t>
            </w:r>
          </w:p>
        </w:tc>
        <w:tc>
          <w:tcPr>
            <w:tcW w:w="1161" w:type="dxa"/>
            <w:hideMark/>
          </w:tcPr>
          <w:p w:rsidR="0011256D" w:rsidRPr="004C1013" w:rsidRDefault="0011256D" w:rsidP="005F2300">
            <w:pPr>
              <w:pStyle w:val="tabbielystyl"/>
            </w:pPr>
            <w:r w:rsidRPr="004C1013">
              <w:t>- </w:t>
            </w:r>
          </w:p>
        </w:tc>
        <w:tc>
          <w:tcPr>
            <w:tcW w:w="1148" w:type="dxa"/>
            <w:hideMark/>
          </w:tcPr>
          <w:p w:rsidR="0011256D" w:rsidRPr="004C1013" w:rsidRDefault="0011256D" w:rsidP="005F2300">
            <w:pPr>
              <w:pStyle w:val="tabbielystyl"/>
            </w:pPr>
            <w:r w:rsidRPr="004C1013">
              <w:t>- </w:t>
            </w:r>
          </w:p>
        </w:tc>
      </w:tr>
      <w:tr w:rsidR="0011256D" w:rsidRPr="004C1013" w:rsidTr="009B2509">
        <w:trPr>
          <w:trHeight w:val="300"/>
        </w:trPr>
        <w:tc>
          <w:tcPr>
            <w:tcW w:w="1317" w:type="dxa"/>
            <w:hideMark/>
          </w:tcPr>
          <w:p w:rsidR="0011256D" w:rsidRPr="004C1013" w:rsidRDefault="0011256D" w:rsidP="005F2300">
            <w:pPr>
              <w:pStyle w:val="tabbielystyl"/>
            </w:pPr>
            <w:r w:rsidRPr="004C1013">
              <w:t>2008</w:t>
            </w:r>
          </w:p>
        </w:tc>
        <w:tc>
          <w:tcPr>
            <w:tcW w:w="1042" w:type="dxa"/>
            <w:hideMark/>
          </w:tcPr>
          <w:p w:rsidR="0011256D" w:rsidRPr="004C1013" w:rsidRDefault="0011256D" w:rsidP="005F2300">
            <w:pPr>
              <w:pStyle w:val="tabbielystyl"/>
            </w:pPr>
            <w:r w:rsidRPr="004C1013">
              <w:t>- </w:t>
            </w:r>
          </w:p>
        </w:tc>
        <w:tc>
          <w:tcPr>
            <w:tcW w:w="2092" w:type="dxa"/>
            <w:gridSpan w:val="3"/>
            <w:hideMark/>
          </w:tcPr>
          <w:p w:rsidR="0011256D" w:rsidRPr="004C1013" w:rsidRDefault="0011256D" w:rsidP="005F2300">
            <w:pPr>
              <w:pStyle w:val="tabbielystyl"/>
            </w:pPr>
            <w:r w:rsidRPr="004C1013">
              <w:t>- </w:t>
            </w:r>
          </w:p>
        </w:tc>
        <w:tc>
          <w:tcPr>
            <w:tcW w:w="1330" w:type="dxa"/>
            <w:noWrap/>
            <w:hideMark/>
          </w:tcPr>
          <w:p w:rsidR="0011256D" w:rsidRPr="004C1013" w:rsidRDefault="0011256D" w:rsidP="005F2300">
            <w:pPr>
              <w:pStyle w:val="tabbielystyl"/>
            </w:pPr>
            <w:r w:rsidRPr="004C1013">
              <w:t>4.</w:t>
            </w:r>
          </w:p>
        </w:tc>
        <w:tc>
          <w:tcPr>
            <w:tcW w:w="1330" w:type="dxa"/>
            <w:noWrap/>
            <w:hideMark/>
          </w:tcPr>
          <w:p w:rsidR="0011256D" w:rsidRPr="004C1013" w:rsidRDefault="0011256D" w:rsidP="005F2300">
            <w:pPr>
              <w:pStyle w:val="tabbielystyl"/>
            </w:pPr>
            <w:r w:rsidRPr="004C1013">
              <w:t>5 976</w:t>
            </w:r>
          </w:p>
        </w:tc>
        <w:tc>
          <w:tcPr>
            <w:tcW w:w="1161" w:type="dxa"/>
            <w:hideMark/>
          </w:tcPr>
          <w:p w:rsidR="0011256D" w:rsidRPr="004C1013" w:rsidRDefault="0011256D" w:rsidP="005F2300">
            <w:pPr>
              <w:pStyle w:val="tabbielystyl"/>
            </w:pPr>
            <w:r w:rsidRPr="004C1013">
              <w:t>2.</w:t>
            </w:r>
          </w:p>
        </w:tc>
        <w:tc>
          <w:tcPr>
            <w:tcW w:w="1148" w:type="dxa"/>
            <w:hideMark/>
          </w:tcPr>
          <w:p w:rsidR="0011256D" w:rsidRPr="004C1013" w:rsidRDefault="0011256D" w:rsidP="005F2300">
            <w:pPr>
              <w:pStyle w:val="tabbielystyl"/>
            </w:pPr>
            <w:r w:rsidRPr="004C1013">
              <w:t>3688</w:t>
            </w:r>
          </w:p>
        </w:tc>
        <w:tc>
          <w:tcPr>
            <w:tcW w:w="1161" w:type="dxa"/>
            <w:hideMark/>
          </w:tcPr>
          <w:p w:rsidR="0011256D" w:rsidRPr="004C1013" w:rsidRDefault="0011256D" w:rsidP="005F2300">
            <w:pPr>
              <w:pStyle w:val="tabbielystyl"/>
            </w:pPr>
            <w:r w:rsidRPr="004C1013">
              <w:t>5.</w:t>
            </w:r>
          </w:p>
        </w:tc>
        <w:tc>
          <w:tcPr>
            <w:tcW w:w="1148" w:type="dxa"/>
            <w:hideMark/>
          </w:tcPr>
          <w:p w:rsidR="0011256D" w:rsidRPr="004C1013" w:rsidRDefault="0011256D" w:rsidP="005F2300">
            <w:pPr>
              <w:pStyle w:val="tabbielystyl"/>
            </w:pPr>
            <w:r w:rsidRPr="004C1013">
              <w:t>4 238</w:t>
            </w:r>
          </w:p>
        </w:tc>
        <w:tc>
          <w:tcPr>
            <w:tcW w:w="1161" w:type="dxa"/>
            <w:hideMark/>
          </w:tcPr>
          <w:p w:rsidR="0011256D" w:rsidRPr="004C1013" w:rsidRDefault="0011256D" w:rsidP="005F2300">
            <w:pPr>
              <w:pStyle w:val="tabbielystyl"/>
            </w:pPr>
            <w:r w:rsidRPr="004C1013">
              <w:t>- </w:t>
            </w:r>
          </w:p>
        </w:tc>
        <w:tc>
          <w:tcPr>
            <w:tcW w:w="1148" w:type="dxa"/>
            <w:hideMark/>
          </w:tcPr>
          <w:p w:rsidR="0011256D" w:rsidRPr="004C1013" w:rsidRDefault="0011256D" w:rsidP="005F2300">
            <w:pPr>
              <w:pStyle w:val="tabbielystyl"/>
            </w:pPr>
            <w:r w:rsidRPr="004C1013">
              <w:t>- </w:t>
            </w:r>
          </w:p>
        </w:tc>
      </w:tr>
      <w:tr w:rsidR="0011256D" w:rsidRPr="004C1013" w:rsidTr="009B2509">
        <w:trPr>
          <w:trHeight w:val="300"/>
        </w:trPr>
        <w:tc>
          <w:tcPr>
            <w:tcW w:w="1317" w:type="dxa"/>
            <w:hideMark/>
          </w:tcPr>
          <w:p w:rsidR="0011256D" w:rsidRPr="004C1013" w:rsidRDefault="0011256D" w:rsidP="005F2300">
            <w:pPr>
              <w:pStyle w:val="tabbielystyl"/>
            </w:pPr>
            <w:r w:rsidRPr="004C1013">
              <w:t>2009</w:t>
            </w:r>
          </w:p>
        </w:tc>
        <w:tc>
          <w:tcPr>
            <w:tcW w:w="1042" w:type="dxa"/>
            <w:hideMark/>
          </w:tcPr>
          <w:p w:rsidR="0011256D" w:rsidRPr="004C1013" w:rsidRDefault="0011256D" w:rsidP="005F2300">
            <w:pPr>
              <w:pStyle w:val="tabbielystyl"/>
            </w:pPr>
            <w:r w:rsidRPr="004C1013">
              <w:t>- </w:t>
            </w:r>
          </w:p>
        </w:tc>
        <w:tc>
          <w:tcPr>
            <w:tcW w:w="2092" w:type="dxa"/>
            <w:gridSpan w:val="3"/>
            <w:hideMark/>
          </w:tcPr>
          <w:p w:rsidR="0011256D" w:rsidRPr="004C1013" w:rsidRDefault="0011256D" w:rsidP="005F2300">
            <w:pPr>
              <w:pStyle w:val="tabbielystyl"/>
            </w:pPr>
            <w:r w:rsidRPr="004C1013">
              <w:t>- </w:t>
            </w:r>
          </w:p>
        </w:tc>
        <w:tc>
          <w:tcPr>
            <w:tcW w:w="1330" w:type="dxa"/>
            <w:noWrap/>
            <w:hideMark/>
          </w:tcPr>
          <w:p w:rsidR="0011256D" w:rsidRPr="004C1013" w:rsidRDefault="0011256D" w:rsidP="005F2300">
            <w:pPr>
              <w:pStyle w:val="tabbielystyl"/>
            </w:pPr>
            <w:r w:rsidRPr="004C1013">
              <w:t>5.</w:t>
            </w:r>
          </w:p>
        </w:tc>
        <w:tc>
          <w:tcPr>
            <w:tcW w:w="1330" w:type="dxa"/>
            <w:noWrap/>
            <w:hideMark/>
          </w:tcPr>
          <w:p w:rsidR="0011256D" w:rsidRPr="004C1013" w:rsidRDefault="0011256D" w:rsidP="005F2300">
            <w:pPr>
              <w:pStyle w:val="tabbielystyl"/>
            </w:pPr>
            <w:r w:rsidRPr="004C1013">
              <w:t>5 224</w:t>
            </w:r>
          </w:p>
        </w:tc>
        <w:tc>
          <w:tcPr>
            <w:tcW w:w="1161" w:type="dxa"/>
            <w:hideMark/>
          </w:tcPr>
          <w:p w:rsidR="0011256D" w:rsidRPr="004C1013" w:rsidRDefault="0011256D" w:rsidP="005F2300">
            <w:pPr>
              <w:pStyle w:val="tabbielystyl"/>
            </w:pPr>
            <w:r w:rsidRPr="004C1013">
              <w:t>3.</w:t>
            </w:r>
          </w:p>
        </w:tc>
        <w:tc>
          <w:tcPr>
            <w:tcW w:w="1148" w:type="dxa"/>
            <w:hideMark/>
          </w:tcPr>
          <w:p w:rsidR="0011256D" w:rsidRPr="004C1013" w:rsidRDefault="0011256D" w:rsidP="005F2300">
            <w:pPr>
              <w:pStyle w:val="tabbielystyl"/>
            </w:pPr>
            <w:r w:rsidRPr="004C1013">
              <w:t>3128</w:t>
            </w:r>
          </w:p>
        </w:tc>
        <w:tc>
          <w:tcPr>
            <w:tcW w:w="1161" w:type="dxa"/>
            <w:hideMark/>
          </w:tcPr>
          <w:p w:rsidR="0011256D" w:rsidRPr="004C1013" w:rsidRDefault="0011256D" w:rsidP="005F2300">
            <w:pPr>
              <w:pStyle w:val="tabbielystyl"/>
            </w:pPr>
            <w:r w:rsidRPr="004C1013">
              <w:t>6.</w:t>
            </w:r>
          </w:p>
        </w:tc>
        <w:tc>
          <w:tcPr>
            <w:tcW w:w="1148" w:type="dxa"/>
            <w:hideMark/>
          </w:tcPr>
          <w:p w:rsidR="0011256D" w:rsidRPr="004C1013" w:rsidRDefault="0011256D" w:rsidP="005F2300">
            <w:pPr>
              <w:pStyle w:val="tabbielystyl"/>
            </w:pPr>
            <w:r w:rsidRPr="004C1013">
              <w:t>3 641</w:t>
            </w:r>
          </w:p>
        </w:tc>
        <w:tc>
          <w:tcPr>
            <w:tcW w:w="1161" w:type="dxa"/>
            <w:hideMark/>
          </w:tcPr>
          <w:p w:rsidR="0011256D" w:rsidRPr="004C1013" w:rsidRDefault="0011256D" w:rsidP="005F2300">
            <w:pPr>
              <w:pStyle w:val="tabbielystyl"/>
            </w:pPr>
            <w:r w:rsidRPr="004C1013">
              <w:t>- </w:t>
            </w:r>
          </w:p>
        </w:tc>
        <w:tc>
          <w:tcPr>
            <w:tcW w:w="1148" w:type="dxa"/>
            <w:hideMark/>
          </w:tcPr>
          <w:p w:rsidR="0011256D" w:rsidRPr="004C1013" w:rsidRDefault="0011256D" w:rsidP="005F2300">
            <w:pPr>
              <w:pStyle w:val="tabbielystyl"/>
            </w:pPr>
            <w:r w:rsidRPr="004C1013">
              <w:t>- </w:t>
            </w:r>
          </w:p>
        </w:tc>
      </w:tr>
      <w:tr w:rsidR="0011256D" w:rsidRPr="004C1013" w:rsidTr="009B2509">
        <w:trPr>
          <w:trHeight w:val="300"/>
        </w:trPr>
        <w:tc>
          <w:tcPr>
            <w:tcW w:w="1317" w:type="dxa"/>
            <w:hideMark/>
          </w:tcPr>
          <w:p w:rsidR="0011256D" w:rsidRPr="004C1013" w:rsidRDefault="0011256D" w:rsidP="005F2300">
            <w:pPr>
              <w:pStyle w:val="tabbielystyl"/>
            </w:pPr>
            <w:r w:rsidRPr="004C1013">
              <w:t>2010</w:t>
            </w:r>
          </w:p>
        </w:tc>
        <w:tc>
          <w:tcPr>
            <w:tcW w:w="1042" w:type="dxa"/>
            <w:hideMark/>
          </w:tcPr>
          <w:p w:rsidR="0011256D" w:rsidRPr="004C1013" w:rsidRDefault="0011256D" w:rsidP="005F2300">
            <w:pPr>
              <w:pStyle w:val="tabbielystyl"/>
            </w:pPr>
            <w:r w:rsidRPr="004C1013">
              <w:t>1.</w:t>
            </w:r>
          </w:p>
        </w:tc>
        <w:tc>
          <w:tcPr>
            <w:tcW w:w="2092" w:type="dxa"/>
            <w:gridSpan w:val="3"/>
            <w:vAlign w:val="bottom"/>
            <w:hideMark/>
          </w:tcPr>
          <w:p w:rsidR="0011256D" w:rsidRPr="004C1013" w:rsidRDefault="0011256D" w:rsidP="005F2300">
            <w:pPr>
              <w:pStyle w:val="tabbielystyl"/>
            </w:pPr>
            <w:r w:rsidRPr="005F2300">
              <w:t>1300</w:t>
            </w:r>
          </w:p>
        </w:tc>
        <w:tc>
          <w:tcPr>
            <w:tcW w:w="1330" w:type="dxa"/>
            <w:noWrap/>
            <w:hideMark/>
          </w:tcPr>
          <w:p w:rsidR="0011256D" w:rsidRPr="004C1013" w:rsidRDefault="0011256D" w:rsidP="005F2300">
            <w:pPr>
              <w:pStyle w:val="tabbielystyl"/>
            </w:pPr>
            <w:r w:rsidRPr="004C1013">
              <w:t>6.</w:t>
            </w:r>
          </w:p>
        </w:tc>
        <w:tc>
          <w:tcPr>
            <w:tcW w:w="1330" w:type="dxa"/>
            <w:noWrap/>
            <w:hideMark/>
          </w:tcPr>
          <w:p w:rsidR="0011256D" w:rsidRPr="004C1013" w:rsidRDefault="0011256D" w:rsidP="005F2300">
            <w:pPr>
              <w:pStyle w:val="tabbielystyl"/>
            </w:pPr>
            <w:r w:rsidRPr="004C1013">
              <w:t>5 513</w:t>
            </w:r>
          </w:p>
        </w:tc>
        <w:tc>
          <w:tcPr>
            <w:tcW w:w="1161" w:type="dxa"/>
            <w:hideMark/>
          </w:tcPr>
          <w:p w:rsidR="0011256D" w:rsidRPr="004C1013" w:rsidRDefault="0011256D" w:rsidP="005F2300">
            <w:pPr>
              <w:pStyle w:val="tabbielystyl"/>
            </w:pPr>
            <w:r w:rsidRPr="004C1013">
              <w:t>4.</w:t>
            </w:r>
          </w:p>
        </w:tc>
        <w:tc>
          <w:tcPr>
            <w:tcW w:w="1148" w:type="dxa"/>
            <w:hideMark/>
          </w:tcPr>
          <w:p w:rsidR="0011256D" w:rsidRPr="004C1013" w:rsidRDefault="0011256D" w:rsidP="005F2300">
            <w:pPr>
              <w:pStyle w:val="tabbielystyl"/>
            </w:pPr>
            <w:r w:rsidRPr="004C1013">
              <w:t>3694</w:t>
            </w:r>
          </w:p>
        </w:tc>
        <w:tc>
          <w:tcPr>
            <w:tcW w:w="1161" w:type="dxa"/>
            <w:hideMark/>
          </w:tcPr>
          <w:p w:rsidR="0011256D" w:rsidRPr="004C1013" w:rsidRDefault="0011256D" w:rsidP="005F2300">
            <w:pPr>
              <w:pStyle w:val="tabbielystyl"/>
            </w:pPr>
            <w:r w:rsidRPr="004C1013">
              <w:t>7.</w:t>
            </w:r>
          </w:p>
        </w:tc>
        <w:tc>
          <w:tcPr>
            <w:tcW w:w="1148" w:type="dxa"/>
            <w:hideMark/>
          </w:tcPr>
          <w:p w:rsidR="0011256D" w:rsidRPr="004C1013" w:rsidRDefault="0011256D" w:rsidP="005F2300">
            <w:pPr>
              <w:pStyle w:val="tabbielystyl"/>
            </w:pPr>
            <w:r w:rsidRPr="004C1013">
              <w:t>3 812</w:t>
            </w:r>
          </w:p>
        </w:tc>
        <w:tc>
          <w:tcPr>
            <w:tcW w:w="1161" w:type="dxa"/>
            <w:hideMark/>
          </w:tcPr>
          <w:p w:rsidR="0011256D" w:rsidRPr="004C1013" w:rsidRDefault="0011256D" w:rsidP="005F2300">
            <w:pPr>
              <w:pStyle w:val="tabbielystyl"/>
            </w:pPr>
            <w:r w:rsidRPr="004C1013">
              <w:t>- </w:t>
            </w:r>
          </w:p>
        </w:tc>
        <w:tc>
          <w:tcPr>
            <w:tcW w:w="1148" w:type="dxa"/>
            <w:hideMark/>
          </w:tcPr>
          <w:p w:rsidR="0011256D" w:rsidRPr="004C1013" w:rsidRDefault="0011256D" w:rsidP="005F2300">
            <w:pPr>
              <w:pStyle w:val="tabbielystyl"/>
            </w:pPr>
            <w:r w:rsidRPr="004C1013">
              <w:t>- </w:t>
            </w:r>
          </w:p>
        </w:tc>
      </w:tr>
      <w:tr w:rsidR="0011256D" w:rsidRPr="004C1013" w:rsidTr="009B2509">
        <w:trPr>
          <w:trHeight w:val="300"/>
        </w:trPr>
        <w:tc>
          <w:tcPr>
            <w:tcW w:w="1317" w:type="dxa"/>
            <w:hideMark/>
          </w:tcPr>
          <w:p w:rsidR="0011256D" w:rsidRPr="004C1013" w:rsidRDefault="0011256D" w:rsidP="005F2300">
            <w:pPr>
              <w:pStyle w:val="tabbielystyl"/>
            </w:pPr>
            <w:r w:rsidRPr="004C1013">
              <w:t>2011</w:t>
            </w:r>
          </w:p>
        </w:tc>
        <w:tc>
          <w:tcPr>
            <w:tcW w:w="1042" w:type="dxa"/>
            <w:hideMark/>
          </w:tcPr>
          <w:p w:rsidR="0011256D" w:rsidRPr="004C1013" w:rsidRDefault="0011256D" w:rsidP="005F2300">
            <w:pPr>
              <w:pStyle w:val="tabbielystyl"/>
            </w:pPr>
            <w:r w:rsidRPr="004C1013">
              <w:t>2.</w:t>
            </w:r>
          </w:p>
        </w:tc>
        <w:tc>
          <w:tcPr>
            <w:tcW w:w="2092" w:type="dxa"/>
            <w:gridSpan w:val="3"/>
            <w:vAlign w:val="bottom"/>
            <w:hideMark/>
          </w:tcPr>
          <w:p w:rsidR="0011256D" w:rsidRPr="004C1013" w:rsidRDefault="0011256D" w:rsidP="005F2300">
            <w:pPr>
              <w:pStyle w:val="tabbielystyl"/>
            </w:pPr>
            <w:r w:rsidRPr="005F2300">
              <w:t>1370</w:t>
            </w:r>
          </w:p>
        </w:tc>
        <w:tc>
          <w:tcPr>
            <w:tcW w:w="1330" w:type="dxa"/>
            <w:noWrap/>
            <w:hideMark/>
          </w:tcPr>
          <w:p w:rsidR="0011256D" w:rsidRPr="004C1013" w:rsidRDefault="0011256D" w:rsidP="005F2300">
            <w:pPr>
              <w:pStyle w:val="tabbielystyl"/>
            </w:pPr>
            <w:r w:rsidRPr="004C1013">
              <w:t>7.</w:t>
            </w:r>
          </w:p>
        </w:tc>
        <w:tc>
          <w:tcPr>
            <w:tcW w:w="1330" w:type="dxa"/>
            <w:noWrap/>
            <w:hideMark/>
          </w:tcPr>
          <w:p w:rsidR="0011256D" w:rsidRPr="004C1013" w:rsidRDefault="0011256D" w:rsidP="005F2300">
            <w:pPr>
              <w:pStyle w:val="tabbielystyl"/>
            </w:pPr>
            <w:r w:rsidRPr="004C1013">
              <w:t>5 707</w:t>
            </w:r>
          </w:p>
        </w:tc>
        <w:tc>
          <w:tcPr>
            <w:tcW w:w="1161" w:type="dxa"/>
            <w:hideMark/>
          </w:tcPr>
          <w:p w:rsidR="0011256D" w:rsidRPr="004C1013" w:rsidRDefault="0011256D" w:rsidP="005F2300">
            <w:pPr>
              <w:pStyle w:val="tabbielystyl"/>
            </w:pPr>
            <w:r w:rsidRPr="004C1013">
              <w:t>5.</w:t>
            </w:r>
          </w:p>
        </w:tc>
        <w:tc>
          <w:tcPr>
            <w:tcW w:w="1148" w:type="dxa"/>
            <w:hideMark/>
          </w:tcPr>
          <w:p w:rsidR="0011256D" w:rsidRPr="004C1013" w:rsidRDefault="0011256D" w:rsidP="005F2300">
            <w:pPr>
              <w:pStyle w:val="tabbielystyl"/>
            </w:pPr>
            <w:r w:rsidRPr="004C1013">
              <w:t>3974</w:t>
            </w:r>
          </w:p>
        </w:tc>
        <w:tc>
          <w:tcPr>
            <w:tcW w:w="1161" w:type="dxa"/>
            <w:hideMark/>
          </w:tcPr>
          <w:p w:rsidR="0011256D" w:rsidRPr="004C1013" w:rsidRDefault="0011256D" w:rsidP="005F2300">
            <w:pPr>
              <w:pStyle w:val="tabbielystyl"/>
            </w:pPr>
            <w:r w:rsidRPr="004C1013">
              <w:t>8.</w:t>
            </w:r>
          </w:p>
        </w:tc>
        <w:tc>
          <w:tcPr>
            <w:tcW w:w="1148" w:type="dxa"/>
            <w:hideMark/>
          </w:tcPr>
          <w:p w:rsidR="0011256D" w:rsidRPr="004C1013" w:rsidRDefault="0011256D" w:rsidP="005F2300">
            <w:pPr>
              <w:pStyle w:val="tabbielystyl"/>
            </w:pPr>
            <w:r w:rsidRPr="004C1013">
              <w:t>3 953</w:t>
            </w:r>
          </w:p>
        </w:tc>
        <w:tc>
          <w:tcPr>
            <w:tcW w:w="1161" w:type="dxa"/>
            <w:hideMark/>
          </w:tcPr>
          <w:p w:rsidR="0011256D" w:rsidRPr="004C1013" w:rsidRDefault="0011256D" w:rsidP="005F2300">
            <w:pPr>
              <w:pStyle w:val="tabbielystyl"/>
            </w:pPr>
            <w:r w:rsidRPr="004C1013">
              <w:t>1.</w:t>
            </w:r>
          </w:p>
        </w:tc>
        <w:tc>
          <w:tcPr>
            <w:tcW w:w="1148" w:type="dxa"/>
            <w:hideMark/>
          </w:tcPr>
          <w:p w:rsidR="0011256D" w:rsidRPr="004C1013" w:rsidRDefault="0011256D" w:rsidP="005F2300">
            <w:pPr>
              <w:pStyle w:val="tabbielystyl"/>
            </w:pPr>
            <w:r w:rsidRPr="004C1013">
              <w:t>3 992</w:t>
            </w:r>
          </w:p>
        </w:tc>
      </w:tr>
      <w:tr w:rsidR="0011256D" w:rsidRPr="004C1013" w:rsidTr="009B2509">
        <w:trPr>
          <w:trHeight w:val="300"/>
        </w:trPr>
        <w:tc>
          <w:tcPr>
            <w:tcW w:w="1317" w:type="dxa"/>
            <w:hideMark/>
          </w:tcPr>
          <w:p w:rsidR="0011256D" w:rsidRPr="004C1013" w:rsidRDefault="0011256D" w:rsidP="005F2300">
            <w:pPr>
              <w:pStyle w:val="tabbielystyl"/>
            </w:pPr>
            <w:r w:rsidRPr="004C1013">
              <w:t>2012</w:t>
            </w:r>
          </w:p>
        </w:tc>
        <w:tc>
          <w:tcPr>
            <w:tcW w:w="1042" w:type="dxa"/>
            <w:hideMark/>
          </w:tcPr>
          <w:p w:rsidR="0011256D" w:rsidRPr="004C1013" w:rsidRDefault="0011256D" w:rsidP="005F2300">
            <w:pPr>
              <w:pStyle w:val="tabbielystyl"/>
            </w:pPr>
            <w:r w:rsidRPr="004C1013">
              <w:t>3.</w:t>
            </w:r>
          </w:p>
        </w:tc>
        <w:tc>
          <w:tcPr>
            <w:tcW w:w="2092" w:type="dxa"/>
            <w:gridSpan w:val="3"/>
            <w:vAlign w:val="bottom"/>
            <w:hideMark/>
          </w:tcPr>
          <w:p w:rsidR="0011256D" w:rsidRPr="004C1013" w:rsidRDefault="0011256D" w:rsidP="005F2300">
            <w:pPr>
              <w:pStyle w:val="tabbielystyl"/>
            </w:pPr>
            <w:r w:rsidRPr="005F2300">
              <w:t>1362</w:t>
            </w:r>
          </w:p>
        </w:tc>
        <w:tc>
          <w:tcPr>
            <w:tcW w:w="1330" w:type="dxa"/>
            <w:noWrap/>
            <w:hideMark/>
          </w:tcPr>
          <w:p w:rsidR="0011256D" w:rsidRPr="004C1013" w:rsidRDefault="0011256D" w:rsidP="005F2300">
            <w:pPr>
              <w:pStyle w:val="tabbielystyl"/>
            </w:pPr>
            <w:r w:rsidRPr="004C1013">
              <w:t>8.</w:t>
            </w:r>
          </w:p>
        </w:tc>
        <w:tc>
          <w:tcPr>
            <w:tcW w:w="1330" w:type="dxa"/>
            <w:noWrap/>
            <w:hideMark/>
          </w:tcPr>
          <w:p w:rsidR="0011256D" w:rsidRPr="004C1013" w:rsidRDefault="0011256D" w:rsidP="005F2300">
            <w:pPr>
              <w:pStyle w:val="tabbielystyl"/>
            </w:pPr>
            <w:r w:rsidRPr="004C1013">
              <w:t>5 204</w:t>
            </w:r>
          </w:p>
        </w:tc>
        <w:tc>
          <w:tcPr>
            <w:tcW w:w="1161" w:type="dxa"/>
            <w:hideMark/>
          </w:tcPr>
          <w:p w:rsidR="0011256D" w:rsidRPr="004C1013" w:rsidRDefault="0011256D" w:rsidP="005F2300">
            <w:pPr>
              <w:pStyle w:val="tabbielystyl"/>
            </w:pPr>
            <w:r w:rsidRPr="004C1013">
              <w:t>6.</w:t>
            </w:r>
          </w:p>
        </w:tc>
        <w:tc>
          <w:tcPr>
            <w:tcW w:w="1148" w:type="dxa"/>
            <w:hideMark/>
          </w:tcPr>
          <w:p w:rsidR="0011256D" w:rsidRPr="004C1013" w:rsidRDefault="0011256D" w:rsidP="005F2300">
            <w:pPr>
              <w:pStyle w:val="tabbielystyl"/>
            </w:pPr>
            <w:r w:rsidRPr="004C1013">
              <w:t>3882</w:t>
            </w:r>
          </w:p>
        </w:tc>
        <w:tc>
          <w:tcPr>
            <w:tcW w:w="1161" w:type="dxa"/>
            <w:hideMark/>
          </w:tcPr>
          <w:p w:rsidR="0011256D" w:rsidRPr="004C1013" w:rsidRDefault="0011256D" w:rsidP="005F2300">
            <w:pPr>
              <w:pStyle w:val="tabbielystyl"/>
            </w:pPr>
            <w:r w:rsidRPr="004C1013">
              <w:t>9.</w:t>
            </w:r>
          </w:p>
        </w:tc>
        <w:tc>
          <w:tcPr>
            <w:tcW w:w="1148" w:type="dxa"/>
            <w:hideMark/>
          </w:tcPr>
          <w:p w:rsidR="0011256D" w:rsidRPr="004C1013" w:rsidRDefault="0011256D" w:rsidP="005F2300">
            <w:pPr>
              <w:pStyle w:val="tabbielystyl"/>
            </w:pPr>
            <w:r w:rsidRPr="004C1013">
              <w:t>3 938</w:t>
            </w:r>
          </w:p>
        </w:tc>
        <w:tc>
          <w:tcPr>
            <w:tcW w:w="1161" w:type="dxa"/>
            <w:hideMark/>
          </w:tcPr>
          <w:p w:rsidR="0011256D" w:rsidRPr="004C1013" w:rsidRDefault="0011256D" w:rsidP="005F2300">
            <w:pPr>
              <w:pStyle w:val="tabbielystyl"/>
            </w:pPr>
            <w:r w:rsidRPr="004C1013">
              <w:t>2.</w:t>
            </w:r>
          </w:p>
        </w:tc>
        <w:tc>
          <w:tcPr>
            <w:tcW w:w="1148" w:type="dxa"/>
            <w:hideMark/>
          </w:tcPr>
          <w:p w:rsidR="0011256D" w:rsidRPr="004C1013" w:rsidRDefault="0011256D" w:rsidP="005F2300">
            <w:pPr>
              <w:pStyle w:val="tabbielystyl"/>
            </w:pPr>
            <w:r w:rsidRPr="004C1013">
              <w:t>3 407</w:t>
            </w:r>
          </w:p>
        </w:tc>
      </w:tr>
      <w:tr w:rsidR="0011256D" w:rsidRPr="004C1013" w:rsidTr="009B2509">
        <w:trPr>
          <w:trHeight w:val="300"/>
        </w:trPr>
        <w:tc>
          <w:tcPr>
            <w:tcW w:w="1317" w:type="dxa"/>
            <w:hideMark/>
          </w:tcPr>
          <w:p w:rsidR="0011256D" w:rsidRPr="004C1013" w:rsidRDefault="0011256D" w:rsidP="005F2300">
            <w:pPr>
              <w:pStyle w:val="tabbielystyl"/>
            </w:pPr>
            <w:r w:rsidRPr="004C1013">
              <w:t>2013</w:t>
            </w:r>
          </w:p>
        </w:tc>
        <w:tc>
          <w:tcPr>
            <w:tcW w:w="1042" w:type="dxa"/>
            <w:hideMark/>
          </w:tcPr>
          <w:p w:rsidR="0011256D" w:rsidRPr="004C1013" w:rsidRDefault="0011256D" w:rsidP="005F2300">
            <w:pPr>
              <w:pStyle w:val="tabbielystyl"/>
            </w:pPr>
            <w:r w:rsidRPr="004C1013">
              <w:t>4.</w:t>
            </w:r>
          </w:p>
        </w:tc>
        <w:tc>
          <w:tcPr>
            <w:tcW w:w="2092" w:type="dxa"/>
            <w:gridSpan w:val="3"/>
            <w:vAlign w:val="bottom"/>
            <w:hideMark/>
          </w:tcPr>
          <w:p w:rsidR="0011256D" w:rsidRPr="004C1013" w:rsidRDefault="0011256D" w:rsidP="005F2300">
            <w:pPr>
              <w:pStyle w:val="tabbielystyl"/>
            </w:pPr>
            <w:r w:rsidRPr="005F2300">
              <w:t>1387</w:t>
            </w:r>
          </w:p>
        </w:tc>
        <w:tc>
          <w:tcPr>
            <w:tcW w:w="1330" w:type="dxa"/>
            <w:noWrap/>
            <w:hideMark/>
          </w:tcPr>
          <w:p w:rsidR="0011256D" w:rsidRPr="004C1013" w:rsidRDefault="0011256D" w:rsidP="005F2300">
            <w:pPr>
              <w:pStyle w:val="tabbielystyl"/>
            </w:pPr>
            <w:r w:rsidRPr="004C1013">
              <w:t>9.</w:t>
            </w:r>
          </w:p>
        </w:tc>
        <w:tc>
          <w:tcPr>
            <w:tcW w:w="1330" w:type="dxa"/>
            <w:noWrap/>
            <w:hideMark/>
          </w:tcPr>
          <w:p w:rsidR="0011256D" w:rsidRPr="004C1013" w:rsidRDefault="0011256D" w:rsidP="005F2300">
            <w:pPr>
              <w:pStyle w:val="tabbielystyl"/>
            </w:pPr>
            <w:r w:rsidRPr="004C1013">
              <w:t>5 304</w:t>
            </w:r>
          </w:p>
        </w:tc>
        <w:tc>
          <w:tcPr>
            <w:tcW w:w="1161" w:type="dxa"/>
            <w:hideMark/>
          </w:tcPr>
          <w:p w:rsidR="0011256D" w:rsidRPr="004C1013" w:rsidRDefault="0011256D" w:rsidP="005F2300">
            <w:pPr>
              <w:pStyle w:val="tabbielystyl"/>
            </w:pPr>
            <w:r w:rsidRPr="004C1013">
              <w:t>7.</w:t>
            </w:r>
          </w:p>
        </w:tc>
        <w:tc>
          <w:tcPr>
            <w:tcW w:w="1148" w:type="dxa"/>
            <w:hideMark/>
          </w:tcPr>
          <w:p w:rsidR="0011256D" w:rsidRPr="004C1013" w:rsidRDefault="0011256D" w:rsidP="005F2300">
            <w:pPr>
              <w:pStyle w:val="tabbielystyl"/>
            </w:pPr>
            <w:r w:rsidRPr="004C1013">
              <w:t>3871</w:t>
            </w:r>
          </w:p>
        </w:tc>
        <w:tc>
          <w:tcPr>
            <w:tcW w:w="1161" w:type="dxa"/>
            <w:hideMark/>
          </w:tcPr>
          <w:p w:rsidR="0011256D" w:rsidRPr="004C1013" w:rsidRDefault="0011256D" w:rsidP="005F2300">
            <w:pPr>
              <w:pStyle w:val="tabbielystyl"/>
            </w:pPr>
            <w:r w:rsidRPr="004C1013">
              <w:t>10.</w:t>
            </w:r>
          </w:p>
        </w:tc>
        <w:tc>
          <w:tcPr>
            <w:tcW w:w="1148" w:type="dxa"/>
            <w:hideMark/>
          </w:tcPr>
          <w:p w:rsidR="0011256D" w:rsidRPr="004C1013" w:rsidRDefault="0011256D" w:rsidP="005F2300">
            <w:pPr>
              <w:pStyle w:val="tabbielystyl"/>
            </w:pPr>
            <w:r w:rsidRPr="004C1013">
              <w:t>3 999</w:t>
            </w:r>
          </w:p>
        </w:tc>
        <w:tc>
          <w:tcPr>
            <w:tcW w:w="1161" w:type="dxa"/>
            <w:hideMark/>
          </w:tcPr>
          <w:p w:rsidR="0011256D" w:rsidRPr="004C1013" w:rsidRDefault="0011256D" w:rsidP="005F2300">
            <w:pPr>
              <w:pStyle w:val="tabbielystyl"/>
            </w:pPr>
            <w:r w:rsidRPr="004C1013">
              <w:t>3.</w:t>
            </w:r>
          </w:p>
        </w:tc>
        <w:tc>
          <w:tcPr>
            <w:tcW w:w="1148" w:type="dxa"/>
            <w:hideMark/>
          </w:tcPr>
          <w:p w:rsidR="0011256D" w:rsidRPr="004C1013" w:rsidRDefault="0011256D" w:rsidP="005F2300">
            <w:pPr>
              <w:pStyle w:val="tabbielystyl"/>
            </w:pPr>
            <w:r w:rsidRPr="004C1013">
              <w:t>3 738</w:t>
            </w:r>
          </w:p>
        </w:tc>
      </w:tr>
      <w:tr w:rsidR="0011256D" w:rsidRPr="004C1013" w:rsidTr="009B2509">
        <w:trPr>
          <w:trHeight w:val="300"/>
        </w:trPr>
        <w:tc>
          <w:tcPr>
            <w:tcW w:w="1317" w:type="dxa"/>
            <w:hideMark/>
          </w:tcPr>
          <w:p w:rsidR="0011256D" w:rsidRPr="004C1013" w:rsidRDefault="0011256D" w:rsidP="005F2300">
            <w:pPr>
              <w:pStyle w:val="tabbielystyl"/>
            </w:pPr>
            <w:r w:rsidRPr="004C1013">
              <w:t>2014</w:t>
            </w:r>
          </w:p>
        </w:tc>
        <w:tc>
          <w:tcPr>
            <w:tcW w:w="1042" w:type="dxa"/>
            <w:hideMark/>
          </w:tcPr>
          <w:p w:rsidR="0011256D" w:rsidRPr="004C1013" w:rsidRDefault="0011256D" w:rsidP="005F2300">
            <w:pPr>
              <w:pStyle w:val="tabbielystyl"/>
            </w:pPr>
            <w:r w:rsidRPr="004C1013">
              <w:t>5.</w:t>
            </w:r>
          </w:p>
        </w:tc>
        <w:tc>
          <w:tcPr>
            <w:tcW w:w="2092" w:type="dxa"/>
            <w:gridSpan w:val="3"/>
            <w:vAlign w:val="bottom"/>
            <w:hideMark/>
          </w:tcPr>
          <w:p w:rsidR="0011256D" w:rsidRPr="004C1013" w:rsidRDefault="0011256D" w:rsidP="005F2300">
            <w:pPr>
              <w:pStyle w:val="tabbielystyl"/>
            </w:pPr>
            <w:r w:rsidRPr="005F2300">
              <w:t>1391</w:t>
            </w:r>
          </w:p>
        </w:tc>
        <w:tc>
          <w:tcPr>
            <w:tcW w:w="1330" w:type="dxa"/>
            <w:noWrap/>
            <w:hideMark/>
          </w:tcPr>
          <w:p w:rsidR="0011256D" w:rsidRPr="004C1013" w:rsidRDefault="0011256D" w:rsidP="005F2300">
            <w:pPr>
              <w:pStyle w:val="tabbielystyl"/>
            </w:pPr>
            <w:r w:rsidRPr="004C1013">
              <w:t>10.</w:t>
            </w:r>
          </w:p>
        </w:tc>
        <w:tc>
          <w:tcPr>
            <w:tcW w:w="1330" w:type="dxa"/>
            <w:noWrap/>
            <w:hideMark/>
          </w:tcPr>
          <w:p w:rsidR="0011256D" w:rsidRPr="004C1013" w:rsidRDefault="0011256D" w:rsidP="005F2300">
            <w:pPr>
              <w:pStyle w:val="tabbielystyl"/>
            </w:pPr>
            <w:r w:rsidRPr="004C1013">
              <w:t>5 433</w:t>
            </w:r>
          </w:p>
        </w:tc>
        <w:tc>
          <w:tcPr>
            <w:tcW w:w="1161" w:type="dxa"/>
            <w:hideMark/>
          </w:tcPr>
          <w:p w:rsidR="0011256D" w:rsidRPr="004C1013" w:rsidRDefault="0011256D" w:rsidP="005F2300">
            <w:pPr>
              <w:pStyle w:val="tabbielystyl"/>
            </w:pPr>
            <w:r w:rsidRPr="004C1013">
              <w:t>8.</w:t>
            </w:r>
          </w:p>
        </w:tc>
        <w:tc>
          <w:tcPr>
            <w:tcW w:w="1148" w:type="dxa"/>
            <w:hideMark/>
          </w:tcPr>
          <w:p w:rsidR="0011256D" w:rsidRPr="004C1013" w:rsidRDefault="0011256D" w:rsidP="005F2300">
            <w:pPr>
              <w:pStyle w:val="tabbielystyl"/>
            </w:pPr>
            <w:r w:rsidRPr="004C1013">
              <w:t>4116</w:t>
            </w:r>
          </w:p>
        </w:tc>
        <w:tc>
          <w:tcPr>
            <w:tcW w:w="1161" w:type="dxa"/>
            <w:hideMark/>
          </w:tcPr>
          <w:p w:rsidR="0011256D" w:rsidRPr="004C1013" w:rsidRDefault="0011256D" w:rsidP="005F2300">
            <w:pPr>
              <w:pStyle w:val="tabbielystyl"/>
            </w:pPr>
            <w:r w:rsidRPr="004C1013">
              <w:t>11.</w:t>
            </w:r>
          </w:p>
        </w:tc>
        <w:tc>
          <w:tcPr>
            <w:tcW w:w="1148" w:type="dxa"/>
            <w:hideMark/>
          </w:tcPr>
          <w:p w:rsidR="0011256D" w:rsidRPr="004C1013" w:rsidRDefault="0011256D" w:rsidP="005F2300">
            <w:pPr>
              <w:pStyle w:val="tabbielystyl"/>
            </w:pPr>
            <w:r w:rsidRPr="004C1013">
              <w:t>4 100</w:t>
            </w:r>
          </w:p>
        </w:tc>
        <w:tc>
          <w:tcPr>
            <w:tcW w:w="1161" w:type="dxa"/>
            <w:hideMark/>
          </w:tcPr>
          <w:p w:rsidR="0011256D" w:rsidRPr="004C1013" w:rsidRDefault="0011256D" w:rsidP="005F2300">
            <w:pPr>
              <w:pStyle w:val="tabbielystyl"/>
            </w:pPr>
            <w:r w:rsidRPr="004C1013">
              <w:t>4.</w:t>
            </w:r>
          </w:p>
        </w:tc>
        <w:tc>
          <w:tcPr>
            <w:tcW w:w="1148" w:type="dxa"/>
            <w:hideMark/>
          </w:tcPr>
          <w:p w:rsidR="0011256D" w:rsidRPr="004C1013" w:rsidRDefault="0011256D" w:rsidP="005F2300">
            <w:pPr>
              <w:pStyle w:val="tabbielystyl"/>
            </w:pPr>
            <w:r w:rsidRPr="004C1013">
              <w:t>3 976</w:t>
            </w:r>
          </w:p>
        </w:tc>
      </w:tr>
      <w:tr w:rsidR="0011256D" w:rsidRPr="004C1013" w:rsidTr="009B2509">
        <w:trPr>
          <w:trHeight w:val="300"/>
        </w:trPr>
        <w:tc>
          <w:tcPr>
            <w:tcW w:w="1317" w:type="dxa"/>
            <w:hideMark/>
          </w:tcPr>
          <w:p w:rsidR="0011256D" w:rsidRPr="004C1013" w:rsidRDefault="0011256D" w:rsidP="005F2300">
            <w:pPr>
              <w:pStyle w:val="tabbielystyl"/>
            </w:pPr>
            <w:r w:rsidRPr="004C1013">
              <w:t>2015</w:t>
            </w:r>
          </w:p>
        </w:tc>
        <w:tc>
          <w:tcPr>
            <w:tcW w:w="1042" w:type="dxa"/>
            <w:hideMark/>
          </w:tcPr>
          <w:p w:rsidR="0011256D" w:rsidRPr="004C1013" w:rsidRDefault="0011256D" w:rsidP="005F2300">
            <w:pPr>
              <w:pStyle w:val="tabbielystyl"/>
            </w:pPr>
            <w:r w:rsidRPr="004C1013">
              <w:t>6.</w:t>
            </w:r>
          </w:p>
        </w:tc>
        <w:tc>
          <w:tcPr>
            <w:tcW w:w="2092" w:type="dxa"/>
            <w:gridSpan w:val="3"/>
            <w:hideMark/>
          </w:tcPr>
          <w:p w:rsidR="0011256D" w:rsidRPr="004C1013" w:rsidRDefault="0011256D" w:rsidP="005F2300">
            <w:pPr>
              <w:pStyle w:val="tabbielystyl"/>
            </w:pPr>
            <w:r w:rsidRPr="005F2300">
              <w:t>1435</w:t>
            </w:r>
          </w:p>
        </w:tc>
        <w:tc>
          <w:tcPr>
            <w:tcW w:w="1330" w:type="dxa"/>
            <w:noWrap/>
            <w:hideMark/>
          </w:tcPr>
          <w:p w:rsidR="0011256D" w:rsidRPr="004C1013" w:rsidRDefault="0011256D" w:rsidP="005F2300">
            <w:pPr>
              <w:pStyle w:val="tabbielystyl"/>
            </w:pPr>
            <w:r w:rsidRPr="004C1013">
              <w:t>11.</w:t>
            </w:r>
          </w:p>
        </w:tc>
        <w:tc>
          <w:tcPr>
            <w:tcW w:w="1330" w:type="dxa"/>
            <w:noWrap/>
            <w:hideMark/>
          </w:tcPr>
          <w:p w:rsidR="0011256D" w:rsidRPr="004C1013" w:rsidRDefault="0011256D" w:rsidP="005F2300">
            <w:pPr>
              <w:pStyle w:val="tabbielystyl"/>
            </w:pPr>
            <w:r w:rsidRPr="004C1013">
              <w:t>5 341</w:t>
            </w:r>
          </w:p>
        </w:tc>
        <w:tc>
          <w:tcPr>
            <w:tcW w:w="1161" w:type="dxa"/>
            <w:hideMark/>
          </w:tcPr>
          <w:p w:rsidR="0011256D" w:rsidRPr="004C1013" w:rsidRDefault="0011256D" w:rsidP="005F2300">
            <w:pPr>
              <w:pStyle w:val="tabbielystyl"/>
            </w:pPr>
            <w:r w:rsidRPr="004C1013">
              <w:t>9.</w:t>
            </w:r>
          </w:p>
        </w:tc>
        <w:tc>
          <w:tcPr>
            <w:tcW w:w="1148" w:type="dxa"/>
            <w:hideMark/>
          </w:tcPr>
          <w:p w:rsidR="0011256D" w:rsidRPr="004C1013" w:rsidRDefault="0011256D" w:rsidP="005F2300">
            <w:pPr>
              <w:pStyle w:val="tabbielystyl"/>
            </w:pPr>
            <w:r w:rsidRPr="004C1013">
              <w:t>4443</w:t>
            </w:r>
          </w:p>
        </w:tc>
        <w:tc>
          <w:tcPr>
            <w:tcW w:w="1161" w:type="dxa"/>
            <w:hideMark/>
          </w:tcPr>
          <w:p w:rsidR="0011256D" w:rsidRPr="004C1013" w:rsidRDefault="0011256D" w:rsidP="005F2300">
            <w:pPr>
              <w:pStyle w:val="tabbielystyl"/>
            </w:pPr>
            <w:r w:rsidRPr="004C1013">
              <w:t>12.</w:t>
            </w:r>
          </w:p>
        </w:tc>
        <w:tc>
          <w:tcPr>
            <w:tcW w:w="1148" w:type="dxa"/>
            <w:hideMark/>
          </w:tcPr>
          <w:p w:rsidR="0011256D" w:rsidRPr="004C1013" w:rsidRDefault="0011256D" w:rsidP="005F2300">
            <w:pPr>
              <w:pStyle w:val="tabbielystyl"/>
            </w:pPr>
            <w:r w:rsidRPr="004C1013">
              <w:t>4 155</w:t>
            </w:r>
          </w:p>
        </w:tc>
        <w:tc>
          <w:tcPr>
            <w:tcW w:w="1161" w:type="dxa"/>
            <w:hideMark/>
          </w:tcPr>
          <w:p w:rsidR="0011256D" w:rsidRPr="004C1013" w:rsidRDefault="0011256D" w:rsidP="005F2300">
            <w:pPr>
              <w:pStyle w:val="tabbielystyl"/>
            </w:pPr>
            <w:r w:rsidRPr="004C1013">
              <w:t>5.</w:t>
            </w:r>
          </w:p>
        </w:tc>
        <w:tc>
          <w:tcPr>
            <w:tcW w:w="1148" w:type="dxa"/>
            <w:hideMark/>
          </w:tcPr>
          <w:p w:rsidR="0011256D" w:rsidRPr="004C1013" w:rsidRDefault="0011256D" w:rsidP="005F2300">
            <w:pPr>
              <w:pStyle w:val="tabbielystyl"/>
            </w:pPr>
            <w:r w:rsidRPr="004C1013">
              <w:t>4 271</w:t>
            </w:r>
          </w:p>
        </w:tc>
      </w:tr>
      <w:tr w:rsidR="0011256D" w:rsidRPr="004C1013" w:rsidTr="009B2509">
        <w:trPr>
          <w:trHeight w:val="300"/>
        </w:trPr>
        <w:tc>
          <w:tcPr>
            <w:tcW w:w="1317" w:type="dxa"/>
            <w:hideMark/>
          </w:tcPr>
          <w:p w:rsidR="0011256D" w:rsidRPr="004C1013" w:rsidRDefault="0011256D" w:rsidP="005F2300">
            <w:pPr>
              <w:pStyle w:val="tabbielystyl"/>
            </w:pPr>
            <w:r w:rsidRPr="004C1013">
              <w:t>2016</w:t>
            </w:r>
          </w:p>
        </w:tc>
        <w:tc>
          <w:tcPr>
            <w:tcW w:w="1042" w:type="dxa"/>
            <w:hideMark/>
          </w:tcPr>
          <w:p w:rsidR="0011256D" w:rsidRPr="004C1013" w:rsidRDefault="0011256D" w:rsidP="005F2300">
            <w:pPr>
              <w:pStyle w:val="tabbielystyl"/>
            </w:pPr>
            <w:r w:rsidRPr="004C1013">
              <w:t>7.</w:t>
            </w:r>
          </w:p>
        </w:tc>
        <w:tc>
          <w:tcPr>
            <w:tcW w:w="2092" w:type="dxa"/>
            <w:gridSpan w:val="3"/>
            <w:hideMark/>
          </w:tcPr>
          <w:p w:rsidR="0011256D" w:rsidRPr="004C1013" w:rsidRDefault="0011256D" w:rsidP="005F2300">
            <w:pPr>
              <w:pStyle w:val="tabbielystyl"/>
            </w:pPr>
            <w:r w:rsidRPr="005F2300">
              <w:t>1478</w:t>
            </w:r>
          </w:p>
        </w:tc>
        <w:tc>
          <w:tcPr>
            <w:tcW w:w="1330" w:type="dxa"/>
            <w:noWrap/>
            <w:hideMark/>
          </w:tcPr>
          <w:p w:rsidR="0011256D" w:rsidRPr="004C1013" w:rsidRDefault="0011256D" w:rsidP="005F2300">
            <w:pPr>
              <w:pStyle w:val="tabbielystyl"/>
            </w:pPr>
            <w:r w:rsidRPr="004C1013">
              <w:t>12.</w:t>
            </w:r>
          </w:p>
        </w:tc>
        <w:tc>
          <w:tcPr>
            <w:tcW w:w="1330" w:type="dxa"/>
            <w:noWrap/>
            <w:hideMark/>
          </w:tcPr>
          <w:p w:rsidR="0011256D" w:rsidRPr="004C1013" w:rsidRDefault="0011256D" w:rsidP="005F2300">
            <w:pPr>
              <w:pStyle w:val="tabbielystyl"/>
            </w:pPr>
            <w:r w:rsidRPr="004C1013">
              <w:t>5 825</w:t>
            </w:r>
          </w:p>
        </w:tc>
        <w:tc>
          <w:tcPr>
            <w:tcW w:w="1161" w:type="dxa"/>
            <w:hideMark/>
          </w:tcPr>
          <w:p w:rsidR="0011256D" w:rsidRPr="004C1013" w:rsidRDefault="0011256D" w:rsidP="005F2300">
            <w:pPr>
              <w:pStyle w:val="tabbielystyl"/>
            </w:pPr>
            <w:r w:rsidRPr="004C1013">
              <w:t>10.</w:t>
            </w:r>
          </w:p>
        </w:tc>
        <w:tc>
          <w:tcPr>
            <w:tcW w:w="1148" w:type="dxa"/>
            <w:hideMark/>
          </w:tcPr>
          <w:p w:rsidR="0011256D" w:rsidRPr="004C1013" w:rsidRDefault="0011256D" w:rsidP="005F2300">
            <w:pPr>
              <w:pStyle w:val="tabbielystyl"/>
            </w:pPr>
            <w:r w:rsidRPr="004C1013">
              <w:t>4682</w:t>
            </w:r>
          </w:p>
        </w:tc>
        <w:tc>
          <w:tcPr>
            <w:tcW w:w="1161" w:type="dxa"/>
            <w:hideMark/>
          </w:tcPr>
          <w:p w:rsidR="0011256D" w:rsidRPr="004C1013" w:rsidRDefault="0011256D" w:rsidP="005F2300">
            <w:pPr>
              <w:pStyle w:val="tabbielystyl"/>
            </w:pPr>
            <w:r w:rsidRPr="004C1013">
              <w:t>13.</w:t>
            </w:r>
          </w:p>
        </w:tc>
        <w:tc>
          <w:tcPr>
            <w:tcW w:w="1148" w:type="dxa"/>
            <w:hideMark/>
          </w:tcPr>
          <w:p w:rsidR="0011256D" w:rsidRPr="004C1013" w:rsidRDefault="0011256D" w:rsidP="005F2300">
            <w:pPr>
              <w:pStyle w:val="tabbielystyl"/>
            </w:pPr>
            <w:r w:rsidRPr="004C1013">
              <w:t>4 356</w:t>
            </w:r>
          </w:p>
        </w:tc>
        <w:tc>
          <w:tcPr>
            <w:tcW w:w="1161" w:type="dxa"/>
            <w:hideMark/>
          </w:tcPr>
          <w:p w:rsidR="0011256D" w:rsidRPr="004C1013" w:rsidRDefault="0011256D" w:rsidP="005F2300">
            <w:pPr>
              <w:pStyle w:val="tabbielystyl"/>
            </w:pPr>
            <w:r w:rsidRPr="004C1013">
              <w:t>6.</w:t>
            </w:r>
          </w:p>
        </w:tc>
        <w:tc>
          <w:tcPr>
            <w:tcW w:w="1148" w:type="dxa"/>
            <w:hideMark/>
          </w:tcPr>
          <w:p w:rsidR="0011256D" w:rsidRPr="004C1013" w:rsidRDefault="0011256D" w:rsidP="005F2300">
            <w:pPr>
              <w:pStyle w:val="tabbielystyl"/>
            </w:pPr>
            <w:r w:rsidRPr="004C1013">
              <w:t>4 688</w:t>
            </w:r>
          </w:p>
        </w:tc>
      </w:tr>
      <w:tr w:rsidR="0011256D" w:rsidRPr="004C1013" w:rsidTr="009B2509">
        <w:trPr>
          <w:trHeight w:val="300"/>
        </w:trPr>
        <w:tc>
          <w:tcPr>
            <w:tcW w:w="1317" w:type="dxa"/>
            <w:hideMark/>
          </w:tcPr>
          <w:p w:rsidR="0011256D" w:rsidRPr="004C1013" w:rsidRDefault="0011256D" w:rsidP="005F2300">
            <w:pPr>
              <w:pStyle w:val="tabbielystyl"/>
            </w:pPr>
            <w:r w:rsidRPr="004C1013">
              <w:t>2017</w:t>
            </w:r>
          </w:p>
        </w:tc>
        <w:tc>
          <w:tcPr>
            <w:tcW w:w="1042" w:type="dxa"/>
            <w:hideMark/>
          </w:tcPr>
          <w:p w:rsidR="0011256D" w:rsidRPr="004C1013" w:rsidRDefault="0011256D" w:rsidP="005F2300">
            <w:pPr>
              <w:pStyle w:val="tabbielystyl"/>
            </w:pPr>
            <w:r w:rsidRPr="004C1013">
              <w:t>8.</w:t>
            </w:r>
          </w:p>
        </w:tc>
        <w:tc>
          <w:tcPr>
            <w:tcW w:w="2092" w:type="dxa"/>
            <w:gridSpan w:val="3"/>
            <w:hideMark/>
          </w:tcPr>
          <w:p w:rsidR="0011256D" w:rsidRPr="004C1013" w:rsidRDefault="0011256D" w:rsidP="005F2300">
            <w:pPr>
              <w:pStyle w:val="tabbielystyl"/>
            </w:pPr>
            <w:r w:rsidRPr="005F2300">
              <w:t>1531</w:t>
            </w:r>
          </w:p>
        </w:tc>
        <w:tc>
          <w:tcPr>
            <w:tcW w:w="1330" w:type="dxa"/>
            <w:noWrap/>
            <w:hideMark/>
          </w:tcPr>
          <w:p w:rsidR="0011256D" w:rsidRPr="004C1013" w:rsidRDefault="0011256D" w:rsidP="005F2300">
            <w:pPr>
              <w:pStyle w:val="tabbielystyl"/>
            </w:pPr>
            <w:r w:rsidRPr="004C1013">
              <w:t>13.</w:t>
            </w:r>
          </w:p>
        </w:tc>
        <w:tc>
          <w:tcPr>
            <w:tcW w:w="1330" w:type="dxa"/>
            <w:noWrap/>
            <w:hideMark/>
          </w:tcPr>
          <w:p w:rsidR="0011256D" w:rsidRPr="004C1013" w:rsidRDefault="0011256D" w:rsidP="005F2300">
            <w:pPr>
              <w:pStyle w:val="tabbielystyl"/>
            </w:pPr>
            <w:r w:rsidRPr="004C1013">
              <w:t>6 007</w:t>
            </w:r>
          </w:p>
        </w:tc>
        <w:tc>
          <w:tcPr>
            <w:tcW w:w="1161" w:type="dxa"/>
            <w:hideMark/>
          </w:tcPr>
          <w:p w:rsidR="0011256D" w:rsidRPr="004C1013" w:rsidRDefault="0011256D" w:rsidP="005F2300">
            <w:pPr>
              <w:pStyle w:val="tabbielystyl"/>
            </w:pPr>
            <w:r w:rsidRPr="004C1013">
              <w:t>11.</w:t>
            </w:r>
          </w:p>
        </w:tc>
        <w:tc>
          <w:tcPr>
            <w:tcW w:w="1148" w:type="dxa"/>
            <w:hideMark/>
          </w:tcPr>
          <w:p w:rsidR="0011256D" w:rsidRPr="004C1013" w:rsidRDefault="0011256D" w:rsidP="005F2300">
            <w:pPr>
              <w:pStyle w:val="tabbielystyl"/>
            </w:pPr>
            <w:r w:rsidRPr="004C1013">
              <w:t>4952</w:t>
            </w:r>
          </w:p>
        </w:tc>
        <w:tc>
          <w:tcPr>
            <w:tcW w:w="1161" w:type="dxa"/>
            <w:hideMark/>
          </w:tcPr>
          <w:p w:rsidR="0011256D" w:rsidRPr="004C1013" w:rsidRDefault="0011256D" w:rsidP="005F2300">
            <w:pPr>
              <w:pStyle w:val="tabbielystyl"/>
            </w:pPr>
            <w:r w:rsidRPr="004C1013">
              <w:t>14.</w:t>
            </w:r>
          </w:p>
        </w:tc>
        <w:tc>
          <w:tcPr>
            <w:tcW w:w="1148" w:type="dxa"/>
            <w:hideMark/>
          </w:tcPr>
          <w:p w:rsidR="0011256D" w:rsidRPr="004C1013" w:rsidRDefault="0011256D" w:rsidP="005F2300">
            <w:pPr>
              <w:pStyle w:val="tabbielystyl"/>
            </w:pPr>
            <w:r w:rsidRPr="004C1013">
              <w:t>4 455</w:t>
            </w:r>
          </w:p>
        </w:tc>
        <w:tc>
          <w:tcPr>
            <w:tcW w:w="1161" w:type="dxa"/>
            <w:hideMark/>
          </w:tcPr>
          <w:p w:rsidR="0011256D" w:rsidRPr="004C1013" w:rsidRDefault="0011256D" w:rsidP="005F2300">
            <w:pPr>
              <w:pStyle w:val="tabbielystyl"/>
            </w:pPr>
            <w:r w:rsidRPr="004C1013">
              <w:t>7.</w:t>
            </w:r>
          </w:p>
        </w:tc>
        <w:tc>
          <w:tcPr>
            <w:tcW w:w="1148" w:type="dxa"/>
            <w:hideMark/>
          </w:tcPr>
          <w:p w:rsidR="0011256D" w:rsidRPr="004C1013" w:rsidRDefault="0011256D" w:rsidP="005F2300">
            <w:pPr>
              <w:pStyle w:val="tabbielystyl"/>
            </w:pPr>
            <w:r w:rsidRPr="004C1013">
              <w:t>5 078</w:t>
            </w:r>
          </w:p>
        </w:tc>
      </w:tr>
      <w:tr w:rsidR="0011256D" w:rsidRPr="004C1013" w:rsidTr="009B2509">
        <w:trPr>
          <w:trHeight w:val="315"/>
        </w:trPr>
        <w:tc>
          <w:tcPr>
            <w:tcW w:w="1317" w:type="dxa"/>
            <w:hideMark/>
          </w:tcPr>
          <w:p w:rsidR="0011256D" w:rsidRPr="004C1013" w:rsidRDefault="0011256D" w:rsidP="005F2300">
            <w:pPr>
              <w:pStyle w:val="tabbielystyl"/>
            </w:pPr>
            <w:r w:rsidRPr="004C1013">
              <w:t>2018</w:t>
            </w:r>
          </w:p>
        </w:tc>
        <w:tc>
          <w:tcPr>
            <w:tcW w:w="1042" w:type="dxa"/>
            <w:hideMark/>
          </w:tcPr>
          <w:p w:rsidR="0011256D" w:rsidRPr="004C1013" w:rsidRDefault="0011256D" w:rsidP="005F2300">
            <w:pPr>
              <w:pStyle w:val="tabbielystyl"/>
            </w:pPr>
            <w:r w:rsidRPr="004C1013">
              <w:t>9.</w:t>
            </w:r>
          </w:p>
        </w:tc>
        <w:tc>
          <w:tcPr>
            <w:tcW w:w="2092" w:type="dxa"/>
            <w:gridSpan w:val="3"/>
            <w:hideMark/>
          </w:tcPr>
          <w:p w:rsidR="0011256D" w:rsidRPr="004C1013" w:rsidRDefault="0011256D" w:rsidP="005F2300">
            <w:pPr>
              <w:pStyle w:val="tabbielystyl"/>
            </w:pPr>
            <w:r w:rsidRPr="005F2300">
              <w:t>1591</w:t>
            </w:r>
          </w:p>
        </w:tc>
        <w:tc>
          <w:tcPr>
            <w:tcW w:w="1330" w:type="dxa"/>
            <w:noWrap/>
            <w:hideMark/>
          </w:tcPr>
          <w:p w:rsidR="0011256D" w:rsidRPr="004C1013" w:rsidRDefault="0011256D" w:rsidP="005F2300">
            <w:pPr>
              <w:pStyle w:val="tabbielystyl"/>
            </w:pPr>
            <w:r w:rsidRPr="004C1013">
              <w:t>14.</w:t>
            </w:r>
          </w:p>
        </w:tc>
        <w:tc>
          <w:tcPr>
            <w:tcW w:w="1330" w:type="dxa"/>
            <w:noWrap/>
            <w:hideMark/>
          </w:tcPr>
          <w:p w:rsidR="0011256D" w:rsidRPr="004C1013" w:rsidRDefault="0011256D" w:rsidP="005F2300">
            <w:pPr>
              <w:pStyle w:val="tabbielystyl"/>
            </w:pPr>
            <w:r w:rsidRPr="004C1013">
              <w:t>2 033</w:t>
            </w:r>
          </w:p>
        </w:tc>
        <w:tc>
          <w:tcPr>
            <w:tcW w:w="1161" w:type="dxa"/>
            <w:hideMark/>
          </w:tcPr>
          <w:p w:rsidR="0011256D" w:rsidRPr="004C1013" w:rsidRDefault="0011256D" w:rsidP="005F2300">
            <w:pPr>
              <w:pStyle w:val="tabbielystyl"/>
            </w:pPr>
            <w:r w:rsidRPr="004C1013">
              <w:t>12.</w:t>
            </w:r>
          </w:p>
        </w:tc>
        <w:tc>
          <w:tcPr>
            <w:tcW w:w="1148" w:type="dxa"/>
            <w:hideMark/>
          </w:tcPr>
          <w:p w:rsidR="0011256D" w:rsidRPr="004C1013" w:rsidRDefault="0011256D" w:rsidP="005F2300">
            <w:pPr>
              <w:pStyle w:val="tabbielystyl"/>
            </w:pPr>
            <w:r w:rsidRPr="004C1013">
              <w:t>5235</w:t>
            </w:r>
          </w:p>
        </w:tc>
        <w:tc>
          <w:tcPr>
            <w:tcW w:w="1161" w:type="dxa"/>
            <w:hideMark/>
          </w:tcPr>
          <w:p w:rsidR="0011256D" w:rsidRPr="004C1013" w:rsidRDefault="0011256D" w:rsidP="005F2300">
            <w:pPr>
              <w:pStyle w:val="tabbielystyl"/>
            </w:pPr>
            <w:r w:rsidRPr="004C1013">
              <w:t>15.</w:t>
            </w:r>
          </w:p>
        </w:tc>
        <w:tc>
          <w:tcPr>
            <w:tcW w:w="1148" w:type="dxa"/>
            <w:hideMark/>
          </w:tcPr>
          <w:p w:rsidR="0011256D" w:rsidRPr="004C1013" w:rsidRDefault="0011256D" w:rsidP="005F2300">
            <w:pPr>
              <w:pStyle w:val="tabbielystyl"/>
            </w:pPr>
            <w:r w:rsidRPr="004C1013">
              <w:t>4 703</w:t>
            </w:r>
          </w:p>
        </w:tc>
        <w:tc>
          <w:tcPr>
            <w:tcW w:w="1161" w:type="dxa"/>
            <w:hideMark/>
          </w:tcPr>
          <w:p w:rsidR="0011256D" w:rsidRPr="004C1013" w:rsidRDefault="0011256D" w:rsidP="005F2300">
            <w:pPr>
              <w:pStyle w:val="tabbielystyl"/>
            </w:pPr>
            <w:r w:rsidRPr="004C1013">
              <w:t>8.</w:t>
            </w:r>
          </w:p>
        </w:tc>
        <w:tc>
          <w:tcPr>
            <w:tcW w:w="1148" w:type="dxa"/>
            <w:hideMark/>
          </w:tcPr>
          <w:p w:rsidR="0011256D" w:rsidRPr="004C1013" w:rsidRDefault="0011256D" w:rsidP="005F2300">
            <w:pPr>
              <w:pStyle w:val="tabbielystyl"/>
            </w:pPr>
            <w:r w:rsidRPr="004C1013">
              <w:t>4 523</w:t>
            </w:r>
          </w:p>
        </w:tc>
      </w:tr>
      <w:tr w:rsidR="0011256D" w:rsidRPr="004C1013" w:rsidTr="009B2509">
        <w:trPr>
          <w:trHeight w:val="330"/>
        </w:trPr>
        <w:tc>
          <w:tcPr>
            <w:tcW w:w="1317" w:type="dxa"/>
            <w:shd w:val="clear" w:color="auto" w:fill="BFBFBF" w:themeFill="background1" w:themeFillShade="BF"/>
            <w:hideMark/>
          </w:tcPr>
          <w:p w:rsidR="0011256D" w:rsidRPr="00404B50" w:rsidRDefault="0011256D" w:rsidP="005F2300">
            <w:pPr>
              <w:pStyle w:val="tabbielystyl"/>
              <w:rPr>
                <w:b/>
                <w:i/>
                <w:color w:val="000000"/>
              </w:rPr>
            </w:pPr>
            <w:r w:rsidRPr="00404B50">
              <w:rPr>
                <w:b/>
                <w:i/>
              </w:rPr>
              <w:t>Ročný priemer </w:t>
            </w:r>
          </w:p>
        </w:tc>
        <w:tc>
          <w:tcPr>
            <w:tcW w:w="1042" w:type="dxa"/>
            <w:shd w:val="clear" w:color="auto" w:fill="BFBFBF" w:themeFill="background1" w:themeFillShade="BF"/>
            <w:hideMark/>
          </w:tcPr>
          <w:p w:rsidR="0011256D" w:rsidRPr="00404B50" w:rsidRDefault="0011256D" w:rsidP="005F2300">
            <w:pPr>
              <w:pStyle w:val="tabbielystyl"/>
              <w:rPr>
                <w:b/>
                <w:i/>
              </w:rPr>
            </w:pPr>
            <w:r w:rsidRPr="00404B50">
              <w:rPr>
                <w:b/>
                <w:i/>
              </w:rPr>
              <w:t> </w:t>
            </w:r>
          </w:p>
        </w:tc>
        <w:tc>
          <w:tcPr>
            <w:tcW w:w="2092" w:type="dxa"/>
            <w:gridSpan w:val="3"/>
            <w:shd w:val="clear" w:color="auto" w:fill="BFBFBF" w:themeFill="background1" w:themeFillShade="BF"/>
            <w:hideMark/>
          </w:tcPr>
          <w:p w:rsidR="0011256D" w:rsidRPr="00404B50" w:rsidRDefault="0011256D" w:rsidP="005F2300">
            <w:pPr>
              <w:pStyle w:val="tabbielystyl"/>
              <w:rPr>
                <w:b/>
                <w:i/>
              </w:rPr>
            </w:pPr>
            <w:r w:rsidRPr="005F2300">
              <w:rPr>
                <w:b/>
                <w:i/>
              </w:rPr>
              <w:t>1427</w:t>
            </w:r>
          </w:p>
        </w:tc>
        <w:tc>
          <w:tcPr>
            <w:tcW w:w="1330" w:type="dxa"/>
            <w:shd w:val="clear" w:color="auto" w:fill="BFBFBF" w:themeFill="background1" w:themeFillShade="BF"/>
            <w:noWrap/>
            <w:hideMark/>
          </w:tcPr>
          <w:p w:rsidR="0011256D" w:rsidRPr="00404B50" w:rsidRDefault="0011256D" w:rsidP="005F2300">
            <w:pPr>
              <w:pStyle w:val="tabbielystyl"/>
              <w:rPr>
                <w:b/>
                <w:i/>
              </w:rPr>
            </w:pPr>
            <w:r w:rsidRPr="00404B50">
              <w:rPr>
                <w:b/>
                <w:i/>
              </w:rPr>
              <w:t> </w:t>
            </w:r>
          </w:p>
        </w:tc>
        <w:tc>
          <w:tcPr>
            <w:tcW w:w="1330" w:type="dxa"/>
            <w:shd w:val="clear" w:color="auto" w:fill="BFBFBF" w:themeFill="background1" w:themeFillShade="BF"/>
            <w:noWrap/>
            <w:hideMark/>
          </w:tcPr>
          <w:p w:rsidR="0011256D" w:rsidRPr="00404B50" w:rsidRDefault="0011256D" w:rsidP="005F2300">
            <w:pPr>
              <w:pStyle w:val="tabbielystyl"/>
              <w:rPr>
                <w:b/>
                <w:i/>
              </w:rPr>
            </w:pPr>
            <w:r w:rsidRPr="00404B50">
              <w:rPr>
                <w:b/>
                <w:i/>
              </w:rPr>
              <w:t>5 589</w:t>
            </w:r>
          </w:p>
        </w:tc>
        <w:tc>
          <w:tcPr>
            <w:tcW w:w="1161" w:type="dxa"/>
            <w:shd w:val="clear" w:color="auto" w:fill="BFBFBF" w:themeFill="background1" w:themeFillShade="BF"/>
            <w:hideMark/>
          </w:tcPr>
          <w:p w:rsidR="0011256D" w:rsidRPr="00404B50" w:rsidRDefault="0011256D" w:rsidP="005F230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5F2300">
            <w:pPr>
              <w:pStyle w:val="tabbielystyl"/>
              <w:rPr>
                <w:b/>
                <w:i/>
              </w:rPr>
            </w:pPr>
            <w:r w:rsidRPr="00404B50">
              <w:rPr>
                <w:b/>
                <w:i/>
              </w:rPr>
              <w:t>4 129</w:t>
            </w:r>
          </w:p>
        </w:tc>
        <w:tc>
          <w:tcPr>
            <w:tcW w:w="1161" w:type="dxa"/>
            <w:shd w:val="clear" w:color="auto" w:fill="BFBFBF" w:themeFill="background1" w:themeFillShade="BF"/>
            <w:hideMark/>
          </w:tcPr>
          <w:p w:rsidR="0011256D" w:rsidRPr="00404B50" w:rsidRDefault="0011256D" w:rsidP="005F230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5F2300">
            <w:pPr>
              <w:pStyle w:val="tabbielystyl"/>
              <w:rPr>
                <w:b/>
                <w:i/>
              </w:rPr>
            </w:pPr>
            <w:r w:rsidRPr="00404B50">
              <w:rPr>
                <w:b/>
                <w:i/>
              </w:rPr>
              <w:t>4 056,20</w:t>
            </w:r>
          </w:p>
        </w:tc>
        <w:tc>
          <w:tcPr>
            <w:tcW w:w="1161" w:type="dxa"/>
            <w:shd w:val="clear" w:color="auto" w:fill="BFBFBF" w:themeFill="background1" w:themeFillShade="BF"/>
            <w:hideMark/>
          </w:tcPr>
          <w:p w:rsidR="0011256D" w:rsidRPr="00404B50" w:rsidRDefault="0011256D" w:rsidP="005F230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5F2300">
            <w:pPr>
              <w:pStyle w:val="tabbielystyl"/>
              <w:rPr>
                <w:b/>
                <w:i/>
              </w:rPr>
            </w:pPr>
            <w:r w:rsidRPr="00404B50">
              <w:rPr>
                <w:b/>
                <w:i/>
              </w:rPr>
              <w:t>4 209,13</w:t>
            </w:r>
          </w:p>
        </w:tc>
      </w:tr>
      <w:tr w:rsidR="0011256D" w:rsidRPr="004C1013" w:rsidTr="009B2509">
        <w:trPr>
          <w:trHeight w:val="600"/>
        </w:trPr>
        <w:tc>
          <w:tcPr>
            <w:tcW w:w="14038" w:type="dxa"/>
            <w:gridSpan w:val="13"/>
            <w:shd w:val="clear" w:color="auto" w:fill="7F7F7F" w:themeFill="text1" w:themeFillTint="80"/>
          </w:tcPr>
          <w:p w:rsidR="0011256D" w:rsidRPr="00B87BD8" w:rsidRDefault="0011256D" w:rsidP="0025522E">
            <w:pPr>
              <w:rPr>
                <w:b/>
                <w:color w:val="FFFFFF" w:themeColor="background1"/>
              </w:rPr>
            </w:pPr>
            <w:r w:rsidRPr="00B87BD8">
              <w:rPr>
                <w:b/>
                <w:caps/>
                <w:color w:val="FFFFFF" w:themeColor="background1"/>
              </w:rPr>
              <w:t>Kumulatívne ročné dopravné výkony</w:t>
            </w:r>
            <w:r w:rsidRPr="00B87BD8">
              <w:rPr>
                <w:b/>
                <w:color w:val="FFFFFF" w:themeColor="background1"/>
              </w:rPr>
              <w:t xml:space="preserve"> (mil. vkm)  </w:t>
            </w:r>
          </w:p>
        </w:tc>
      </w:tr>
      <w:tr w:rsidR="0011256D" w:rsidRPr="004C1013" w:rsidTr="009B2509">
        <w:trPr>
          <w:trHeight w:val="300"/>
        </w:trPr>
        <w:tc>
          <w:tcPr>
            <w:tcW w:w="1317" w:type="dxa"/>
            <w:hideMark/>
          </w:tcPr>
          <w:p w:rsidR="0011256D" w:rsidRPr="004C1013" w:rsidRDefault="0011256D" w:rsidP="00404B50">
            <w:pPr>
              <w:pStyle w:val="tabbielystyl"/>
            </w:pPr>
            <w:r w:rsidRPr="004C1013">
              <w:t>2004</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hideMark/>
          </w:tcPr>
          <w:p w:rsidR="0011256D" w:rsidRPr="004C1013" w:rsidRDefault="0011256D" w:rsidP="00404B50">
            <w:pPr>
              <w:pStyle w:val="tabbielystyl"/>
            </w:pPr>
            <w:r w:rsidRPr="004C1013">
              <w:t>- </w:t>
            </w:r>
          </w:p>
        </w:tc>
        <w:tc>
          <w:tcPr>
            <w:tcW w:w="1330"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2 700,00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2005</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1.</w:t>
            </w:r>
          </w:p>
        </w:tc>
        <w:tc>
          <w:tcPr>
            <w:tcW w:w="1330" w:type="dxa"/>
            <w:noWrap/>
            <w:hideMark/>
          </w:tcPr>
          <w:p w:rsidR="0011256D" w:rsidRPr="004C1013" w:rsidRDefault="0011256D" w:rsidP="00404B50">
            <w:pPr>
              <w:pStyle w:val="tabbielystyl"/>
            </w:pPr>
            <w:r w:rsidRPr="004C1013">
              <w:t>24 000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2 750,00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2006</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2.</w:t>
            </w:r>
          </w:p>
        </w:tc>
        <w:tc>
          <w:tcPr>
            <w:tcW w:w="1330" w:type="dxa"/>
            <w:noWrap/>
            <w:hideMark/>
          </w:tcPr>
          <w:p w:rsidR="0011256D" w:rsidRPr="004C1013" w:rsidRDefault="0011256D" w:rsidP="00404B50">
            <w:pPr>
              <w:pStyle w:val="tabbielystyl"/>
            </w:pPr>
            <w:r w:rsidRPr="004C1013">
              <w:t>25 897</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c>
          <w:tcPr>
            <w:tcW w:w="1161" w:type="dxa"/>
            <w:hideMark/>
          </w:tcPr>
          <w:p w:rsidR="0011256D" w:rsidRPr="004C1013" w:rsidRDefault="0011256D" w:rsidP="00404B50">
            <w:pPr>
              <w:pStyle w:val="tabbielystyl"/>
            </w:pPr>
            <w:r w:rsidRPr="004C1013">
              <w:t>3.</w:t>
            </w:r>
          </w:p>
        </w:tc>
        <w:tc>
          <w:tcPr>
            <w:tcW w:w="1148" w:type="dxa"/>
            <w:hideMark/>
          </w:tcPr>
          <w:p w:rsidR="0011256D" w:rsidRPr="004C1013" w:rsidRDefault="0011256D" w:rsidP="00404B50">
            <w:pPr>
              <w:pStyle w:val="tabbielystyl"/>
            </w:pPr>
            <w:r w:rsidRPr="004C1013">
              <w:t>2 940,00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2007</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3.</w:t>
            </w:r>
          </w:p>
        </w:tc>
        <w:tc>
          <w:tcPr>
            <w:tcW w:w="1330" w:type="dxa"/>
            <w:noWrap/>
            <w:hideMark/>
          </w:tcPr>
          <w:p w:rsidR="0011256D" w:rsidRPr="004C1013" w:rsidRDefault="0011256D" w:rsidP="00404B50">
            <w:pPr>
              <w:pStyle w:val="tabbielystyl"/>
            </w:pPr>
            <w:r w:rsidRPr="004C1013">
              <w:t>27 424</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1 348,00</w:t>
            </w:r>
          </w:p>
        </w:tc>
        <w:tc>
          <w:tcPr>
            <w:tcW w:w="1161" w:type="dxa"/>
            <w:hideMark/>
          </w:tcPr>
          <w:p w:rsidR="0011256D" w:rsidRPr="004C1013" w:rsidRDefault="0011256D" w:rsidP="00404B50">
            <w:pPr>
              <w:pStyle w:val="tabbielystyl"/>
            </w:pPr>
            <w:r w:rsidRPr="004C1013">
              <w:t>4.</w:t>
            </w:r>
          </w:p>
        </w:tc>
        <w:tc>
          <w:tcPr>
            <w:tcW w:w="1148" w:type="dxa"/>
            <w:hideMark/>
          </w:tcPr>
          <w:p w:rsidR="0011256D" w:rsidRPr="004C1013" w:rsidRDefault="0011256D" w:rsidP="00404B50">
            <w:pPr>
              <w:pStyle w:val="tabbielystyl"/>
            </w:pPr>
            <w:r w:rsidRPr="004C1013">
              <w:t>3 261,00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2008</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4.</w:t>
            </w:r>
          </w:p>
        </w:tc>
        <w:tc>
          <w:tcPr>
            <w:tcW w:w="1330" w:type="dxa"/>
            <w:noWrap/>
            <w:hideMark/>
          </w:tcPr>
          <w:p w:rsidR="0011256D" w:rsidRPr="004C1013" w:rsidRDefault="0011256D" w:rsidP="00404B50">
            <w:pPr>
              <w:pStyle w:val="tabbielystyl"/>
            </w:pPr>
            <w:r w:rsidRPr="004C1013">
              <w:t>27 655</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1 576,00</w:t>
            </w:r>
          </w:p>
        </w:tc>
        <w:tc>
          <w:tcPr>
            <w:tcW w:w="1161" w:type="dxa"/>
            <w:hideMark/>
          </w:tcPr>
          <w:p w:rsidR="0011256D" w:rsidRPr="004C1013" w:rsidRDefault="0011256D" w:rsidP="00404B50">
            <w:pPr>
              <w:pStyle w:val="tabbielystyl"/>
            </w:pPr>
            <w:r w:rsidRPr="004C1013">
              <w:t>5.</w:t>
            </w:r>
          </w:p>
        </w:tc>
        <w:tc>
          <w:tcPr>
            <w:tcW w:w="1148" w:type="dxa"/>
            <w:hideMark/>
          </w:tcPr>
          <w:p w:rsidR="0011256D" w:rsidRPr="004C1013" w:rsidRDefault="0011256D" w:rsidP="00404B50">
            <w:pPr>
              <w:pStyle w:val="tabbielystyl"/>
            </w:pPr>
            <w:r w:rsidRPr="004C1013">
              <w:t>3 254,00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2009</w:t>
            </w:r>
          </w:p>
        </w:tc>
        <w:tc>
          <w:tcPr>
            <w:tcW w:w="1042" w:type="dxa"/>
            <w:hideMark/>
          </w:tcPr>
          <w:p w:rsidR="0011256D" w:rsidRPr="004C1013" w:rsidRDefault="0011256D" w:rsidP="00404B50">
            <w:pPr>
              <w:pStyle w:val="tabbielystyl"/>
            </w:pPr>
            <w:r w:rsidRPr="004C1013">
              <w:t>- </w:t>
            </w:r>
          </w:p>
        </w:tc>
        <w:tc>
          <w:tcPr>
            <w:tcW w:w="2092" w:type="dxa"/>
            <w:gridSpan w:val="3"/>
            <w:hideMark/>
          </w:tcPr>
          <w:p w:rsidR="0011256D" w:rsidRPr="004C1013" w:rsidRDefault="0011256D" w:rsidP="00404B50">
            <w:pPr>
              <w:pStyle w:val="tabbielystyl"/>
            </w:pPr>
            <w:r w:rsidRPr="004C1013">
              <w:t>- </w:t>
            </w:r>
          </w:p>
        </w:tc>
        <w:tc>
          <w:tcPr>
            <w:tcW w:w="1330" w:type="dxa"/>
            <w:noWrap/>
            <w:hideMark/>
          </w:tcPr>
          <w:p w:rsidR="0011256D" w:rsidRPr="004C1013" w:rsidRDefault="0011256D" w:rsidP="00404B50">
            <w:pPr>
              <w:pStyle w:val="tabbielystyl"/>
            </w:pPr>
            <w:r w:rsidRPr="004C1013">
              <w:t>5.</w:t>
            </w:r>
          </w:p>
        </w:tc>
        <w:tc>
          <w:tcPr>
            <w:tcW w:w="1330" w:type="dxa"/>
            <w:noWrap/>
            <w:hideMark/>
          </w:tcPr>
          <w:p w:rsidR="0011256D" w:rsidRPr="004C1013" w:rsidRDefault="0011256D" w:rsidP="00404B50">
            <w:pPr>
              <w:pStyle w:val="tabbielystyl"/>
            </w:pPr>
            <w:r w:rsidRPr="004C1013">
              <w:t>24 360</w:t>
            </w:r>
          </w:p>
        </w:tc>
        <w:tc>
          <w:tcPr>
            <w:tcW w:w="1161" w:type="dxa"/>
            <w:hideMark/>
          </w:tcPr>
          <w:p w:rsidR="0011256D" w:rsidRPr="004C1013" w:rsidRDefault="0011256D" w:rsidP="00404B50">
            <w:pPr>
              <w:pStyle w:val="tabbielystyl"/>
            </w:pPr>
            <w:r w:rsidRPr="004C1013">
              <w:t>3.</w:t>
            </w:r>
          </w:p>
        </w:tc>
        <w:tc>
          <w:tcPr>
            <w:tcW w:w="1148" w:type="dxa"/>
            <w:hideMark/>
          </w:tcPr>
          <w:p w:rsidR="0011256D" w:rsidRPr="004C1013" w:rsidRDefault="0011256D" w:rsidP="00404B50">
            <w:pPr>
              <w:pStyle w:val="tabbielystyl"/>
            </w:pPr>
            <w:r w:rsidRPr="004C1013">
              <w:t>1 440,00</w:t>
            </w:r>
          </w:p>
        </w:tc>
        <w:tc>
          <w:tcPr>
            <w:tcW w:w="1161" w:type="dxa"/>
            <w:hideMark/>
          </w:tcPr>
          <w:p w:rsidR="0011256D" w:rsidRPr="004C1013" w:rsidRDefault="0011256D" w:rsidP="00404B50">
            <w:pPr>
              <w:pStyle w:val="tabbielystyl"/>
            </w:pPr>
            <w:r w:rsidRPr="004C1013">
              <w:t>6.</w:t>
            </w:r>
          </w:p>
        </w:tc>
        <w:tc>
          <w:tcPr>
            <w:tcW w:w="1148" w:type="dxa"/>
            <w:hideMark/>
          </w:tcPr>
          <w:p w:rsidR="0011256D" w:rsidRPr="004C1013" w:rsidRDefault="0011256D" w:rsidP="00404B50">
            <w:pPr>
              <w:pStyle w:val="tabbielystyl"/>
            </w:pPr>
            <w:r w:rsidRPr="004C1013">
              <w:t>2 838,00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2010</w:t>
            </w:r>
          </w:p>
        </w:tc>
        <w:tc>
          <w:tcPr>
            <w:tcW w:w="1042" w:type="dxa"/>
            <w:hideMark/>
          </w:tcPr>
          <w:p w:rsidR="0011256D" w:rsidRPr="004C1013" w:rsidRDefault="0011256D" w:rsidP="00404B50">
            <w:pPr>
              <w:pStyle w:val="tabbielystyl"/>
            </w:pPr>
            <w:r w:rsidRPr="004C1013">
              <w:t>1.</w:t>
            </w:r>
          </w:p>
        </w:tc>
        <w:tc>
          <w:tcPr>
            <w:tcW w:w="2092" w:type="dxa"/>
            <w:gridSpan w:val="3"/>
            <w:vAlign w:val="bottom"/>
            <w:hideMark/>
          </w:tcPr>
          <w:p w:rsidR="0011256D" w:rsidRPr="004C1013" w:rsidRDefault="0011256D" w:rsidP="00404B50">
            <w:pPr>
              <w:pStyle w:val="tabbielystyl"/>
            </w:pPr>
            <w:r w:rsidRPr="005F2300">
              <w:t>924</w:t>
            </w:r>
          </w:p>
        </w:tc>
        <w:tc>
          <w:tcPr>
            <w:tcW w:w="1330" w:type="dxa"/>
            <w:noWrap/>
            <w:hideMark/>
          </w:tcPr>
          <w:p w:rsidR="0011256D" w:rsidRPr="004C1013" w:rsidRDefault="0011256D" w:rsidP="00404B50">
            <w:pPr>
              <w:pStyle w:val="tabbielystyl"/>
            </w:pPr>
            <w:r w:rsidRPr="004C1013">
              <w:t>6.</w:t>
            </w:r>
          </w:p>
        </w:tc>
        <w:tc>
          <w:tcPr>
            <w:tcW w:w="1330" w:type="dxa"/>
            <w:noWrap/>
            <w:hideMark/>
          </w:tcPr>
          <w:p w:rsidR="0011256D" w:rsidRPr="004C1013" w:rsidRDefault="0011256D" w:rsidP="00404B50">
            <w:pPr>
              <w:pStyle w:val="tabbielystyl"/>
            </w:pPr>
            <w:r w:rsidRPr="004C1013">
              <w:t>25 734</w:t>
            </w:r>
          </w:p>
        </w:tc>
        <w:tc>
          <w:tcPr>
            <w:tcW w:w="1161" w:type="dxa"/>
            <w:hideMark/>
          </w:tcPr>
          <w:p w:rsidR="0011256D" w:rsidRPr="004C1013" w:rsidRDefault="0011256D" w:rsidP="00404B50">
            <w:pPr>
              <w:pStyle w:val="tabbielystyl"/>
            </w:pPr>
            <w:r w:rsidRPr="004C1013">
              <w:t>4.</w:t>
            </w:r>
          </w:p>
        </w:tc>
        <w:tc>
          <w:tcPr>
            <w:tcW w:w="1148" w:type="dxa"/>
            <w:hideMark/>
          </w:tcPr>
          <w:p w:rsidR="0011256D" w:rsidRPr="004C1013" w:rsidRDefault="0011256D" w:rsidP="00404B50">
            <w:pPr>
              <w:pStyle w:val="tabbielystyl"/>
            </w:pPr>
            <w:r w:rsidRPr="004C1013">
              <w:t>1 857,00</w:t>
            </w:r>
          </w:p>
        </w:tc>
        <w:tc>
          <w:tcPr>
            <w:tcW w:w="1161" w:type="dxa"/>
            <w:hideMark/>
          </w:tcPr>
          <w:p w:rsidR="0011256D" w:rsidRPr="004C1013" w:rsidRDefault="0011256D" w:rsidP="00404B50">
            <w:pPr>
              <w:pStyle w:val="tabbielystyl"/>
            </w:pPr>
            <w:r w:rsidRPr="004C1013">
              <w:t>7.</w:t>
            </w:r>
          </w:p>
        </w:tc>
        <w:tc>
          <w:tcPr>
            <w:tcW w:w="1148" w:type="dxa"/>
            <w:hideMark/>
          </w:tcPr>
          <w:p w:rsidR="0011256D" w:rsidRPr="004C1013" w:rsidRDefault="0011256D" w:rsidP="00404B50">
            <w:pPr>
              <w:pStyle w:val="tabbielystyl"/>
            </w:pPr>
            <w:r w:rsidRPr="004C1013">
              <w:t>3 027,00</w:t>
            </w:r>
          </w:p>
        </w:tc>
        <w:tc>
          <w:tcPr>
            <w:tcW w:w="1161" w:type="dxa"/>
            <w:hideMark/>
          </w:tcPr>
          <w:p w:rsidR="0011256D" w:rsidRPr="004C1013" w:rsidRDefault="0011256D" w:rsidP="00404B50">
            <w:pPr>
              <w:pStyle w:val="tabbielystyl"/>
            </w:pPr>
            <w:r w:rsidRPr="004C1013">
              <w:t>- </w:t>
            </w:r>
          </w:p>
        </w:tc>
        <w:tc>
          <w:tcPr>
            <w:tcW w:w="1148" w:type="dxa"/>
            <w:hideMark/>
          </w:tcPr>
          <w:p w:rsidR="0011256D" w:rsidRPr="004C1013" w:rsidRDefault="0011256D" w:rsidP="00404B50">
            <w:pPr>
              <w:pStyle w:val="tabbielystyl"/>
            </w:pPr>
            <w:r w:rsidRPr="004C1013">
              <w:t>- </w:t>
            </w:r>
          </w:p>
        </w:tc>
      </w:tr>
      <w:tr w:rsidR="0011256D" w:rsidRPr="004C1013" w:rsidTr="009B2509">
        <w:trPr>
          <w:trHeight w:val="300"/>
        </w:trPr>
        <w:tc>
          <w:tcPr>
            <w:tcW w:w="1317" w:type="dxa"/>
            <w:hideMark/>
          </w:tcPr>
          <w:p w:rsidR="0011256D" w:rsidRPr="004C1013" w:rsidRDefault="0011256D" w:rsidP="00404B50">
            <w:pPr>
              <w:pStyle w:val="tabbielystyl"/>
            </w:pPr>
            <w:r w:rsidRPr="004C1013">
              <w:t>2011</w:t>
            </w:r>
          </w:p>
        </w:tc>
        <w:tc>
          <w:tcPr>
            <w:tcW w:w="1042" w:type="dxa"/>
            <w:hideMark/>
          </w:tcPr>
          <w:p w:rsidR="0011256D" w:rsidRPr="004C1013" w:rsidRDefault="0011256D" w:rsidP="00404B50">
            <w:pPr>
              <w:pStyle w:val="tabbielystyl"/>
            </w:pPr>
            <w:r w:rsidRPr="004C1013">
              <w:t>2.</w:t>
            </w:r>
          </w:p>
        </w:tc>
        <w:tc>
          <w:tcPr>
            <w:tcW w:w="2092" w:type="dxa"/>
            <w:gridSpan w:val="3"/>
            <w:vAlign w:val="bottom"/>
            <w:hideMark/>
          </w:tcPr>
          <w:p w:rsidR="0011256D" w:rsidRPr="004C1013" w:rsidRDefault="0011256D" w:rsidP="00404B50">
            <w:pPr>
              <w:pStyle w:val="tabbielystyl"/>
            </w:pPr>
            <w:r w:rsidRPr="005F2300">
              <w:t>1 000</w:t>
            </w:r>
          </w:p>
        </w:tc>
        <w:tc>
          <w:tcPr>
            <w:tcW w:w="1330" w:type="dxa"/>
            <w:noWrap/>
            <w:hideMark/>
          </w:tcPr>
          <w:p w:rsidR="0011256D" w:rsidRPr="004C1013" w:rsidRDefault="0011256D" w:rsidP="00404B50">
            <w:pPr>
              <w:pStyle w:val="tabbielystyl"/>
            </w:pPr>
            <w:r w:rsidRPr="004C1013">
              <w:t>7.</w:t>
            </w:r>
          </w:p>
        </w:tc>
        <w:tc>
          <w:tcPr>
            <w:tcW w:w="1330" w:type="dxa"/>
            <w:noWrap/>
            <w:hideMark/>
          </w:tcPr>
          <w:p w:rsidR="0011256D" w:rsidRPr="004C1013" w:rsidRDefault="0011256D" w:rsidP="00404B50">
            <w:pPr>
              <w:pStyle w:val="tabbielystyl"/>
            </w:pPr>
            <w:r w:rsidRPr="004C1013">
              <w:t>26 686</w:t>
            </w:r>
          </w:p>
        </w:tc>
        <w:tc>
          <w:tcPr>
            <w:tcW w:w="1161" w:type="dxa"/>
            <w:hideMark/>
          </w:tcPr>
          <w:p w:rsidR="0011256D" w:rsidRPr="004C1013" w:rsidRDefault="0011256D" w:rsidP="00404B50">
            <w:pPr>
              <w:pStyle w:val="tabbielystyl"/>
            </w:pPr>
            <w:r w:rsidRPr="004C1013">
              <w:t>5.</w:t>
            </w:r>
          </w:p>
        </w:tc>
        <w:tc>
          <w:tcPr>
            <w:tcW w:w="1148" w:type="dxa"/>
            <w:hideMark/>
          </w:tcPr>
          <w:p w:rsidR="0011256D" w:rsidRPr="004C1013" w:rsidRDefault="0011256D" w:rsidP="00404B50">
            <w:pPr>
              <w:pStyle w:val="tabbielystyl"/>
            </w:pPr>
            <w:r w:rsidRPr="004C1013">
              <w:t>2 015,00</w:t>
            </w:r>
          </w:p>
        </w:tc>
        <w:tc>
          <w:tcPr>
            <w:tcW w:w="1161" w:type="dxa"/>
            <w:hideMark/>
          </w:tcPr>
          <w:p w:rsidR="0011256D" w:rsidRPr="004C1013" w:rsidRDefault="0011256D" w:rsidP="00404B50">
            <w:pPr>
              <w:pStyle w:val="tabbielystyl"/>
            </w:pPr>
            <w:r w:rsidRPr="004C1013">
              <w:t>8.</w:t>
            </w:r>
          </w:p>
        </w:tc>
        <w:tc>
          <w:tcPr>
            <w:tcW w:w="1148" w:type="dxa"/>
            <w:hideMark/>
          </w:tcPr>
          <w:p w:rsidR="0011256D" w:rsidRPr="004C1013" w:rsidRDefault="0011256D" w:rsidP="00404B50">
            <w:pPr>
              <w:pStyle w:val="tabbielystyl"/>
            </w:pPr>
            <w:r w:rsidRPr="004C1013">
              <w:t>3 139,00</w:t>
            </w:r>
          </w:p>
        </w:tc>
        <w:tc>
          <w:tcPr>
            <w:tcW w:w="1161" w:type="dxa"/>
            <w:hideMark/>
          </w:tcPr>
          <w:p w:rsidR="0011256D" w:rsidRPr="004C1013" w:rsidRDefault="0011256D" w:rsidP="00404B50">
            <w:pPr>
              <w:pStyle w:val="tabbielystyl"/>
            </w:pPr>
            <w:r w:rsidRPr="004C1013">
              <w:t>1.</w:t>
            </w:r>
          </w:p>
        </w:tc>
        <w:tc>
          <w:tcPr>
            <w:tcW w:w="1148" w:type="dxa"/>
            <w:hideMark/>
          </w:tcPr>
          <w:p w:rsidR="0011256D" w:rsidRPr="004C1013" w:rsidRDefault="0011256D" w:rsidP="00404B50">
            <w:pPr>
              <w:pStyle w:val="tabbielystyl"/>
            </w:pPr>
            <w:r w:rsidRPr="004C1013">
              <w:t>2 281,00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2012</w:t>
            </w:r>
          </w:p>
        </w:tc>
        <w:tc>
          <w:tcPr>
            <w:tcW w:w="1042" w:type="dxa"/>
            <w:hideMark/>
          </w:tcPr>
          <w:p w:rsidR="0011256D" w:rsidRPr="004C1013" w:rsidRDefault="0011256D" w:rsidP="00404B50">
            <w:pPr>
              <w:pStyle w:val="tabbielystyl"/>
            </w:pPr>
            <w:r w:rsidRPr="004C1013">
              <w:t>3.</w:t>
            </w:r>
          </w:p>
        </w:tc>
        <w:tc>
          <w:tcPr>
            <w:tcW w:w="2092" w:type="dxa"/>
            <w:gridSpan w:val="3"/>
            <w:vAlign w:val="bottom"/>
            <w:hideMark/>
          </w:tcPr>
          <w:p w:rsidR="0011256D" w:rsidRPr="004C1013" w:rsidRDefault="0011256D" w:rsidP="00404B50">
            <w:pPr>
              <w:pStyle w:val="tabbielystyl"/>
            </w:pPr>
            <w:r w:rsidRPr="005F2300">
              <w:t>1 010</w:t>
            </w:r>
          </w:p>
        </w:tc>
        <w:tc>
          <w:tcPr>
            <w:tcW w:w="1330" w:type="dxa"/>
            <w:noWrap/>
            <w:hideMark/>
          </w:tcPr>
          <w:p w:rsidR="0011256D" w:rsidRPr="004C1013" w:rsidRDefault="0011256D" w:rsidP="00404B50">
            <w:pPr>
              <w:pStyle w:val="tabbielystyl"/>
            </w:pPr>
            <w:r w:rsidRPr="004C1013">
              <w:t>8.</w:t>
            </w:r>
          </w:p>
        </w:tc>
        <w:tc>
          <w:tcPr>
            <w:tcW w:w="1330" w:type="dxa"/>
            <w:noWrap/>
            <w:hideMark/>
          </w:tcPr>
          <w:p w:rsidR="0011256D" w:rsidRPr="004C1013" w:rsidRDefault="0011256D" w:rsidP="00404B50">
            <w:pPr>
              <w:pStyle w:val="tabbielystyl"/>
            </w:pPr>
            <w:r w:rsidRPr="004C1013">
              <w:t>26 590</w:t>
            </w:r>
          </w:p>
        </w:tc>
        <w:tc>
          <w:tcPr>
            <w:tcW w:w="1161" w:type="dxa"/>
            <w:hideMark/>
          </w:tcPr>
          <w:p w:rsidR="0011256D" w:rsidRPr="004C1013" w:rsidRDefault="0011256D" w:rsidP="00404B50">
            <w:pPr>
              <w:pStyle w:val="tabbielystyl"/>
            </w:pPr>
            <w:r w:rsidRPr="004C1013">
              <w:t>6.</w:t>
            </w:r>
          </w:p>
        </w:tc>
        <w:tc>
          <w:tcPr>
            <w:tcW w:w="1148" w:type="dxa"/>
            <w:hideMark/>
          </w:tcPr>
          <w:p w:rsidR="0011256D" w:rsidRPr="004C1013" w:rsidRDefault="0011256D" w:rsidP="00404B50">
            <w:pPr>
              <w:pStyle w:val="tabbielystyl"/>
            </w:pPr>
            <w:r w:rsidRPr="004C1013">
              <w:t>1 985,00</w:t>
            </w:r>
          </w:p>
        </w:tc>
        <w:tc>
          <w:tcPr>
            <w:tcW w:w="1161" w:type="dxa"/>
            <w:hideMark/>
          </w:tcPr>
          <w:p w:rsidR="0011256D" w:rsidRPr="004C1013" w:rsidRDefault="0011256D" w:rsidP="00404B50">
            <w:pPr>
              <w:pStyle w:val="tabbielystyl"/>
            </w:pPr>
            <w:r w:rsidRPr="004C1013">
              <w:t>9.</w:t>
            </w:r>
          </w:p>
        </w:tc>
        <w:tc>
          <w:tcPr>
            <w:tcW w:w="1148" w:type="dxa"/>
            <w:hideMark/>
          </w:tcPr>
          <w:p w:rsidR="0011256D" w:rsidRPr="004C1013" w:rsidRDefault="0011256D" w:rsidP="00404B50">
            <w:pPr>
              <w:pStyle w:val="tabbielystyl"/>
            </w:pPr>
            <w:r w:rsidRPr="004C1013">
              <w:t>3 130,00</w:t>
            </w:r>
          </w:p>
        </w:tc>
        <w:tc>
          <w:tcPr>
            <w:tcW w:w="1161" w:type="dxa"/>
            <w:hideMark/>
          </w:tcPr>
          <w:p w:rsidR="0011256D" w:rsidRPr="004C1013" w:rsidRDefault="0011256D" w:rsidP="00404B50">
            <w:pPr>
              <w:pStyle w:val="tabbielystyl"/>
            </w:pPr>
            <w:r w:rsidRPr="004C1013">
              <w:t>2.</w:t>
            </w:r>
          </w:p>
        </w:tc>
        <w:tc>
          <w:tcPr>
            <w:tcW w:w="1148" w:type="dxa"/>
            <w:hideMark/>
          </w:tcPr>
          <w:p w:rsidR="0011256D" w:rsidRPr="004C1013" w:rsidRDefault="0011256D" w:rsidP="00404B50">
            <w:pPr>
              <w:pStyle w:val="tabbielystyl"/>
            </w:pPr>
            <w:r w:rsidRPr="004C1013">
              <w:t>2 351,00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2013</w:t>
            </w:r>
          </w:p>
        </w:tc>
        <w:tc>
          <w:tcPr>
            <w:tcW w:w="1042" w:type="dxa"/>
            <w:hideMark/>
          </w:tcPr>
          <w:p w:rsidR="0011256D" w:rsidRPr="004C1013" w:rsidRDefault="0011256D" w:rsidP="00404B50">
            <w:pPr>
              <w:pStyle w:val="tabbielystyl"/>
            </w:pPr>
            <w:r w:rsidRPr="004C1013">
              <w:t>4.</w:t>
            </w:r>
          </w:p>
        </w:tc>
        <w:tc>
          <w:tcPr>
            <w:tcW w:w="2092" w:type="dxa"/>
            <w:gridSpan w:val="3"/>
            <w:vAlign w:val="bottom"/>
            <w:hideMark/>
          </w:tcPr>
          <w:p w:rsidR="0011256D" w:rsidRPr="004C1013" w:rsidRDefault="0011256D" w:rsidP="00404B50">
            <w:pPr>
              <w:pStyle w:val="tabbielystyl"/>
            </w:pPr>
            <w:r w:rsidRPr="005F2300">
              <w:t>1 041</w:t>
            </w:r>
          </w:p>
        </w:tc>
        <w:tc>
          <w:tcPr>
            <w:tcW w:w="1330" w:type="dxa"/>
            <w:noWrap/>
            <w:hideMark/>
          </w:tcPr>
          <w:p w:rsidR="0011256D" w:rsidRPr="004C1013" w:rsidRDefault="0011256D" w:rsidP="00404B50">
            <w:pPr>
              <w:pStyle w:val="tabbielystyl"/>
            </w:pPr>
            <w:r w:rsidRPr="004C1013">
              <w:t>9.</w:t>
            </w:r>
          </w:p>
        </w:tc>
        <w:tc>
          <w:tcPr>
            <w:tcW w:w="1330" w:type="dxa"/>
            <w:noWrap/>
            <w:hideMark/>
          </w:tcPr>
          <w:p w:rsidR="0011256D" w:rsidRPr="004C1013" w:rsidRDefault="0011256D" w:rsidP="00404B50">
            <w:pPr>
              <w:pStyle w:val="tabbielystyl"/>
            </w:pPr>
            <w:r w:rsidRPr="004C1013">
              <w:t>27 229</w:t>
            </w:r>
          </w:p>
        </w:tc>
        <w:tc>
          <w:tcPr>
            <w:tcW w:w="1161" w:type="dxa"/>
            <w:hideMark/>
          </w:tcPr>
          <w:p w:rsidR="0011256D" w:rsidRPr="004C1013" w:rsidRDefault="0011256D" w:rsidP="00404B50">
            <w:pPr>
              <w:pStyle w:val="tabbielystyl"/>
            </w:pPr>
            <w:r w:rsidRPr="004C1013">
              <w:t>7.</w:t>
            </w:r>
          </w:p>
        </w:tc>
        <w:tc>
          <w:tcPr>
            <w:tcW w:w="1148" w:type="dxa"/>
            <w:hideMark/>
          </w:tcPr>
          <w:p w:rsidR="0011256D" w:rsidRPr="004C1013" w:rsidRDefault="0011256D" w:rsidP="00404B50">
            <w:pPr>
              <w:pStyle w:val="tabbielystyl"/>
            </w:pPr>
            <w:r w:rsidRPr="004C1013">
              <w:t>2 043,00</w:t>
            </w:r>
          </w:p>
        </w:tc>
        <w:tc>
          <w:tcPr>
            <w:tcW w:w="1161" w:type="dxa"/>
            <w:hideMark/>
          </w:tcPr>
          <w:p w:rsidR="0011256D" w:rsidRPr="004C1013" w:rsidRDefault="0011256D" w:rsidP="00404B50">
            <w:pPr>
              <w:pStyle w:val="tabbielystyl"/>
            </w:pPr>
            <w:r w:rsidRPr="004C1013">
              <w:t>10.</w:t>
            </w:r>
          </w:p>
        </w:tc>
        <w:tc>
          <w:tcPr>
            <w:tcW w:w="1148" w:type="dxa"/>
            <w:hideMark/>
          </w:tcPr>
          <w:p w:rsidR="0011256D" w:rsidRPr="004C1013" w:rsidRDefault="0011256D" w:rsidP="00404B50">
            <w:pPr>
              <w:pStyle w:val="tabbielystyl"/>
            </w:pPr>
            <w:r w:rsidRPr="004C1013">
              <w:t>3 178,00</w:t>
            </w:r>
          </w:p>
        </w:tc>
        <w:tc>
          <w:tcPr>
            <w:tcW w:w="1161" w:type="dxa"/>
            <w:hideMark/>
          </w:tcPr>
          <w:p w:rsidR="0011256D" w:rsidRPr="004C1013" w:rsidRDefault="0011256D" w:rsidP="00404B50">
            <w:pPr>
              <w:pStyle w:val="tabbielystyl"/>
            </w:pPr>
            <w:r w:rsidRPr="004C1013">
              <w:t>3.</w:t>
            </w:r>
          </w:p>
        </w:tc>
        <w:tc>
          <w:tcPr>
            <w:tcW w:w="1148" w:type="dxa"/>
            <w:hideMark/>
          </w:tcPr>
          <w:p w:rsidR="0011256D" w:rsidRPr="004C1013" w:rsidRDefault="0011256D" w:rsidP="00404B50">
            <w:pPr>
              <w:pStyle w:val="tabbielystyl"/>
            </w:pPr>
            <w:r w:rsidRPr="004C1013">
              <w:t>3 620,00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2014</w:t>
            </w:r>
          </w:p>
        </w:tc>
        <w:tc>
          <w:tcPr>
            <w:tcW w:w="1042" w:type="dxa"/>
            <w:hideMark/>
          </w:tcPr>
          <w:p w:rsidR="0011256D" w:rsidRPr="004C1013" w:rsidRDefault="0011256D" w:rsidP="00404B50">
            <w:pPr>
              <w:pStyle w:val="tabbielystyl"/>
            </w:pPr>
            <w:r w:rsidRPr="004C1013">
              <w:t>5.</w:t>
            </w:r>
          </w:p>
        </w:tc>
        <w:tc>
          <w:tcPr>
            <w:tcW w:w="2092" w:type="dxa"/>
            <w:gridSpan w:val="3"/>
            <w:vAlign w:val="bottom"/>
            <w:hideMark/>
          </w:tcPr>
          <w:p w:rsidR="0011256D" w:rsidRPr="004C1013" w:rsidRDefault="0011256D" w:rsidP="00404B50">
            <w:pPr>
              <w:pStyle w:val="tabbielystyl"/>
            </w:pPr>
            <w:r w:rsidRPr="005F2300">
              <w:t>1 152</w:t>
            </w:r>
          </w:p>
        </w:tc>
        <w:tc>
          <w:tcPr>
            <w:tcW w:w="1330" w:type="dxa"/>
            <w:noWrap/>
            <w:hideMark/>
          </w:tcPr>
          <w:p w:rsidR="0011256D" w:rsidRPr="004C1013" w:rsidRDefault="0011256D" w:rsidP="00404B50">
            <w:pPr>
              <w:pStyle w:val="tabbielystyl"/>
            </w:pPr>
            <w:r w:rsidRPr="004C1013">
              <w:t>10.</w:t>
            </w:r>
          </w:p>
        </w:tc>
        <w:tc>
          <w:tcPr>
            <w:tcW w:w="1330" w:type="dxa"/>
            <w:noWrap/>
            <w:hideMark/>
          </w:tcPr>
          <w:p w:rsidR="0011256D" w:rsidRPr="004C1013" w:rsidRDefault="0011256D" w:rsidP="00404B50">
            <w:pPr>
              <w:pStyle w:val="tabbielystyl"/>
            </w:pPr>
            <w:r w:rsidRPr="004C1013">
              <w:t>28 032</w:t>
            </w:r>
          </w:p>
        </w:tc>
        <w:tc>
          <w:tcPr>
            <w:tcW w:w="1161" w:type="dxa"/>
            <w:hideMark/>
          </w:tcPr>
          <w:p w:rsidR="0011256D" w:rsidRPr="004C1013" w:rsidRDefault="0011256D" w:rsidP="00404B50">
            <w:pPr>
              <w:pStyle w:val="tabbielystyl"/>
            </w:pPr>
            <w:r w:rsidRPr="004C1013">
              <w:t>8.</w:t>
            </w:r>
          </w:p>
        </w:tc>
        <w:tc>
          <w:tcPr>
            <w:tcW w:w="1148" w:type="dxa"/>
            <w:hideMark/>
          </w:tcPr>
          <w:p w:rsidR="0011256D" w:rsidRPr="004C1013" w:rsidRDefault="0011256D" w:rsidP="00404B50">
            <w:pPr>
              <w:pStyle w:val="tabbielystyl"/>
            </w:pPr>
            <w:r w:rsidRPr="004C1013">
              <w:t>2 173,00</w:t>
            </w:r>
          </w:p>
        </w:tc>
        <w:tc>
          <w:tcPr>
            <w:tcW w:w="1161" w:type="dxa"/>
            <w:hideMark/>
          </w:tcPr>
          <w:p w:rsidR="0011256D" w:rsidRPr="004C1013" w:rsidRDefault="0011256D" w:rsidP="00404B50">
            <w:pPr>
              <w:pStyle w:val="tabbielystyl"/>
            </w:pPr>
            <w:r w:rsidRPr="004C1013">
              <w:t>11.</w:t>
            </w:r>
          </w:p>
        </w:tc>
        <w:tc>
          <w:tcPr>
            <w:tcW w:w="1148" w:type="dxa"/>
            <w:hideMark/>
          </w:tcPr>
          <w:p w:rsidR="0011256D" w:rsidRPr="004C1013" w:rsidRDefault="0011256D" w:rsidP="00404B50">
            <w:pPr>
              <w:pStyle w:val="tabbielystyl"/>
            </w:pPr>
            <w:r w:rsidRPr="004C1013">
              <w:t>3 268,00</w:t>
            </w:r>
          </w:p>
        </w:tc>
        <w:tc>
          <w:tcPr>
            <w:tcW w:w="1161" w:type="dxa"/>
            <w:hideMark/>
          </w:tcPr>
          <w:p w:rsidR="0011256D" w:rsidRPr="004C1013" w:rsidRDefault="0011256D" w:rsidP="00404B50">
            <w:pPr>
              <w:pStyle w:val="tabbielystyl"/>
            </w:pPr>
            <w:r w:rsidRPr="004C1013">
              <w:t>4.</w:t>
            </w:r>
          </w:p>
        </w:tc>
        <w:tc>
          <w:tcPr>
            <w:tcW w:w="1148" w:type="dxa"/>
            <w:hideMark/>
          </w:tcPr>
          <w:p w:rsidR="0011256D" w:rsidRPr="004C1013" w:rsidRDefault="0011256D" w:rsidP="00404B50">
            <w:pPr>
              <w:pStyle w:val="tabbielystyl"/>
            </w:pPr>
            <w:r w:rsidRPr="004C1013">
              <w:t>4 233,00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2015</w:t>
            </w:r>
          </w:p>
        </w:tc>
        <w:tc>
          <w:tcPr>
            <w:tcW w:w="1042" w:type="dxa"/>
            <w:hideMark/>
          </w:tcPr>
          <w:p w:rsidR="0011256D" w:rsidRPr="004C1013" w:rsidRDefault="0011256D" w:rsidP="00404B50">
            <w:pPr>
              <w:pStyle w:val="tabbielystyl"/>
            </w:pPr>
            <w:r w:rsidRPr="004C1013">
              <w:t>6.</w:t>
            </w:r>
          </w:p>
        </w:tc>
        <w:tc>
          <w:tcPr>
            <w:tcW w:w="2092" w:type="dxa"/>
            <w:gridSpan w:val="3"/>
            <w:hideMark/>
          </w:tcPr>
          <w:p w:rsidR="0011256D" w:rsidRPr="004C1013" w:rsidRDefault="0011256D" w:rsidP="00404B50">
            <w:pPr>
              <w:pStyle w:val="tabbielystyl"/>
            </w:pPr>
            <w:r w:rsidRPr="005F2300">
              <w:t>1 219</w:t>
            </w:r>
          </w:p>
        </w:tc>
        <w:tc>
          <w:tcPr>
            <w:tcW w:w="1330" w:type="dxa"/>
            <w:noWrap/>
            <w:hideMark/>
          </w:tcPr>
          <w:p w:rsidR="0011256D" w:rsidRPr="004C1013" w:rsidRDefault="0011256D" w:rsidP="00404B50">
            <w:pPr>
              <w:pStyle w:val="tabbielystyl"/>
            </w:pPr>
            <w:r w:rsidRPr="004C1013">
              <w:t>11.</w:t>
            </w:r>
          </w:p>
        </w:tc>
        <w:tc>
          <w:tcPr>
            <w:tcW w:w="1330" w:type="dxa"/>
            <w:noWrap/>
            <w:hideMark/>
          </w:tcPr>
          <w:p w:rsidR="0011256D" w:rsidRPr="004C1013" w:rsidRDefault="0011256D" w:rsidP="00404B50">
            <w:pPr>
              <w:pStyle w:val="tabbielystyl"/>
            </w:pPr>
            <w:r w:rsidRPr="004C1013">
              <w:t>29 735</w:t>
            </w:r>
          </w:p>
        </w:tc>
        <w:tc>
          <w:tcPr>
            <w:tcW w:w="1161" w:type="dxa"/>
            <w:hideMark/>
          </w:tcPr>
          <w:p w:rsidR="0011256D" w:rsidRPr="004C1013" w:rsidRDefault="0011256D" w:rsidP="00404B50">
            <w:pPr>
              <w:pStyle w:val="tabbielystyl"/>
            </w:pPr>
            <w:r w:rsidRPr="004C1013">
              <w:t>9.</w:t>
            </w:r>
          </w:p>
        </w:tc>
        <w:tc>
          <w:tcPr>
            <w:tcW w:w="1148" w:type="dxa"/>
            <w:hideMark/>
          </w:tcPr>
          <w:p w:rsidR="0011256D" w:rsidRPr="004C1013" w:rsidRDefault="0011256D" w:rsidP="00404B50">
            <w:pPr>
              <w:pStyle w:val="tabbielystyl"/>
            </w:pPr>
            <w:r w:rsidRPr="004C1013">
              <w:t>2 345,00</w:t>
            </w:r>
          </w:p>
        </w:tc>
        <w:tc>
          <w:tcPr>
            <w:tcW w:w="1161" w:type="dxa"/>
            <w:hideMark/>
          </w:tcPr>
          <w:p w:rsidR="0011256D" w:rsidRPr="004C1013" w:rsidRDefault="0011256D" w:rsidP="00404B50">
            <w:pPr>
              <w:pStyle w:val="tabbielystyl"/>
            </w:pPr>
            <w:r w:rsidRPr="004C1013">
              <w:t>12.</w:t>
            </w:r>
          </w:p>
        </w:tc>
        <w:tc>
          <w:tcPr>
            <w:tcW w:w="1148" w:type="dxa"/>
            <w:hideMark/>
          </w:tcPr>
          <w:p w:rsidR="0011256D" w:rsidRPr="004C1013" w:rsidRDefault="0011256D" w:rsidP="00404B50">
            <w:pPr>
              <w:pStyle w:val="tabbielystyl"/>
            </w:pPr>
            <w:r w:rsidRPr="004C1013">
              <w:t>3 335,00</w:t>
            </w:r>
          </w:p>
        </w:tc>
        <w:tc>
          <w:tcPr>
            <w:tcW w:w="1161" w:type="dxa"/>
            <w:hideMark/>
          </w:tcPr>
          <w:p w:rsidR="0011256D" w:rsidRPr="004C1013" w:rsidRDefault="0011256D" w:rsidP="00404B50">
            <w:pPr>
              <w:pStyle w:val="tabbielystyl"/>
            </w:pPr>
            <w:r w:rsidRPr="004C1013">
              <w:t>5.</w:t>
            </w:r>
          </w:p>
        </w:tc>
        <w:tc>
          <w:tcPr>
            <w:tcW w:w="1148" w:type="dxa"/>
            <w:hideMark/>
          </w:tcPr>
          <w:p w:rsidR="0011256D" w:rsidRPr="004C1013" w:rsidRDefault="0011256D" w:rsidP="00404B50">
            <w:pPr>
              <w:pStyle w:val="tabbielystyl"/>
            </w:pPr>
            <w:r w:rsidRPr="004C1013">
              <w:t>4 939,00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2016</w:t>
            </w:r>
          </w:p>
        </w:tc>
        <w:tc>
          <w:tcPr>
            <w:tcW w:w="1042" w:type="dxa"/>
            <w:hideMark/>
          </w:tcPr>
          <w:p w:rsidR="0011256D" w:rsidRPr="004C1013" w:rsidRDefault="0011256D" w:rsidP="00404B50">
            <w:pPr>
              <w:pStyle w:val="tabbielystyl"/>
            </w:pPr>
            <w:r w:rsidRPr="004C1013">
              <w:t>7.</w:t>
            </w:r>
          </w:p>
        </w:tc>
        <w:tc>
          <w:tcPr>
            <w:tcW w:w="2092" w:type="dxa"/>
            <w:gridSpan w:val="3"/>
            <w:hideMark/>
          </w:tcPr>
          <w:p w:rsidR="0011256D" w:rsidRPr="004C1013" w:rsidRDefault="0011256D" w:rsidP="00404B50">
            <w:pPr>
              <w:pStyle w:val="tabbielystyl"/>
            </w:pPr>
            <w:r w:rsidRPr="005F2300">
              <w:t>1 265</w:t>
            </w:r>
          </w:p>
        </w:tc>
        <w:tc>
          <w:tcPr>
            <w:tcW w:w="1330" w:type="dxa"/>
            <w:noWrap/>
            <w:hideMark/>
          </w:tcPr>
          <w:p w:rsidR="0011256D" w:rsidRPr="004C1013" w:rsidRDefault="0011256D" w:rsidP="00404B50">
            <w:pPr>
              <w:pStyle w:val="tabbielystyl"/>
            </w:pPr>
            <w:r w:rsidRPr="004C1013">
              <w:t>12.</w:t>
            </w:r>
          </w:p>
        </w:tc>
        <w:tc>
          <w:tcPr>
            <w:tcW w:w="1330" w:type="dxa"/>
            <w:noWrap/>
            <w:hideMark/>
          </w:tcPr>
          <w:p w:rsidR="0011256D" w:rsidRPr="004C1013" w:rsidRDefault="0011256D" w:rsidP="00404B50">
            <w:pPr>
              <w:pStyle w:val="tabbielystyl"/>
            </w:pPr>
            <w:r w:rsidRPr="004C1013">
              <w:t>32 479</w:t>
            </w:r>
          </w:p>
        </w:tc>
        <w:tc>
          <w:tcPr>
            <w:tcW w:w="1161" w:type="dxa"/>
            <w:hideMark/>
          </w:tcPr>
          <w:p w:rsidR="0011256D" w:rsidRPr="004C1013" w:rsidRDefault="0011256D" w:rsidP="00404B50">
            <w:pPr>
              <w:pStyle w:val="tabbielystyl"/>
            </w:pPr>
            <w:r w:rsidRPr="004C1013">
              <w:t>10.</w:t>
            </w:r>
          </w:p>
        </w:tc>
        <w:tc>
          <w:tcPr>
            <w:tcW w:w="1148" w:type="dxa"/>
            <w:hideMark/>
          </w:tcPr>
          <w:p w:rsidR="0011256D" w:rsidRPr="004C1013" w:rsidRDefault="0011256D" w:rsidP="00404B50">
            <w:pPr>
              <w:pStyle w:val="tabbielystyl"/>
            </w:pPr>
            <w:r w:rsidRPr="004C1013">
              <w:t>2 478,00</w:t>
            </w:r>
          </w:p>
        </w:tc>
        <w:tc>
          <w:tcPr>
            <w:tcW w:w="1161" w:type="dxa"/>
            <w:hideMark/>
          </w:tcPr>
          <w:p w:rsidR="0011256D" w:rsidRPr="004C1013" w:rsidRDefault="0011256D" w:rsidP="00404B50">
            <w:pPr>
              <w:pStyle w:val="tabbielystyl"/>
            </w:pPr>
            <w:r w:rsidRPr="004C1013">
              <w:t>13.</w:t>
            </w:r>
          </w:p>
        </w:tc>
        <w:tc>
          <w:tcPr>
            <w:tcW w:w="1148" w:type="dxa"/>
            <w:hideMark/>
          </w:tcPr>
          <w:p w:rsidR="0011256D" w:rsidRPr="004C1013" w:rsidRDefault="0011256D" w:rsidP="00404B50">
            <w:pPr>
              <w:pStyle w:val="tabbielystyl"/>
            </w:pPr>
            <w:r w:rsidRPr="004C1013">
              <w:t>3 496,00</w:t>
            </w:r>
          </w:p>
        </w:tc>
        <w:tc>
          <w:tcPr>
            <w:tcW w:w="1161" w:type="dxa"/>
            <w:hideMark/>
          </w:tcPr>
          <w:p w:rsidR="0011256D" w:rsidRPr="004C1013" w:rsidRDefault="0011256D" w:rsidP="00404B50">
            <w:pPr>
              <w:pStyle w:val="tabbielystyl"/>
            </w:pPr>
            <w:r w:rsidRPr="004C1013">
              <w:t>6.</w:t>
            </w:r>
          </w:p>
        </w:tc>
        <w:tc>
          <w:tcPr>
            <w:tcW w:w="1148" w:type="dxa"/>
            <w:hideMark/>
          </w:tcPr>
          <w:p w:rsidR="0011256D" w:rsidRPr="004C1013" w:rsidRDefault="0011256D" w:rsidP="00404B50">
            <w:pPr>
              <w:pStyle w:val="tabbielystyl"/>
            </w:pPr>
            <w:r w:rsidRPr="004C1013">
              <w:t>5 677,00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2017</w:t>
            </w:r>
          </w:p>
        </w:tc>
        <w:tc>
          <w:tcPr>
            <w:tcW w:w="1042" w:type="dxa"/>
            <w:hideMark/>
          </w:tcPr>
          <w:p w:rsidR="0011256D" w:rsidRPr="004C1013" w:rsidRDefault="0011256D" w:rsidP="00404B50">
            <w:pPr>
              <w:pStyle w:val="tabbielystyl"/>
            </w:pPr>
            <w:r w:rsidRPr="004C1013">
              <w:t>8.</w:t>
            </w:r>
          </w:p>
        </w:tc>
        <w:tc>
          <w:tcPr>
            <w:tcW w:w="2092" w:type="dxa"/>
            <w:gridSpan w:val="3"/>
            <w:hideMark/>
          </w:tcPr>
          <w:p w:rsidR="0011256D" w:rsidRPr="004C1013" w:rsidRDefault="0011256D" w:rsidP="00404B50">
            <w:pPr>
              <w:pStyle w:val="tabbielystyl"/>
            </w:pPr>
            <w:r w:rsidRPr="005F2300">
              <w:t>1 322</w:t>
            </w:r>
          </w:p>
        </w:tc>
        <w:tc>
          <w:tcPr>
            <w:tcW w:w="1330" w:type="dxa"/>
            <w:noWrap/>
            <w:hideMark/>
          </w:tcPr>
          <w:p w:rsidR="0011256D" w:rsidRPr="004C1013" w:rsidRDefault="0011256D" w:rsidP="00404B50">
            <w:pPr>
              <w:pStyle w:val="tabbielystyl"/>
            </w:pPr>
            <w:r w:rsidRPr="004C1013">
              <w:t>13.</w:t>
            </w:r>
          </w:p>
        </w:tc>
        <w:tc>
          <w:tcPr>
            <w:tcW w:w="1330" w:type="dxa"/>
            <w:noWrap/>
            <w:hideMark/>
          </w:tcPr>
          <w:p w:rsidR="0011256D" w:rsidRPr="004C1013" w:rsidRDefault="0011256D" w:rsidP="00404B50">
            <w:pPr>
              <w:pStyle w:val="tabbielystyl"/>
            </w:pPr>
            <w:r w:rsidRPr="004C1013">
              <w:t>33 557</w:t>
            </w:r>
          </w:p>
        </w:tc>
        <w:tc>
          <w:tcPr>
            <w:tcW w:w="1161" w:type="dxa"/>
            <w:hideMark/>
          </w:tcPr>
          <w:p w:rsidR="0011256D" w:rsidRPr="004C1013" w:rsidRDefault="0011256D" w:rsidP="00404B50">
            <w:pPr>
              <w:pStyle w:val="tabbielystyl"/>
            </w:pPr>
            <w:r w:rsidRPr="004C1013">
              <w:t>11.</w:t>
            </w:r>
          </w:p>
        </w:tc>
        <w:tc>
          <w:tcPr>
            <w:tcW w:w="1148" w:type="dxa"/>
            <w:hideMark/>
          </w:tcPr>
          <w:p w:rsidR="0011256D" w:rsidRPr="004C1013" w:rsidRDefault="0011256D" w:rsidP="00404B50">
            <w:pPr>
              <w:pStyle w:val="tabbielystyl"/>
            </w:pPr>
            <w:r w:rsidRPr="004C1013">
              <w:t>2 661,00</w:t>
            </w:r>
          </w:p>
        </w:tc>
        <w:tc>
          <w:tcPr>
            <w:tcW w:w="1161" w:type="dxa"/>
            <w:hideMark/>
          </w:tcPr>
          <w:p w:rsidR="0011256D" w:rsidRPr="004C1013" w:rsidRDefault="0011256D" w:rsidP="00404B50">
            <w:pPr>
              <w:pStyle w:val="tabbielystyl"/>
            </w:pPr>
            <w:r w:rsidRPr="004C1013">
              <w:t>14.</w:t>
            </w:r>
          </w:p>
        </w:tc>
        <w:tc>
          <w:tcPr>
            <w:tcW w:w="1148" w:type="dxa"/>
            <w:hideMark/>
          </w:tcPr>
          <w:p w:rsidR="0011256D" w:rsidRPr="004C1013" w:rsidRDefault="0011256D" w:rsidP="00404B50">
            <w:pPr>
              <w:pStyle w:val="tabbielystyl"/>
            </w:pPr>
            <w:r w:rsidRPr="004C1013">
              <w:t>3 615,00</w:t>
            </w:r>
          </w:p>
        </w:tc>
        <w:tc>
          <w:tcPr>
            <w:tcW w:w="1161" w:type="dxa"/>
            <w:hideMark/>
          </w:tcPr>
          <w:p w:rsidR="0011256D" w:rsidRPr="004C1013" w:rsidRDefault="0011256D" w:rsidP="00404B50">
            <w:pPr>
              <w:pStyle w:val="tabbielystyl"/>
            </w:pPr>
            <w:r w:rsidRPr="004C1013">
              <w:t>7.</w:t>
            </w:r>
          </w:p>
        </w:tc>
        <w:tc>
          <w:tcPr>
            <w:tcW w:w="1148" w:type="dxa"/>
            <w:hideMark/>
          </w:tcPr>
          <w:p w:rsidR="0011256D" w:rsidRPr="004C1013" w:rsidRDefault="0011256D" w:rsidP="00404B50">
            <w:pPr>
              <w:pStyle w:val="tabbielystyl"/>
            </w:pPr>
            <w:r w:rsidRPr="004C1013">
              <w:t>6 818,00</w:t>
            </w:r>
          </w:p>
        </w:tc>
      </w:tr>
      <w:tr w:rsidR="0011256D" w:rsidRPr="004C1013" w:rsidTr="009B2509">
        <w:trPr>
          <w:trHeight w:val="300"/>
        </w:trPr>
        <w:tc>
          <w:tcPr>
            <w:tcW w:w="1317" w:type="dxa"/>
            <w:hideMark/>
          </w:tcPr>
          <w:p w:rsidR="0011256D" w:rsidRPr="004C1013" w:rsidRDefault="0011256D" w:rsidP="00404B50">
            <w:pPr>
              <w:pStyle w:val="tabbielystyl"/>
            </w:pPr>
            <w:r w:rsidRPr="004C1013">
              <w:t>2018</w:t>
            </w:r>
          </w:p>
        </w:tc>
        <w:tc>
          <w:tcPr>
            <w:tcW w:w="1042" w:type="dxa"/>
            <w:hideMark/>
          </w:tcPr>
          <w:p w:rsidR="0011256D" w:rsidRPr="004C1013" w:rsidRDefault="0011256D" w:rsidP="00404B50">
            <w:pPr>
              <w:pStyle w:val="tabbielystyl"/>
            </w:pPr>
            <w:r w:rsidRPr="004C1013">
              <w:t>9.</w:t>
            </w:r>
          </w:p>
        </w:tc>
        <w:tc>
          <w:tcPr>
            <w:tcW w:w="2092" w:type="dxa"/>
            <w:gridSpan w:val="3"/>
            <w:hideMark/>
          </w:tcPr>
          <w:p w:rsidR="0011256D" w:rsidRPr="004C1013" w:rsidRDefault="0011256D" w:rsidP="00404B50">
            <w:pPr>
              <w:pStyle w:val="tabbielystyl"/>
            </w:pPr>
            <w:r w:rsidRPr="005F2300">
              <w:t>1 374</w:t>
            </w:r>
          </w:p>
        </w:tc>
        <w:tc>
          <w:tcPr>
            <w:tcW w:w="1330" w:type="dxa"/>
            <w:noWrap/>
            <w:hideMark/>
          </w:tcPr>
          <w:p w:rsidR="0011256D" w:rsidRPr="004C1013" w:rsidRDefault="0011256D" w:rsidP="00404B50">
            <w:pPr>
              <w:pStyle w:val="tabbielystyl"/>
            </w:pPr>
            <w:r w:rsidRPr="004C1013">
              <w:t>14.</w:t>
            </w:r>
          </w:p>
        </w:tc>
        <w:tc>
          <w:tcPr>
            <w:tcW w:w="1330" w:type="dxa"/>
            <w:noWrap/>
            <w:hideMark/>
          </w:tcPr>
          <w:p w:rsidR="0011256D" w:rsidRPr="004C1013" w:rsidRDefault="0011256D" w:rsidP="00404B50">
            <w:pPr>
              <w:pStyle w:val="tabbielystyl"/>
            </w:pPr>
            <w:r w:rsidRPr="004C1013">
              <w:t>37 724</w:t>
            </w:r>
          </w:p>
        </w:tc>
        <w:tc>
          <w:tcPr>
            <w:tcW w:w="1161" w:type="dxa"/>
            <w:hideMark/>
          </w:tcPr>
          <w:p w:rsidR="0011256D" w:rsidRPr="004C1013" w:rsidRDefault="0011256D" w:rsidP="00404B50">
            <w:pPr>
              <w:pStyle w:val="tabbielystyl"/>
            </w:pPr>
            <w:r w:rsidRPr="004C1013">
              <w:t>12.</w:t>
            </w:r>
          </w:p>
        </w:tc>
        <w:tc>
          <w:tcPr>
            <w:tcW w:w="1148" w:type="dxa"/>
            <w:hideMark/>
          </w:tcPr>
          <w:p w:rsidR="0011256D" w:rsidRPr="004C1013" w:rsidRDefault="0011256D" w:rsidP="00404B50">
            <w:pPr>
              <w:pStyle w:val="tabbielystyl"/>
            </w:pPr>
            <w:r w:rsidRPr="004C1013">
              <w:t>2 821,00</w:t>
            </w:r>
          </w:p>
        </w:tc>
        <w:tc>
          <w:tcPr>
            <w:tcW w:w="1161" w:type="dxa"/>
            <w:hideMark/>
          </w:tcPr>
          <w:p w:rsidR="0011256D" w:rsidRPr="004C1013" w:rsidRDefault="0011256D" w:rsidP="00404B50">
            <w:pPr>
              <w:pStyle w:val="tabbielystyl"/>
            </w:pPr>
            <w:r w:rsidRPr="004C1013">
              <w:t>15.</w:t>
            </w:r>
          </w:p>
        </w:tc>
        <w:tc>
          <w:tcPr>
            <w:tcW w:w="1148" w:type="dxa"/>
            <w:hideMark/>
          </w:tcPr>
          <w:p w:rsidR="0011256D" w:rsidRPr="004C1013" w:rsidRDefault="0011256D" w:rsidP="00404B50">
            <w:pPr>
              <w:pStyle w:val="tabbielystyl"/>
            </w:pPr>
            <w:r w:rsidRPr="004C1013">
              <w:t>3 816,00</w:t>
            </w:r>
          </w:p>
        </w:tc>
        <w:tc>
          <w:tcPr>
            <w:tcW w:w="1161" w:type="dxa"/>
            <w:hideMark/>
          </w:tcPr>
          <w:p w:rsidR="0011256D" w:rsidRPr="004C1013" w:rsidRDefault="0011256D" w:rsidP="00404B50">
            <w:pPr>
              <w:pStyle w:val="tabbielystyl"/>
            </w:pPr>
            <w:r w:rsidRPr="004C1013">
              <w:t>8.</w:t>
            </w:r>
          </w:p>
        </w:tc>
        <w:tc>
          <w:tcPr>
            <w:tcW w:w="1148" w:type="dxa"/>
            <w:hideMark/>
          </w:tcPr>
          <w:p w:rsidR="0011256D" w:rsidRPr="004C1013" w:rsidRDefault="0011256D" w:rsidP="00404B50">
            <w:pPr>
              <w:pStyle w:val="tabbielystyl"/>
            </w:pPr>
            <w:r w:rsidRPr="004C1013">
              <w:t>6 159,00</w:t>
            </w:r>
          </w:p>
        </w:tc>
      </w:tr>
      <w:tr w:rsidR="0011256D" w:rsidRPr="004C1013" w:rsidTr="009B2509">
        <w:trPr>
          <w:trHeight w:val="330"/>
        </w:trPr>
        <w:tc>
          <w:tcPr>
            <w:tcW w:w="1317" w:type="dxa"/>
            <w:shd w:val="clear" w:color="auto" w:fill="BFBFBF" w:themeFill="background1" w:themeFillShade="BF"/>
            <w:hideMark/>
          </w:tcPr>
          <w:p w:rsidR="0011256D" w:rsidRPr="00404B50" w:rsidRDefault="0011256D" w:rsidP="00404B50">
            <w:pPr>
              <w:pStyle w:val="tabbielystyl"/>
              <w:rPr>
                <w:b/>
                <w:i/>
                <w:color w:val="000000"/>
              </w:rPr>
            </w:pPr>
            <w:r w:rsidRPr="00404B50">
              <w:rPr>
                <w:b/>
                <w:i/>
              </w:rPr>
              <w:t>Ročný priemer </w:t>
            </w:r>
          </w:p>
        </w:tc>
        <w:tc>
          <w:tcPr>
            <w:tcW w:w="1042"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2092" w:type="dxa"/>
            <w:gridSpan w:val="3"/>
            <w:shd w:val="clear" w:color="auto" w:fill="BFBFBF" w:themeFill="background1" w:themeFillShade="BF"/>
            <w:hideMark/>
          </w:tcPr>
          <w:p w:rsidR="0011256D" w:rsidRPr="00404B50" w:rsidRDefault="0011256D" w:rsidP="00404B50">
            <w:pPr>
              <w:pStyle w:val="tabbielystyl"/>
              <w:rPr>
                <w:b/>
                <w:i/>
              </w:rPr>
            </w:pPr>
            <w:r w:rsidRPr="005F2300">
              <w:rPr>
                <w:b/>
                <w:i/>
              </w:rPr>
              <w:t>1 145</w:t>
            </w:r>
          </w:p>
        </w:tc>
        <w:tc>
          <w:tcPr>
            <w:tcW w:w="1330" w:type="dxa"/>
            <w:shd w:val="clear" w:color="auto" w:fill="BFBFBF" w:themeFill="background1" w:themeFillShade="BF"/>
            <w:noWrap/>
            <w:hideMark/>
          </w:tcPr>
          <w:p w:rsidR="0011256D" w:rsidRPr="00404B50" w:rsidRDefault="0011256D" w:rsidP="00404B50">
            <w:pPr>
              <w:pStyle w:val="tabbielystyl"/>
              <w:rPr>
                <w:b/>
                <w:i/>
              </w:rPr>
            </w:pPr>
            <w:r w:rsidRPr="00404B50">
              <w:rPr>
                <w:b/>
                <w:i/>
              </w:rPr>
              <w:t> </w:t>
            </w:r>
          </w:p>
        </w:tc>
        <w:tc>
          <w:tcPr>
            <w:tcW w:w="1330" w:type="dxa"/>
            <w:shd w:val="clear" w:color="auto" w:fill="BFBFBF" w:themeFill="background1" w:themeFillShade="BF"/>
            <w:noWrap/>
            <w:hideMark/>
          </w:tcPr>
          <w:p w:rsidR="0011256D" w:rsidRPr="00404B50" w:rsidRDefault="0011256D" w:rsidP="00404B50">
            <w:pPr>
              <w:pStyle w:val="tabbielystyl"/>
              <w:rPr>
                <w:b/>
                <w:i/>
              </w:rPr>
            </w:pPr>
            <w:r w:rsidRPr="00404B50">
              <w:rPr>
                <w:b/>
                <w:i/>
              </w:rPr>
              <w:t>28 364</w:t>
            </w:r>
          </w:p>
        </w:tc>
        <w:tc>
          <w:tcPr>
            <w:tcW w:w="1161"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404B50">
            <w:pPr>
              <w:pStyle w:val="tabbielystyl"/>
              <w:rPr>
                <w:b/>
                <w:i/>
              </w:rPr>
            </w:pPr>
            <w:r w:rsidRPr="00404B50">
              <w:rPr>
                <w:b/>
                <w:i/>
              </w:rPr>
              <w:t>2 062</w:t>
            </w:r>
          </w:p>
        </w:tc>
        <w:tc>
          <w:tcPr>
            <w:tcW w:w="1161"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404B50">
            <w:pPr>
              <w:pStyle w:val="tabbielystyl"/>
              <w:rPr>
                <w:b/>
                <w:i/>
              </w:rPr>
            </w:pPr>
            <w:r w:rsidRPr="00404B50">
              <w:rPr>
                <w:b/>
                <w:i/>
              </w:rPr>
              <w:t>3 183,13</w:t>
            </w:r>
          </w:p>
        </w:tc>
        <w:tc>
          <w:tcPr>
            <w:tcW w:w="1161" w:type="dxa"/>
            <w:shd w:val="clear" w:color="auto" w:fill="BFBFBF" w:themeFill="background1" w:themeFillShade="BF"/>
            <w:hideMark/>
          </w:tcPr>
          <w:p w:rsidR="0011256D" w:rsidRPr="00404B50" w:rsidRDefault="0011256D" w:rsidP="00404B50">
            <w:pPr>
              <w:pStyle w:val="tabbielystyl"/>
              <w:rPr>
                <w:b/>
                <w:i/>
              </w:rPr>
            </w:pPr>
            <w:r w:rsidRPr="00404B50">
              <w:rPr>
                <w:b/>
                <w:i/>
              </w:rPr>
              <w:t> </w:t>
            </w:r>
          </w:p>
        </w:tc>
        <w:tc>
          <w:tcPr>
            <w:tcW w:w="1148" w:type="dxa"/>
            <w:shd w:val="clear" w:color="auto" w:fill="BFBFBF" w:themeFill="background1" w:themeFillShade="BF"/>
            <w:hideMark/>
          </w:tcPr>
          <w:p w:rsidR="0011256D" w:rsidRPr="00404B50" w:rsidRDefault="0011256D" w:rsidP="00404B50">
            <w:pPr>
              <w:pStyle w:val="tabbielystyl"/>
              <w:rPr>
                <w:b/>
                <w:i/>
              </w:rPr>
            </w:pPr>
            <w:r w:rsidRPr="00404B50">
              <w:rPr>
                <w:b/>
                <w:i/>
              </w:rPr>
              <w:t>4 509,75</w:t>
            </w:r>
          </w:p>
        </w:tc>
      </w:tr>
      <w:tr w:rsidR="0011256D" w:rsidRPr="004C1013" w:rsidTr="009B2509">
        <w:trPr>
          <w:trHeight w:val="461"/>
        </w:trPr>
        <w:tc>
          <w:tcPr>
            <w:tcW w:w="14038" w:type="dxa"/>
            <w:gridSpan w:val="13"/>
            <w:shd w:val="clear" w:color="auto" w:fill="7F7F7F" w:themeFill="text1" w:themeFillTint="80"/>
          </w:tcPr>
          <w:p w:rsidR="0011256D" w:rsidRPr="00B87BD8" w:rsidRDefault="0011256D" w:rsidP="0025522E">
            <w:pPr>
              <w:rPr>
                <w:b/>
                <w:color w:val="FFFFFF" w:themeColor="background1"/>
              </w:rPr>
            </w:pPr>
            <w:r w:rsidRPr="00B87BD8">
              <w:rPr>
                <w:b/>
                <w:color w:val="FFFFFF" w:themeColor="background1"/>
              </w:rPr>
              <w:t>VÝNOSY  (mil. €)</w:t>
            </w:r>
          </w:p>
        </w:tc>
      </w:tr>
      <w:tr w:rsidR="004C206A" w:rsidRPr="004C1013" w:rsidTr="0011256D">
        <w:trPr>
          <w:trHeight w:val="300"/>
        </w:trPr>
        <w:tc>
          <w:tcPr>
            <w:tcW w:w="1317" w:type="dxa"/>
            <w:hideMark/>
          </w:tcPr>
          <w:p w:rsidR="004C206A" w:rsidRPr="004C1013" w:rsidRDefault="004C206A" w:rsidP="00404B50">
            <w:pPr>
              <w:pStyle w:val="tabbielystyl"/>
            </w:pPr>
            <w:r w:rsidRPr="004C1013">
              <w:t>2004</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hideMark/>
          </w:tcPr>
          <w:p w:rsidR="004C206A" w:rsidRPr="004C1013" w:rsidRDefault="004C206A" w:rsidP="00404B50">
            <w:pPr>
              <w:pStyle w:val="tabbielystyl"/>
            </w:pPr>
            <w:r w:rsidRPr="004C1013">
              <w:t>- </w:t>
            </w:r>
          </w:p>
        </w:tc>
        <w:tc>
          <w:tcPr>
            <w:tcW w:w="1330"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1.</w:t>
            </w:r>
          </w:p>
        </w:tc>
        <w:tc>
          <w:tcPr>
            <w:tcW w:w="1148" w:type="dxa"/>
            <w:hideMark/>
          </w:tcPr>
          <w:p w:rsidR="004C206A" w:rsidRPr="004C1013" w:rsidRDefault="004C206A" w:rsidP="00404B50">
            <w:pPr>
              <w:pStyle w:val="tabbielystyl"/>
            </w:pPr>
            <w:r w:rsidRPr="004C1013">
              <w:t>785,12</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11256D">
        <w:trPr>
          <w:trHeight w:val="300"/>
        </w:trPr>
        <w:tc>
          <w:tcPr>
            <w:tcW w:w="1317" w:type="dxa"/>
            <w:hideMark/>
          </w:tcPr>
          <w:p w:rsidR="004C206A" w:rsidRPr="004C1013" w:rsidRDefault="004C206A" w:rsidP="00404B50">
            <w:pPr>
              <w:pStyle w:val="tabbielystyl"/>
            </w:pPr>
            <w:r w:rsidRPr="004C1013">
              <w:t>2005</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1.</w:t>
            </w:r>
          </w:p>
        </w:tc>
        <w:tc>
          <w:tcPr>
            <w:tcW w:w="1330" w:type="dxa"/>
            <w:noWrap/>
            <w:hideMark/>
          </w:tcPr>
          <w:p w:rsidR="004C206A" w:rsidRPr="004C1013" w:rsidRDefault="004C206A" w:rsidP="00404B50">
            <w:pPr>
              <w:pStyle w:val="tabbielystyl"/>
            </w:pPr>
            <w:r w:rsidRPr="004C1013">
              <w:t>2 590,00</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2.</w:t>
            </w:r>
          </w:p>
        </w:tc>
        <w:tc>
          <w:tcPr>
            <w:tcW w:w="1148" w:type="dxa"/>
            <w:hideMark/>
          </w:tcPr>
          <w:p w:rsidR="004C206A" w:rsidRPr="004C1013" w:rsidRDefault="004C206A" w:rsidP="00404B50">
            <w:pPr>
              <w:pStyle w:val="tabbielystyl"/>
            </w:pPr>
            <w:r w:rsidRPr="004C1013">
              <w:t>807,47</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11256D">
        <w:trPr>
          <w:trHeight w:val="300"/>
        </w:trPr>
        <w:tc>
          <w:tcPr>
            <w:tcW w:w="1317" w:type="dxa"/>
            <w:hideMark/>
          </w:tcPr>
          <w:p w:rsidR="004C206A" w:rsidRPr="004C1013" w:rsidRDefault="004C206A" w:rsidP="00404B50">
            <w:pPr>
              <w:pStyle w:val="tabbielystyl"/>
            </w:pPr>
            <w:r w:rsidRPr="004C1013">
              <w:t>2006</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2.</w:t>
            </w:r>
          </w:p>
        </w:tc>
        <w:tc>
          <w:tcPr>
            <w:tcW w:w="1330" w:type="dxa"/>
            <w:noWrap/>
            <w:hideMark/>
          </w:tcPr>
          <w:p w:rsidR="004C206A" w:rsidRPr="004C1013" w:rsidRDefault="004C206A" w:rsidP="00404B50">
            <w:pPr>
              <w:pStyle w:val="tabbielystyl"/>
            </w:pPr>
            <w:r w:rsidRPr="004C1013">
              <w:t>3 050,00</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3.</w:t>
            </w:r>
          </w:p>
        </w:tc>
        <w:tc>
          <w:tcPr>
            <w:tcW w:w="1148" w:type="dxa"/>
            <w:hideMark/>
          </w:tcPr>
          <w:p w:rsidR="004C206A" w:rsidRPr="004C1013" w:rsidRDefault="004C206A" w:rsidP="00404B50">
            <w:pPr>
              <w:pStyle w:val="tabbielystyl"/>
            </w:pPr>
            <w:r w:rsidRPr="004C1013">
              <w:t>825,18</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11256D">
        <w:trPr>
          <w:trHeight w:val="300"/>
        </w:trPr>
        <w:tc>
          <w:tcPr>
            <w:tcW w:w="1317" w:type="dxa"/>
            <w:hideMark/>
          </w:tcPr>
          <w:p w:rsidR="004C206A" w:rsidRPr="004C1013" w:rsidRDefault="004C206A" w:rsidP="00404B50">
            <w:pPr>
              <w:pStyle w:val="tabbielystyl"/>
            </w:pPr>
            <w:r w:rsidRPr="004C1013">
              <w:t>2007</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3.</w:t>
            </w:r>
          </w:p>
        </w:tc>
        <w:tc>
          <w:tcPr>
            <w:tcW w:w="1330" w:type="dxa"/>
            <w:noWrap/>
            <w:hideMark/>
          </w:tcPr>
          <w:p w:rsidR="004C206A" w:rsidRPr="004C1013" w:rsidRDefault="004C206A" w:rsidP="00404B50">
            <w:pPr>
              <w:pStyle w:val="tabbielystyl"/>
            </w:pPr>
            <w:r w:rsidRPr="004C1013">
              <w:t>3 310,00</w:t>
            </w:r>
          </w:p>
        </w:tc>
        <w:tc>
          <w:tcPr>
            <w:tcW w:w="1161" w:type="dxa"/>
            <w:hideMark/>
          </w:tcPr>
          <w:p w:rsidR="004C206A" w:rsidRPr="004C1013" w:rsidRDefault="004C206A" w:rsidP="00404B50">
            <w:pPr>
              <w:pStyle w:val="tabbielystyl"/>
            </w:pPr>
            <w:r w:rsidRPr="004C1013">
              <w:t>1.</w:t>
            </w:r>
          </w:p>
        </w:tc>
        <w:tc>
          <w:tcPr>
            <w:tcW w:w="1148" w:type="dxa"/>
            <w:hideMark/>
          </w:tcPr>
          <w:p w:rsidR="004C206A" w:rsidRPr="004C1013" w:rsidRDefault="004C206A" w:rsidP="00404B50">
            <w:pPr>
              <w:pStyle w:val="tabbielystyl"/>
            </w:pPr>
            <w:r w:rsidRPr="004C1013">
              <w:t>200,59</w:t>
            </w:r>
          </w:p>
        </w:tc>
        <w:tc>
          <w:tcPr>
            <w:tcW w:w="1161" w:type="dxa"/>
            <w:hideMark/>
          </w:tcPr>
          <w:p w:rsidR="004C206A" w:rsidRPr="004C1013" w:rsidRDefault="004C206A" w:rsidP="00404B50">
            <w:pPr>
              <w:pStyle w:val="tabbielystyl"/>
            </w:pPr>
            <w:r w:rsidRPr="004C1013">
              <w:t>4.</w:t>
            </w:r>
          </w:p>
        </w:tc>
        <w:tc>
          <w:tcPr>
            <w:tcW w:w="1148" w:type="dxa"/>
            <w:hideMark/>
          </w:tcPr>
          <w:p w:rsidR="004C206A" w:rsidRPr="004C1013" w:rsidRDefault="004C206A" w:rsidP="00404B50">
            <w:pPr>
              <w:pStyle w:val="tabbielystyl"/>
            </w:pPr>
            <w:r w:rsidRPr="004C1013">
              <w:t>983,67</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11256D">
        <w:trPr>
          <w:trHeight w:val="300"/>
        </w:trPr>
        <w:tc>
          <w:tcPr>
            <w:tcW w:w="1317" w:type="dxa"/>
            <w:hideMark/>
          </w:tcPr>
          <w:p w:rsidR="004C206A" w:rsidRPr="004C1013" w:rsidRDefault="004C206A" w:rsidP="00404B50">
            <w:pPr>
              <w:pStyle w:val="tabbielystyl"/>
            </w:pPr>
            <w:r w:rsidRPr="004C1013">
              <w:t>2008</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4.</w:t>
            </w:r>
          </w:p>
        </w:tc>
        <w:tc>
          <w:tcPr>
            <w:tcW w:w="1330" w:type="dxa"/>
            <w:noWrap/>
            <w:hideMark/>
          </w:tcPr>
          <w:p w:rsidR="004C206A" w:rsidRPr="004C1013" w:rsidRDefault="004C206A" w:rsidP="00404B50">
            <w:pPr>
              <w:pStyle w:val="tabbielystyl"/>
            </w:pPr>
            <w:r w:rsidRPr="004C1013">
              <w:t>3 490,00</w:t>
            </w:r>
          </w:p>
        </w:tc>
        <w:tc>
          <w:tcPr>
            <w:tcW w:w="1161" w:type="dxa"/>
            <w:hideMark/>
          </w:tcPr>
          <w:p w:rsidR="004C206A" w:rsidRPr="004C1013" w:rsidRDefault="004C206A" w:rsidP="00404B50">
            <w:pPr>
              <w:pStyle w:val="tabbielystyl"/>
            </w:pPr>
            <w:r w:rsidRPr="004C1013">
              <w:t>2.</w:t>
            </w:r>
          </w:p>
        </w:tc>
        <w:tc>
          <w:tcPr>
            <w:tcW w:w="1148" w:type="dxa"/>
            <w:hideMark/>
          </w:tcPr>
          <w:p w:rsidR="004C206A" w:rsidRPr="004C1013" w:rsidRDefault="004C206A" w:rsidP="00404B50">
            <w:pPr>
              <w:pStyle w:val="tabbielystyl"/>
            </w:pPr>
            <w:r w:rsidRPr="004C1013">
              <w:t>246,27</w:t>
            </w:r>
          </w:p>
        </w:tc>
        <w:tc>
          <w:tcPr>
            <w:tcW w:w="1161" w:type="dxa"/>
            <w:hideMark/>
          </w:tcPr>
          <w:p w:rsidR="004C206A" w:rsidRPr="004C1013" w:rsidRDefault="004C206A" w:rsidP="00404B50">
            <w:pPr>
              <w:pStyle w:val="tabbielystyl"/>
            </w:pPr>
            <w:r w:rsidRPr="004C1013">
              <w:t>5.</w:t>
            </w:r>
          </w:p>
        </w:tc>
        <w:tc>
          <w:tcPr>
            <w:tcW w:w="1148" w:type="dxa"/>
            <w:hideMark/>
          </w:tcPr>
          <w:p w:rsidR="004C206A" w:rsidRPr="004C1013" w:rsidRDefault="004C206A" w:rsidP="00404B50">
            <w:pPr>
              <w:pStyle w:val="tabbielystyl"/>
            </w:pPr>
            <w:r w:rsidRPr="004C1013">
              <w:t>1 062,01</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11256D">
        <w:trPr>
          <w:trHeight w:val="300"/>
        </w:trPr>
        <w:tc>
          <w:tcPr>
            <w:tcW w:w="1317" w:type="dxa"/>
            <w:hideMark/>
          </w:tcPr>
          <w:p w:rsidR="004C206A" w:rsidRPr="004C1013" w:rsidRDefault="004C206A" w:rsidP="00404B50">
            <w:pPr>
              <w:pStyle w:val="tabbielystyl"/>
            </w:pPr>
            <w:r w:rsidRPr="004C1013">
              <w:t>2009</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5.</w:t>
            </w:r>
          </w:p>
        </w:tc>
        <w:tc>
          <w:tcPr>
            <w:tcW w:w="1330" w:type="dxa"/>
            <w:noWrap/>
            <w:hideMark/>
          </w:tcPr>
          <w:p w:rsidR="004C206A" w:rsidRPr="004C1013" w:rsidRDefault="004C206A" w:rsidP="00404B50">
            <w:pPr>
              <w:pStyle w:val="tabbielystyl"/>
            </w:pPr>
            <w:r w:rsidRPr="004C1013">
              <w:t>4 330,00</w:t>
            </w:r>
          </w:p>
        </w:tc>
        <w:tc>
          <w:tcPr>
            <w:tcW w:w="1161" w:type="dxa"/>
            <w:hideMark/>
          </w:tcPr>
          <w:p w:rsidR="004C206A" w:rsidRPr="004C1013" w:rsidRDefault="004C206A" w:rsidP="00404B50">
            <w:pPr>
              <w:pStyle w:val="tabbielystyl"/>
            </w:pPr>
            <w:r w:rsidRPr="004C1013">
              <w:t>3.</w:t>
            </w:r>
          </w:p>
        </w:tc>
        <w:tc>
          <w:tcPr>
            <w:tcW w:w="1148" w:type="dxa"/>
            <w:hideMark/>
          </w:tcPr>
          <w:p w:rsidR="004C206A" w:rsidRPr="004C1013" w:rsidRDefault="004C206A" w:rsidP="00404B50">
            <w:pPr>
              <w:pStyle w:val="tabbielystyl"/>
            </w:pPr>
            <w:r w:rsidRPr="004C1013">
              <w:t>209,72</w:t>
            </w:r>
          </w:p>
        </w:tc>
        <w:tc>
          <w:tcPr>
            <w:tcW w:w="1161" w:type="dxa"/>
            <w:hideMark/>
          </w:tcPr>
          <w:p w:rsidR="004C206A" w:rsidRPr="004C1013" w:rsidRDefault="004C206A" w:rsidP="00404B50">
            <w:pPr>
              <w:pStyle w:val="tabbielystyl"/>
            </w:pPr>
            <w:r w:rsidRPr="004C1013">
              <w:t>6.</w:t>
            </w:r>
          </w:p>
        </w:tc>
        <w:tc>
          <w:tcPr>
            <w:tcW w:w="1148" w:type="dxa"/>
            <w:hideMark/>
          </w:tcPr>
          <w:p w:rsidR="004C206A" w:rsidRPr="004C1013" w:rsidRDefault="004C206A" w:rsidP="00404B50">
            <w:pPr>
              <w:pStyle w:val="tabbielystyl"/>
            </w:pPr>
            <w:r w:rsidRPr="004C1013">
              <w:t>926,17</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9B2509">
        <w:trPr>
          <w:trHeight w:val="300"/>
        </w:trPr>
        <w:tc>
          <w:tcPr>
            <w:tcW w:w="1317" w:type="dxa"/>
            <w:hideMark/>
          </w:tcPr>
          <w:p w:rsidR="004C206A" w:rsidRPr="004C1013" w:rsidRDefault="004C206A" w:rsidP="00404B50">
            <w:pPr>
              <w:pStyle w:val="tabbielystyl"/>
            </w:pPr>
            <w:r w:rsidRPr="004C1013">
              <w:t>2010</w:t>
            </w:r>
          </w:p>
        </w:tc>
        <w:tc>
          <w:tcPr>
            <w:tcW w:w="1042" w:type="dxa"/>
            <w:hideMark/>
          </w:tcPr>
          <w:p w:rsidR="004C206A" w:rsidRPr="004C1013" w:rsidRDefault="004C206A" w:rsidP="00404B50">
            <w:pPr>
              <w:pStyle w:val="tabbielystyl"/>
            </w:pPr>
            <w:r w:rsidRPr="004C1013">
              <w:t>1.</w:t>
            </w:r>
          </w:p>
        </w:tc>
        <w:tc>
          <w:tcPr>
            <w:tcW w:w="1130" w:type="dxa"/>
            <w:gridSpan w:val="2"/>
            <w:hideMark/>
          </w:tcPr>
          <w:p w:rsidR="004C206A" w:rsidRPr="004C1013" w:rsidRDefault="004C206A" w:rsidP="00404B50">
            <w:pPr>
              <w:pStyle w:val="tabbielystyl"/>
            </w:pPr>
            <w:r w:rsidRPr="004C1013">
              <w:t>141,81</w:t>
            </w:r>
          </w:p>
        </w:tc>
        <w:tc>
          <w:tcPr>
            <w:tcW w:w="962" w:type="dxa"/>
            <w:vAlign w:val="bottom"/>
          </w:tcPr>
          <w:p w:rsidR="004C206A" w:rsidRPr="0011256D" w:rsidRDefault="004C206A" w:rsidP="0011256D">
            <w:pPr>
              <w:pStyle w:val="tabbielystyl"/>
            </w:pPr>
            <w:r w:rsidRPr="0011256D">
              <w:t>141,63</w:t>
            </w:r>
          </w:p>
        </w:tc>
        <w:tc>
          <w:tcPr>
            <w:tcW w:w="1330" w:type="dxa"/>
            <w:noWrap/>
            <w:hideMark/>
          </w:tcPr>
          <w:p w:rsidR="004C206A" w:rsidRPr="004C1013" w:rsidRDefault="004C206A" w:rsidP="00404B50">
            <w:pPr>
              <w:pStyle w:val="tabbielystyl"/>
            </w:pPr>
            <w:r w:rsidRPr="004C1013">
              <w:t>6.</w:t>
            </w:r>
          </w:p>
        </w:tc>
        <w:tc>
          <w:tcPr>
            <w:tcW w:w="1330" w:type="dxa"/>
            <w:noWrap/>
            <w:hideMark/>
          </w:tcPr>
          <w:p w:rsidR="004C206A" w:rsidRPr="004C1013" w:rsidRDefault="004C206A" w:rsidP="00404B50">
            <w:pPr>
              <w:pStyle w:val="tabbielystyl"/>
            </w:pPr>
            <w:r w:rsidRPr="004C1013">
              <w:t>4 510,00</w:t>
            </w:r>
          </w:p>
        </w:tc>
        <w:tc>
          <w:tcPr>
            <w:tcW w:w="1161" w:type="dxa"/>
            <w:hideMark/>
          </w:tcPr>
          <w:p w:rsidR="004C206A" w:rsidRPr="004C1013" w:rsidRDefault="004C206A" w:rsidP="00404B50">
            <w:pPr>
              <w:pStyle w:val="tabbielystyl"/>
            </w:pPr>
            <w:r w:rsidRPr="004C1013">
              <w:t>4.</w:t>
            </w:r>
          </w:p>
        </w:tc>
        <w:tc>
          <w:tcPr>
            <w:tcW w:w="1148" w:type="dxa"/>
            <w:hideMark/>
          </w:tcPr>
          <w:p w:rsidR="004C206A" w:rsidRPr="004C1013" w:rsidRDefault="004C206A" w:rsidP="00404B50">
            <w:pPr>
              <w:pStyle w:val="tabbielystyl"/>
            </w:pPr>
            <w:r w:rsidRPr="004C1013">
              <w:t>258,24</w:t>
            </w:r>
          </w:p>
        </w:tc>
        <w:tc>
          <w:tcPr>
            <w:tcW w:w="1161" w:type="dxa"/>
            <w:hideMark/>
          </w:tcPr>
          <w:p w:rsidR="004C206A" w:rsidRPr="004C1013" w:rsidRDefault="004C206A" w:rsidP="00404B50">
            <w:pPr>
              <w:pStyle w:val="tabbielystyl"/>
            </w:pPr>
            <w:r w:rsidRPr="004C1013">
              <w:t>7.</w:t>
            </w:r>
          </w:p>
        </w:tc>
        <w:tc>
          <w:tcPr>
            <w:tcW w:w="1148" w:type="dxa"/>
            <w:hideMark/>
          </w:tcPr>
          <w:p w:rsidR="004C206A" w:rsidRPr="004C1013" w:rsidRDefault="004C206A" w:rsidP="00404B50">
            <w:pPr>
              <w:pStyle w:val="tabbielystyl"/>
            </w:pPr>
            <w:r w:rsidRPr="004C1013">
              <w:t>1 031,01</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9B2509">
        <w:trPr>
          <w:trHeight w:val="300"/>
        </w:trPr>
        <w:tc>
          <w:tcPr>
            <w:tcW w:w="1317" w:type="dxa"/>
            <w:hideMark/>
          </w:tcPr>
          <w:p w:rsidR="004C206A" w:rsidRPr="004C1013" w:rsidRDefault="004C206A" w:rsidP="00404B50">
            <w:pPr>
              <w:pStyle w:val="tabbielystyl"/>
            </w:pPr>
            <w:r w:rsidRPr="004C1013">
              <w:t>2011</w:t>
            </w:r>
          </w:p>
        </w:tc>
        <w:tc>
          <w:tcPr>
            <w:tcW w:w="1042" w:type="dxa"/>
            <w:hideMark/>
          </w:tcPr>
          <w:p w:rsidR="004C206A" w:rsidRPr="004C1013" w:rsidRDefault="004C206A" w:rsidP="00404B50">
            <w:pPr>
              <w:pStyle w:val="tabbielystyl"/>
            </w:pPr>
            <w:r w:rsidRPr="004C1013">
              <w:t>2.</w:t>
            </w:r>
          </w:p>
        </w:tc>
        <w:tc>
          <w:tcPr>
            <w:tcW w:w="1130" w:type="dxa"/>
            <w:gridSpan w:val="2"/>
            <w:hideMark/>
          </w:tcPr>
          <w:p w:rsidR="004C206A" w:rsidRPr="004C1013" w:rsidRDefault="004C206A" w:rsidP="00404B50">
            <w:pPr>
              <w:pStyle w:val="tabbielystyl"/>
            </w:pPr>
            <w:r w:rsidRPr="004C1013">
              <w:t>154,06</w:t>
            </w:r>
          </w:p>
        </w:tc>
        <w:tc>
          <w:tcPr>
            <w:tcW w:w="962" w:type="dxa"/>
            <w:vAlign w:val="bottom"/>
          </w:tcPr>
          <w:p w:rsidR="004C206A" w:rsidRPr="0011256D" w:rsidRDefault="004C206A" w:rsidP="0011256D">
            <w:pPr>
              <w:pStyle w:val="tabbielystyl"/>
            </w:pPr>
            <w:r w:rsidRPr="0011256D">
              <w:t>153,95</w:t>
            </w:r>
          </w:p>
        </w:tc>
        <w:tc>
          <w:tcPr>
            <w:tcW w:w="1330" w:type="dxa"/>
            <w:noWrap/>
            <w:hideMark/>
          </w:tcPr>
          <w:p w:rsidR="004C206A" w:rsidRPr="004C1013" w:rsidRDefault="004C206A" w:rsidP="00404B50">
            <w:pPr>
              <w:pStyle w:val="tabbielystyl"/>
            </w:pPr>
            <w:r w:rsidRPr="004C1013">
              <w:t>7.</w:t>
            </w:r>
          </w:p>
        </w:tc>
        <w:tc>
          <w:tcPr>
            <w:tcW w:w="1330" w:type="dxa"/>
            <w:noWrap/>
            <w:hideMark/>
          </w:tcPr>
          <w:p w:rsidR="004C206A" w:rsidRPr="004C1013" w:rsidRDefault="004C206A" w:rsidP="00404B50">
            <w:pPr>
              <w:pStyle w:val="tabbielystyl"/>
            </w:pPr>
            <w:r w:rsidRPr="004C1013">
              <w:t>4 480,00</w:t>
            </w:r>
          </w:p>
        </w:tc>
        <w:tc>
          <w:tcPr>
            <w:tcW w:w="1161" w:type="dxa"/>
            <w:hideMark/>
          </w:tcPr>
          <w:p w:rsidR="004C206A" w:rsidRPr="004C1013" w:rsidRDefault="004C206A" w:rsidP="00404B50">
            <w:pPr>
              <w:pStyle w:val="tabbielystyl"/>
            </w:pPr>
            <w:r w:rsidRPr="004C1013">
              <w:t>5.</w:t>
            </w:r>
          </w:p>
        </w:tc>
        <w:tc>
          <w:tcPr>
            <w:tcW w:w="1148" w:type="dxa"/>
            <w:hideMark/>
          </w:tcPr>
          <w:p w:rsidR="004C206A" w:rsidRPr="004C1013" w:rsidRDefault="004C206A" w:rsidP="00404B50">
            <w:pPr>
              <w:pStyle w:val="tabbielystyl"/>
            </w:pPr>
            <w:r w:rsidRPr="004C1013">
              <w:t>330,42</w:t>
            </w:r>
          </w:p>
        </w:tc>
        <w:tc>
          <w:tcPr>
            <w:tcW w:w="1161" w:type="dxa"/>
            <w:hideMark/>
          </w:tcPr>
          <w:p w:rsidR="004C206A" w:rsidRPr="004C1013" w:rsidRDefault="004C206A" w:rsidP="00404B50">
            <w:pPr>
              <w:pStyle w:val="tabbielystyl"/>
            </w:pPr>
            <w:r w:rsidRPr="004C1013">
              <w:t>8.</w:t>
            </w:r>
          </w:p>
        </w:tc>
        <w:tc>
          <w:tcPr>
            <w:tcW w:w="1148" w:type="dxa"/>
            <w:hideMark/>
          </w:tcPr>
          <w:p w:rsidR="004C206A" w:rsidRPr="004C1013" w:rsidRDefault="004C206A" w:rsidP="00404B50">
            <w:pPr>
              <w:pStyle w:val="tabbielystyl"/>
            </w:pPr>
            <w:r w:rsidRPr="004C1013">
              <w:t>1 062,38</w:t>
            </w:r>
          </w:p>
        </w:tc>
        <w:tc>
          <w:tcPr>
            <w:tcW w:w="1161" w:type="dxa"/>
            <w:hideMark/>
          </w:tcPr>
          <w:p w:rsidR="004C206A" w:rsidRPr="004C1013" w:rsidRDefault="004C206A" w:rsidP="00404B50">
            <w:pPr>
              <w:pStyle w:val="tabbielystyl"/>
            </w:pPr>
            <w:r w:rsidRPr="004C1013">
              <w:t>1.</w:t>
            </w:r>
          </w:p>
        </w:tc>
        <w:tc>
          <w:tcPr>
            <w:tcW w:w="1148" w:type="dxa"/>
            <w:hideMark/>
          </w:tcPr>
          <w:p w:rsidR="004C206A" w:rsidRPr="004C1013" w:rsidRDefault="004C206A" w:rsidP="00404B50">
            <w:pPr>
              <w:pStyle w:val="tabbielystyl"/>
            </w:pPr>
            <w:r w:rsidRPr="004C1013">
              <w:t>83,39</w:t>
            </w:r>
          </w:p>
        </w:tc>
      </w:tr>
      <w:tr w:rsidR="004C206A" w:rsidRPr="004C1013" w:rsidTr="009B2509">
        <w:trPr>
          <w:trHeight w:val="300"/>
        </w:trPr>
        <w:tc>
          <w:tcPr>
            <w:tcW w:w="1317" w:type="dxa"/>
            <w:hideMark/>
          </w:tcPr>
          <w:p w:rsidR="004C206A" w:rsidRPr="004C1013" w:rsidRDefault="004C206A" w:rsidP="00404B50">
            <w:pPr>
              <w:pStyle w:val="tabbielystyl"/>
            </w:pPr>
            <w:r w:rsidRPr="004C1013">
              <w:t>2012</w:t>
            </w:r>
          </w:p>
        </w:tc>
        <w:tc>
          <w:tcPr>
            <w:tcW w:w="1042" w:type="dxa"/>
            <w:hideMark/>
          </w:tcPr>
          <w:p w:rsidR="004C206A" w:rsidRPr="004C1013" w:rsidRDefault="004C206A" w:rsidP="00404B50">
            <w:pPr>
              <w:pStyle w:val="tabbielystyl"/>
            </w:pPr>
            <w:r w:rsidRPr="004C1013">
              <w:t>3.</w:t>
            </w:r>
          </w:p>
        </w:tc>
        <w:tc>
          <w:tcPr>
            <w:tcW w:w="1130" w:type="dxa"/>
            <w:gridSpan w:val="2"/>
            <w:hideMark/>
          </w:tcPr>
          <w:p w:rsidR="004C206A" w:rsidRPr="004C1013" w:rsidRDefault="004C206A" w:rsidP="00404B50">
            <w:pPr>
              <w:pStyle w:val="tabbielystyl"/>
            </w:pPr>
            <w:r w:rsidRPr="004C1013">
              <w:t>155,52</w:t>
            </w:r>
          </w:p>
        </w:tc>
        <w:tc>
          <w:tcPr>
            <w:tcW w:w="962" w:type="dxa"/>
            <w:vAlign w:val="bottom"/>
          </w:tcPr>
          <w:p w:rsidR="004C206A" w:rsidRPr="0011256D" w:rsidRDefault="004C206A" w:rsidP="0011256D">
            <w:pPr>
              <w:pStyle w:val="tabbielystyl"/>
            </w:pPr>
            <w:r w:rsidRPr="0011256D">
              <w:t>154,80</w:t>
            </w:r>
          </w:p>
        </w:tc>
        <w:tc>
          <w:tcPr>
            <w:tcW w:w="1330" w:type="dxa"/>
            <w:noWrap/>
            <w:hideMark/>
          </w:tcPr>
          <w:p w:rsidR="004C206A" w:rsidRPr="004C1013" w:rsidRDefault="004C206A" w:rsidP="00404B50">
            <w:pPr>
              <w:pStyle w:val="tabbielystyl"/>
            </w:pPr>
            <w:r w:rsidRPr="004C1013">
              <w:t>8.</w:t>
            </w:r>
          </w:p>
        </w:tc>
        <w:tc>
          <w:tcPr>
            <w:tcW w:w="1330" w:type="dxa"/>
            <w:noWrap/>
            <w:hideMark/>
          </w:tcPr>
          <w:p w:rsidR="004C206A" w:rsidRPr="004C1013" w:rsidRDefault="004C206A" w:rsidP="00404B50">
            <w:pPr>
              <w:pStyle w:val="tabbielystyl"/>
            </w:pPr>
            <w:r w:rsidRPr="004C1013">
              <w:t>4 360,00</w:t>
            </w:r>
          </w:p>
        </w:tc>
        <w:tc>
          <w:tcPr>
            <w:tcW w:w="1161" w:type="dxa"/>
            <w:hideMark/>
          </w:tcPr>
          <w:p w:rsidR="004C206A" w:rsidRPr="004C1013" w:rsidRDefault="004C206A" w:rsidP="00404B50">
            <w:pPr>
              <w:pStyle w:val="tabbielystyl"/>
            </w:pPr>
            <w:r w:rsidRPr="004C1013">
              <w:t>6.</w:t>
            </w:r>
          </w:p>
        </w:tc>
        <w:tc>
          <w:tcPr>
            <w:tcW w:w="1148" w:type="dxa"/>
            <w:hideMark/>
          </w:tcPr>
          <w:p w:rsidR="004C206A" w:rsidRPr="004C1013" w:rsidRDefault="004C206A" w:rsidP="00404B50">
            <w:pPr>
              <w:pStyle w:val="tabbielystyl"/>
            </w:pPr>
            <w:r w:rsidRPr="004C1013">
              <w:t>345,14</w:t>
            </w:r>
          </w:p>
        </w:tc>
        <w:tc>
          <w:tcPr>
            <w:tcW w:w="1161" w:type="dxa"/>
            <w:hideMark/>
          </w:tcPr>
          <w:p w:rsidR="004C206A" w:rsidRPr="004C1013" w:rsidRDefault="004C206A" w:rsidP="00404B50">
            <w:pPr>
              <w:pStyle w:val="tabbielystyl"/>
            </w:pPr>
            <w:r w:rsidRPr="004C1013">
              <w:t>9.</w:t>
            </w:r>
          </w:p>
        </w:tc>
        <w:tc>
          <w:tcPr>
            <w:tcW w:w="1148" w:type="dxa"/>
            <w:hideMark/>
          </w:tcPr>
          <w:p w:rsidR="004C206A" w:rsidRPr="004C1013" w:rsidRDefault="004C206A" w:rsidP="00404B50">
            <w:pPr>
              <w:pStyle w:val="tabbielystyl"/>
            </w:pPr>
            <w:r w:rsidRPr="004C1013">
              <w:t>1 102,76</w:t>
            </w:r>
          </w:p>
        </w:tc>
        <w:tc>
          <w:tcPr>
            <w:tcW w:w="1161" w:type="dxa"/>
            <w:hideMark/>
          </w:tcPr>
          <w:p w:rsidR="004C206A" w:rsidRPr="004C1013" w:rsidRDefault="004C206A" w:rsidP="00404B50">
            <w:pPr>
              <w:pStyle w:val="tabbielystyl"/>
            </w:pPr>
            <w:r w:rsidRPr="004C1013">
              <w:t>2.</w:t>
            </w:r>
          </w:p>
        </w:tc>
        <w:tc>
          <w:tcPr>
            <w:tcW w:w="1148" w:type="dxa"/>
            <w:hideMark/>
          </w:tcPr>
          <w:p w:rsidR="004C206A" w:rsidRPr="004C1013" w:rsidRDefault="004C206A" w:rsidP="00404B50">
            <w:pPr>
              <w:pStyle w:val="tabbielystyl"/>
            </w:pPr>
            <w:r w:rsidRPr="004C1013">
              <w:t>194,44</w:t>
            </w:r>
          </w:p>
        </w:tc>
      </w:tr>
      <w:tr w:rsidR="004C206A" w:rsidRPr="004C1013" w:rsidTr="009B2509">
        <w:trPr>
          <w:trHeight w:val="300"/>
        </w:trPr>
        <w:tc>
          <w:tcPr>
            <w:tcW w:w="1317" w:type="dxa"/>
            <w:hideMark/>
          </w:tcPr>
          <w:p w:rsidR="004C206A" w:rsidRPr="004C1013" w:rsidRDefault="004C206A" w:rsidP="00404B50">
            <w:pPr>
              <w:pStyle w:val="tabbielystyl"/>
            </w:pPr>
            <w:r w:rsidRPr="004C1013">
              <w:t>2013</w:t>
            </w:r>
          </w:p>
        </w:tc>
        <w:tc>
          <w:tcPr>
            <w:tcW w:w="1042" w:type="dxa"/>
            <w:hideMark/>
          </w:tcPr>
          <w:p w:rsidR="004C206A" w:rsidRPr="004C1013" w:rsidRDefault="004C206A" w:rsidP="00404B50">
            <w:pPr>
              <w:pStyle w:val="tabbielystyl"/>
            </w:pPr>
            <w:r w:rsidRPr="004C1013">
              <w:t>4.</w:t>
            </w:r>
          </w:p>
        </w:tc>
        <w:tc>
          <w:tcPr>
            <w:tcW w:w="1130" w:type="dxa"/>
            <w:gridSpan w:val="2"/>
            <w:hideMark/>
          </w:tcPr>
          <w:p w:rsidR="004C206A" w:rsidRPr="004C1013" w:rsidRDefault="004C206A" w:rsidP="00404B50">
            <w:pPr>
              <w:pStyle w:val="tabbielystyl"/>
            </w:pPr>
            <w:r w:rsidRPr="004C1013">
              <w:t>159,07</w:t>
            </w:r>
          </w:p>
        </w:tc>
        <w:tc>
          <w:tcPr>
            <w:tcW w:w="962" w:type="dxa"/>
            <w:vAlign w:val="bottom"/>
          </w:tcPr>
          <w:p w:rsidR="004C206A" w:rsidRPr="0011256D" w:rsidRDefault="004C206A" w:rsidP="0011256D">
            <w:pPr>
              <w:pStyle w:val="tabbielystyl"/>
            </w:pPr>
            <w:r w:rsidRPr="0011256D">
              <w:t>158,66</w:t>
            </w:r>
          </w:p>
        </w:tc>
        <w:tc>
          <w:tcPr>
            <w:tcW w:w="1330" w:type="dxa"/>
            <w:noWrap/>
            <w:hideMark/>
          </w:tcPr>
          <w:p w:rsidR="004C206A" w:rsidRPr="004C1013" w:rsidRDefault="004C206A" w:rsidP="00404B50">
            <w:pPr>
              <w:pStyle w:val="tabbielystyl"/>
            </w:pPr>
            <w:r w:rsidRPr="004C1013">
              <w:t>9.</w:t>
            </w:r>
          </w:p>
        </w:tc>
        <w:tc>
          <w:tcPr>
            <w:tcW w:w="1330" w:type="dxa"/>
            <w:noWrap/>
            <w:hideMark/>
          </w:tcPr>
          <w:p w:rsidR="004C206A" w:rsidRPr="004C1013" w:rsidRDefault="004C206A" w:rsidP="00404B50">
            <w:pPr>
              <w:pStyle w:val="tabbielystyl"/>
            </w:pPr>
            <w:r w:rsidRPr="004C1013">
              <w:t>4 390,00</w:t>
            </w:r>
          </w:p>
        </w:tc>
        <w:tc>
          <w:tcPr>
            <w:tcW w:w="1161" w:type="dxa"/>
            <w:hideMark/>
          </w:tcPr>
          <w:p w:rsidR="004C206A" w:rsidRPr="004C1013" w:rsidRDefault="004C206A" w:rsidP="00404B50">
            <w:pPr>
              <w:pStyle w:val="tabbielystyl"/>
            </w:pPr>
            <w:r w:rsidRPr="004C1013">
              <w:t>7.</w:t>
            </w:r>
          </w:p>
        </w:tc>
        <w:tc>
          <w:tcPr>
            <w:tcW w:w="1148" w:type="dxa"/>
            <w:hideMark/>
          </w:tcPr>
          <w:p w:rsidR="004C206A" w:rsidRPr="004C1013" w:rsidRDefault="004C206A" w:rsidP="00404B50">
            <w:pPr>
              <w:pStyle w:val="tabbielystyl"/>
            </w:pPr>
            <w:r w:rsidRPr="004C1013">
              <w:t>329,41</w:t>
            </w:r>
          </w:p>
        </w:tc>
        <w:tc>
          <w:tcPr>
            <w:tcW w:w="1161" w:type="dxa"/>
            <w:hideMark/>
          </w:tcPr>
          <w:p w:rsidR="004C206A" w:rsidRPr="004C1013" w:rsidRDefault="004C206A" w:rsidP="00404B50">
            <w:pPr>
              <w:pStyle w:val="tabbielystyl"/>
            </w:pPr>
            <w:r w:rsidRPr="004C1013">
              <w:t>10.</w:t>
            </w:r>
          </w:p>
        </w:tc>
        <w:tc>
          <w:tcPr>
            <w:tcW w:w="1148" w:type="dxa"/>
            <w:hideMark/>
          </w:tcPr>
          <w:p w:rsidR="004C206A" w:rsidRPr="004C1013" w:rsidRDefault="004C206A" w:rsidP="00404B50">
            <w:pPr>
              <w:pStyle w:val="tabbielystyl"/>
            </w:pPr>
            <w:r w:rsidRPr="004C1013">
              <w:t>1 134,53</w:t>
            </w:r>
          </w:p>
        </w:tc>
        <w:tc>
          <w:tcPr>
            <w:tcW w:w="1161" w:type="dxa"/>
            <w:hideMark/>
          </w:tcPr>
          <w:p w:rsidR="004C206A" w:rsidRPr="004C1013" w:rsidRDefault="004C206A" w:rsidP="00404B50">
            <w:pPr>
              <w:pStyle w:val="tabbielystyl"/>
            </w:pPr>
            <w:r w:rsidRPr="004C1013">
              <w:t>3.</w:t>
            </w:r>
          </w:p>
        </w:tc>
        <w:tc>
          <w:tcPr>
            <w:tcW w:w="1148" w:type="dxa"/>
            <w:hideMark/>
          </w:tcPr>
          <w:p w:rsidR="004C206A" w:rsidRPr="004C1013" w:rsidRDefault="004C206A" w:rsidP="00404B50">
            <w:pPr>
              <w:pStyle w:val="tabbielystyl"/>
            </w:pPr>
            <w:r w:rsidRPr="004C1013">
              <w:t>240,11</w:t>
            </w:r>
          </w:p>
        </w:tc>
      </w:tr>
      <w:tr w:rsidR="004C206A" w:rsidRPr="004C1013" w:rsidTr="009B2509">
        <w:trPr>
          <w:trHeight w:val="300"/>
        </w:trPr>
        <w:tc>
          <w:tcPr>
            <w:tcW w:w="1317" w:type="dxa"/>
            <w:hideMark/>
          </w:tcPr>
          <w:p w:rsidR="004C206A" w:rsidRPr="004C1013" w:rsidRDefault="004C206A" w:rsidP="00404B50">
            <w:pPr>
              <w:pStyle w:val="tabbielystyl"/>
            </w:pPr>
            <w:r w:rsidRPr="004C1013">
              <w:t>2014</w:t>
            </w:r>
          </w:p>
        </w:tc>
        <w:tc>
          <w:tcPr>
            <w:tcW w:w="1042" w:type="dxa"/>
            <w:hideMark/>
          </w:tcPr>
          <w:p w:rsidR="004C206A" w:rsidRPr="004C1013" w:rsidRDefault="004C206A" w:rsidP="00404B50">
            <w:pPr>
              <w:pStyle w:val="tabbielystyl"/>
            </w:pPr>
            <w:r w:rsidRPr="004C1013">
              <w:t>5.</w:t>
            </w:r>
          </w:p>
        </w:tc>
        <w:tc>
          <w:tcPr>
            <w:tcW w:w="1130" w:type="dxa"/>
            <w:gridSpan w:val="2"/>
            <w:hideMark/>
          </w:tcPr>
          <w:p w:rsidR="004C206A" w:rsidRPr="004C1013" w:rsidRDefault="004C206A" w:rsidP="00404B50">
            <w:pPr>
              <w:pStyle w:val="tabbielystyl"/>
            </w:pPr>
            <w:r w:rsidRPr="004C1013">
              <w:t>183,39</w:t>
            </w:r>
          </w:p>
        </w:tc>
        <w:tc>
          <w:tcPr>
            <w:tcW w:w="962" w:type="dxa"/>
            <w:vAlign w:val="bottom"/>
          </w:tcPr>
          <w:p w:rsidR="004C206A" w:rsidRPr="0011256D" w:rsidRDefault="004C206A" w:rsidP="0011256D">
            <w:pPr>
              <w:pStyle w:val="tabbielystyl"/>
            </w:pPr>
            <w:r w:rsidRPr="0011256D">
              <w:t>181,54</w:t>
            </w:r>
          </w:p>
        </w:tc>
        <w:tc>
          <w:tcPr>
            <w:tcW w:w="1330" w:type="dxa"/>
            <w:noWrap/>
            <w:hideMark/>
          </w:tcPr>
          <w:p w:rsidR="004C206A" w:rsidRPr="004C1013" w:rsidRDefault="004C206A" w:rsidP="00404B50">
            <w:pPr>
              <w:pStyle w:val="tabbielystyl"/>
            </w:pPr>
            <w:r w:rsidRPr="004C1013">
              <w:t>10.</w:t>
            </w:r>
          </w:p>
        </w:tc>
        <w:tc>
          <w:tcPr>
            <w:tcW w:w="1330" w:type="dxa"/>
            <w:noWrap/>
            <w:hideMark/>
          </w:tcPr>
          <w:p w:rsidR="004C206A" w:rsidRPr="004C1013" w:rsidRDefault="004C206A" w:rsidP="00404B50">
            <w:pPr>
              <w:pStyle w:val="tabbielystyl"/>
            </w:pPr>
            <w:r w:rsidRPr="004C1013">
              <w:t>4 460,00</w:t>
            </w:r>
          </w:p>
        </w:tc>
        <w:tc>
          <w:tcPr>
            <w:tcW w:w="1161" w:type="dxa"/>
            <w:hideMark/>
          </w:tcPr>
          <w:p w:rsidR="004C206A" w:rsidRPr="004C1013" w:rsidRDefault="004C206A" w:rsidP="00404B50">
            <w:pPr>
              <w:pStyle w:val="tabbielystyl"/>
            </w:pPr>
            <w:r w:rsidRPr="004C1013">
              <w:t>8.</w:t>
            </w:r>
          </w:p>
        </w:tc>
        <w:tc>
          <w:tcPr>
            <w:tcW w:w="1148" w:type="dxa"/>
            <w:hideMark/>
          </w:tcPr>
          <w:p w:rsidR="004C206A" w:rsidRPr="004C1013" w:rsidRDefault="004C206A" w:rsidP="00404B50">
            <w:pPr>
              <w:pStyle w:val="tabbielystyl"/>
            </w:pPr>
            <w:r w:rsidRPr="004C1013">
              <w:t>317,17</w:t>
            </w:r>
          </w:p>
        </w:tc>
        <w:tc>
          <w:tcPr>
            <w:tcW w:w="1161" w:type="dxa"/>
            <w:hideMark/>
          </w:tcPr>
          <w:p w:rsidR="004C206A" w:rsidRPr="004C1013" w:rsidRDefault="004C206A" w:rsidP="00404B50">
            <w:pPr>
              <w:pStyle w:val="tabbielystyl"/>
            </w:pPr>
            <w:r w:rsidRPr="004C1013">
              <w:t>11.</w:t>
            </w:r>
          </w:p>
        </w:tc>
        <w:tc>
          <w:tcPr>
            <w:tcW w:w="1148" w:type="dxa"/>
            <w:hideMark/>
          </w:tcPr>
          <w:p w:rsidR="004C206A" w:rsidRPr="004C1013" w:rsidRDefault="004C206A" w:rsidP="00404B50">
            <w:pPr>
              <w:pStyle w:val="tabbielystyl"/>
            </w:pPr>
            <w:r w:rsidRPr="004C1013">
              <w:t>1 241,62</w:t>
            </w:r>
          </w:p>
        </w:tc>
        <w:tc>
          <w:tcPr>
            <w:tcW w:w="1161" w:type="dxa"/>
            <w:hideMark/>
          </w:tcPr>
          <w:p w:rsidR="004C206A" w:rsidRPr="004C1013" w:rsidRDefault="004C206A" w:rsidP="00404B50">
            <w:pPr>
              <w:pStyle w:val="tabbielystyl"/>
            </w:pPr>
            <w:r w:rsidRPr="004C1013">
              <w:t>4.</w:t>
            </w:r>
          </w:p>
        </w:tc>
        <w:tc>
          <w:tcPr>
            <w:tcW w:w="1148" w:type="dxa"/>
            <w:hideMark/>
          </w:tcPr>
          <w:p w:rsidR="004C206A" w:rsidRPr="004C1013" w:rsidRDefault="004C206A" w:rsidP="00404B50">
            <w:pPr>
              <w:pStyle w:val="tabbielystyl"/>
            </w:pPr>
            <w:r w:rsidRPr="004C1013">
              <w:t>293,90</w:t>
            </w:r>
          </w:p>
        </w:tc>
      </w:tr>
      <w:tr w:rsidR="004C206A" w:rsidRPr="004C1013" w:rsidTr="0011256D">
        <w:trPr>
          <w:trHeight w:val="300"/>
        </w:trPr>
        <w:tc>
          <w:tcPr>
            <w:tcW w:w="1317" w:type="dxa"/>
            <w:hideMark/>
          </w:tcPr>
          <w:p w:rsidR="004C206A" w:rsidRPr="004C1013" w:rsidRDefault="004C206A" w:rsidP="00404B50">
            <w:pPr>
              <w:pStyle w:val="tabbielystyl"/>
            </w:pPr>
            <w:r w:rsidRPr="004C1013">
              <w:t>2015</w:t>
            </w:r>
          </w:p>
        </w:tc>
        <w:tc>
          <w:tcPr>
            <w:tcW w:w="1042" w:type="dxa"/>
            <w:hideMark/>
          </w:tcPr>
          <w:p w:rsidR="004C206A" w:rsidRPr="004C1013" w:rsidRDefault="004C206A" w:rsidP="00404B50">
            <w:pPr>
              <w:pStyle w:val="tabbielystyl"/>
            </w:pPr>
            <w:r w:rsidRPr="004C1013">
              <w:t>6.</w:t>
            </w:r>
          </w:p>
        </w:tc>
        <w:tc>
          <w:tcPr>
            <w:tcW w:w="1130" w:type="dxa"/>
            <w:gridSpan w:val="2"/>
            <w:hideMark/>
          </w:tcPr>
          <w:p w:rsidR="004C206A" w:rsidRPr="004C1013" w:rsidRDefault="004C206A" w:rsidP="00404B50">
            <w:pPr>
              <w:pStyle w:val="tabbielystyl"/>
            </w:pPr>
            <w:r w:rsidRPr="004C1013">
              <w:t>187,45</w:t>
            </w:r>
          </w:p>
        </w:tc>
        <w:tc>
          <w:tcPr>
            <w:tcW w:w="962" w:type="dxa"/>
          </w:tcPr>
          <w:p w:rsidR="004C206A" w:rsidRPr="0011256D" w:rsidRDefault="004C206A" w:rsidP="0011256D">
            <w:pPr>
              <w:pStyle w:val="tabbielystyl"/>
            </w:pPr>
            <w:r w:rsidRPr="0011256D">
              <w:t>184,92</w:t>
            </w:r>
          </w:p>
        </w:tc>
        <w:tc>
          <w:tcPr>
            <w:tcW w:w="1330" w:type="dxa"/>
            <w:noWrap/>
            <w:hideMark/>
          </w:tcPr>
          <w:p w:rsidR="004C206A" w:rsidRPr="004C1013" w:rsidRDefault="004C206A" w:rsidP="00404B50">
            <w:pPr>
              <w:pStyle w:val="tabbielystyl"/>
            </w:pPr>
            <w:r w:rsidRPr="004C1013">
              <w:t>11.</w:t>
            </w:r>
          </w:p>
        </w:tc>
        <w:tc>
          <w:tcPr>
            <w:tcW w:w="1330" w:type="dxa"/>
            <w:noWrap/>
            <w:hideMark/>
          </w:tcPr>
          <w:p w:rsidR="004C206A" w:rsidRPr="004C1013" w:rsidRDefault="004C206A" w:rsidP="00404B50">
            <w:pPr>
              <w:pStyle w:val="tabbielystyl"/>
            </w:pPr>
            <w:r w:rsidRPr="004C1013">
              <w:t>4 340,00</w:t>
            </w:r>
          </w:p>
        </w:tc>
        <w:tc>
          <w:tcPr>
            <w:tcW w:w="1161" w:type="dxa"/>
            <w:hideMark/>
          </w:tcPr>
          <w:p w:rsidR="004C206A" w:rsidRPr="004C1013" w:rsidRDefault="004C206A" w:rsidP="00404B50">
            <w:pPr>
              <w:pStyle w:val="tabbielystyl"/>
            </w:pPr>
            <w:r w:rsidRPr="004C1013">
              <w:t>9.</w:t>
            </w:r>
          </w:p>
        </w:tc>
        <w:tc>
          <w:tcPr>
            <w:tcW w:w="1148" w:type="dxa"/>
            <w:hideMark/>
          </w:tcPr>
          <w:p w:rsidR="004C206A" w:rsidRPr="004C1013" w:rsidRDefault="004C206A" w:rsidP="00404B50">
            <w:pPr>
              <w:pStyle w:val="tabbielystyl"/>
            </w:pPr>
            <w:r w:rsidRPr="004C1013">
              <w:t>356,92</w:t>
            </w:r>
          </w:p>
        </w:tc>
        <w:tc>
          <w:tcPr>
            <w:tcW w:w="1161" w:type="dxa"/>
            <w:hideMark/>
          </w:tcPr>
          <w:p w:rsidR="004C206A" w:rsidRPr="004C1013" w:rsidRDefault="004C206A" w:rsidP="00404B50">
            <w:pPr>
              <w:pStyle w:val="tabbielystyl"/>
            </w:pPr>
            <w:r w:rsidRPr="004C1013">
              <w:t>12.</w:t>
            </w:r>
          </w:p>
        </w:tc>
        <w:tc>
          <w:tcPr>
            <w:tcW w:w="1148" w:type="dxa"/>
            <w:hideMark/>
          </w:tcPr>
          <w:p w:rsidR="004C206A" w:rsidRPr="004C1013" w:rsidRDefault="004C206A" w:rsidP="00404B50">
            <w:pPr>
              <w:pStyle w:val="tabbielystyl"/>
            </w:pPr>
            <w:r w:rsidRPr="004C1013">
              <w:t>1 252,53</w:t>
            </w:r>
          </w:p>
        </w:tc>
        <w:tc>
          <w:tcPr>
            <w:tcW w:w="1161" w:type="dxa"/>
            <w:hideMark/>
          </w:tcPr>
          <w:p w:rsidR="004C206A" w:rsidRPr="004C1013" w:rsidRDefault="004C206A" w:rsidP="00404B50">
            <w:pPr>
              <w:pStyle w:val="tabbielystyl"/>
            </w:pPr>
            <w:r w:rsidRPr="004C1013">
              <w:t>5.</w:t>
            </w:r>
          </w:p>
        </w:tc>
        <w:tc>
          <w:tcPr>
            <w:tcW w:w="1148" w:type="dxa"/>
            <w:hideMark/>
          </w:tcPr>
          <w:p w:rsidR="004C206A" w:rsidRPr="004C1013" w:rsidRDefault="004C206A" w:rsidP="00404B50">
            <w:pPr>
              <w:pStyle w:val="tabbielystyl"/>
            </w:pPr>
            <w:r w:rsidRPr="004C1013">
              <w:t>323,74</w:t>
            </w:r>
          </w:p>
        </w:tc>
      </w:tr>
      <w:tr w:rsidR="004C206A" w:rsidRPr="004C1013" w:rsidTr="0011256D">
        <w:trPr>
          <w:trHeight w:val="300"/>
        </w:trPr>
        <w:tc>
          <w:tcPr>
            <w:tcW w:w="1317" w:type="dxa"/>
            <w:hideMark/>
          </w:tcPr>
          <w:p w:rsidR="004C206A" w:rsidRPr="004C1013" w:rsidRDefault="004C206A" w:rsidP="00404B50">
            <w:pPr>
              <w:pStyle w:val="tabbielystyl"/>
            </w:pPr>
            <w:r w:rsidRPr="004C1013">
              <w:t>2016</w:t>
            </w:r>
          </w:p>
        </w:tc>
        <w:tc>
          <w:tcPr>
            <w:tcW w:w="1042" w:type="dxa"/>
            <w:hideMark/>
          </w:tcPr>
          <w:p w:rsidR="004C206A" w:rsidRPr="004C1013" w:rsidRDefault="004C206A" w:rsidP="00404B50">
            <w:pPr>
              <w:pStyle w:val="tabbielystyl"/>
            </w:pPr>
            <w:r w:rsidRPr="004C1013">
              <w:t>7.</w:t>
            </w:r>
          </w:p>
        </w:tc>
        <w:tc>
          <w:tcPr>
            <w:tcW w:w="1130" w:type="dxa"/>
            <w:gridSpan w:val="2"/>
            <w:hideMark/>
          </w:tcPr>
          <w:p w:rsidR="004C206A" w:rsidRPr="004C1013" w:rsidRDefault="004C206A" w:rsidP="00404B50">
            <w:pPr>
              <w:pStyle w:val="tabbielystyl"/>
            </w:pPr>
            <w:r w:rsidRPr="004C1013">
              <w:t>193,34</w:t>
            </w:r>
          </w:p>
        </w:tc>
        <w:tc>
          <w:tcPr>
            <w:tcW w:w="962" w:type="dxa"/>
          </w:tcPr>
          <w:p w:rsidR="004C206A" w:rsidRPr="0011256D" w:rsidRDefault="004C206A" w:rsidP="0011256D">
            <w:pPr>
              <w:pStyle w:val="tabbielystyl"/>
            </w:pPr>
            <w:r w:rsidRPr="0011256D">
              <w:t>191,11</w:t>
            </w:r>
          </w:p>
        </w:tc>
        <w:tc>
          <w:tcPr>
            <w:tcW w:w="1330" w:type="dxa"/>
            <w:noWrap/>
            <w:hideMark/>
          </w:tcPr>
          <w:p w:rsidR="004C206A" w:rsidRPr="004C1013" w:rsidRDefault="004C206A" w:rsidP="00404B50">
            <w:pPr>
              <w:pStyle w:val="tabbielystyl"/>
            </w:pPr>
            <w:r w:rsidRPr="004C1013">
              <w:t>12.</w:t>
            </w:r>
          </w:p>
        </w:tc>
        <w:tc>
          <w:tcPr>
            <w:tcW w:w="1330" w:type="dxa"/>
            <w:noWrap/>
            <w:hideMark/>
          </w:tcPr>
          <w:p w:rsidR="004C206A" w:rsidRPr="004C1013" w:rsidRDefault="004C206A" w:rsidP="00404B50">
            <w:pPr>
              <w:pStyle w:val="tabbielystyl"/>
            </w:pPr>
            <w:r w:rsidRPr="004C1013">
              <w:t>4 634,00</w:t>
            </w:r>
          </w:p>
        </w:tc>
        <w:tc>
          <w:tcPr>
            <w:tcW w:w="1161" w:type="dxa"/>
            <w:hideMark/>
          </w:tcPr>
          <w:p w:rsidR="004C206A" w:rsidRPr="004C1013" w:rsidRDefault="004C206A" w:rsidP="00404B50">
            <w:pPr>
              <w:pStyle w:val="tabbielystyl"/>
            </w:pPr>
            <w:r w:rsidRPr="004C1013">
              <w:t>10.</w:t>
            </w:r>
          </w:p>
        </w:tc>
        <w:tc>
          <w:tcPr>
            <w:tcW w:w="1148" w:type="dxa"/>
            <w:hideMark/>
          </w:tcPr>
          <w:p w:rsidR="004C206A" w:rsidRPr="004C1013" w:rsidRDefault="004C206A" w:rsidP="00404B50">
            <w:pPr>
              <w:pStyle w:val="tabbielystyl"/>
            </w:pPr>
            <w:r w:rsidRPr="004C1013">
              <w:t>365,85</w:t>
            </w:r>
          </w:p>
        </w:tc>
        <w:tc>
          <w:tcPr>
            <w:tcW w:w="1161" w:type="dxa"/>
            <w:hideMark/>
          </w:tcPr>
          <w:p w:rsidR="004C206A" w:rsidRPr="004C1013" w:rsidRDefault="004C206A" w:rsidP="00404B50">
            <w:pPr>
              <w:pStyle w:val="tabbielystyl"/>
            </w:pPr>
            <w:r w:rsidRPr="004C1013">
              <w:t>13.</w:t>
            </w:r>
          </w:p>
        </w:tc>
        <w:tc>
          <w:tcPr>
            <w:tcW w:w="1148" w:type="dxa"/>
            <w:hideMark/>
          </w:tcPr>
          <w:p w:rsidR="004C206A" w:rsidRPr="004C1013" w:rsidRDefault="004C206A" w:rsidP="00404B50">
            <w:pPr>
              <w:pStyle w:val="tabbielystyl"/>
            </w:pPr>
            <w:r w:rsidRPr="004C1013">
              <w:t>1 273,57</w:t>
            </w:r>
          </w:p>
        </w:tc>
        <w:tc>
          <w:tcPr>
            <w:tcW w:w="1161" w:type="dxa"/>
            <w:hideMark/>
          </w:tcPr>
          <w:p w:rsidR="004C206A" w:rsidRPr="004C1013" w:rsidRDefault="004C206A" w:rsidP="00404B50">
            <w:pPr>
              <w:pStyle w:val="tabbielystyl"/>
            </w:pPr>
            <w:r w:rsidRPr="004C1013">
              <w:t>6.</w:t>
            </w:r>
          </w:p>
        </w:tc>
        <w:tc>
          <w:tcPr>
            <w:tcW w:w="1148" w:type="dxa"/>
            <w:hideMark/>
          </w:tcPr>
          <w:p w:rsidR="004C206A" w:rsidRPr="004C1013" w:rsidRDefault="004C206A" w:rsidP="00404B50">
            <w:pPr>
              <w:pStyle w:val="tabbielystyl"/>
            </w:pPr>
            <w:r w:rsidRPr="004C1013">
              <w:t>342,47</w:t>
            </w:r>
          </w:p>
        </w:tc>
      </w:tr>
      <w:tr w:rsidR="004C206A" w:rsidRPr="004C1013" w:rsidTr="0011256D">
        <w:trPr>
          <w:trHeight w:val="300"/>
        </w:trPr>
        <w:tc>
          <w:tcPr>
            <w:tcW w:w="1317" w:type="dxa"/>
            <w:hideMark/>
          </w:tcPr>
          <w:p w:rsidR="004C206A" w:rsidRPr="004C1013" w:rsidRDefault="004C206A" w:rsidP="00404B50">
            <w:pPr>
              <w:pStyle w:val="tabbielystyl"/>
            </w:pPr>
            <w:r w:rsidRPr="004C1013">
              <w:t>2017</w:t>
            </w:r>
          </w:p>
        </w:tc>
        <w:tc>
          <w:tcPr>
            <w:tcW w:w="1042" w:type="dxa"/>
            <w:hideMark/>
          </w:tcPr>
          <w:p w:rsidR="004C206A" w:rsidRPr="004C1013" w:rsidRDefault="004C206A" w:rsidP="00404B50">
            <w:pPr>
              <w:pStyle w:val="tabbielystyl"/>
            </w:pPr>
            <w:r w:rsidRPr="004C1013">
              <w:t>8.</w:t>
            </w:r>
          </w:p>
        </w:tc>
        <w:tc>
          <w:tcPr>
            <w:tcW w:w="1130" w:type="dxa"/>
            <w:gridSpan w:val="2"/>
            <w:hideMark/>
          </w:tcPr>
          <w:p w:rsidR="004C206A" w:rsidRPr="004C1013" w:rsidRDefault="004C206A" w:rsidP="00404B50">
            <w:pPr>
              <w:pStyle w:val="tabbielystyl"/>
            </w:pPr>
            <w:r w:rsidRPr="004C1013">
              <w:t>201,14</w:t>
            </w:r>
          </w:p>
        </w:tc>
        <w:tc>
          <w:tcPr>
            <w:tcW w:w="962" w:type="dxa"/>
          </w:tcPr>
          <w:p w:rsidR="004C206A" w:rsidRPr="0011256D" w:rsidRDefault="004C206A" w:rsidP="0011256D">
            <w:pPr>
              <w:pStyle w:val="tabbielystyl"/>
            </w:pPr>
            <w:r w:rsidRPr="0011256D">
              <w:t>198,91</w:t>
            </w:r>
          </w:p>
        </w:tc>
        <w:tc>
          <w:tcPr>
            <w:tcW w:w="1330" w:type="dxa"/>
            <w:noWrap/>
            <w:hideMark/>
          </w:tcPr>
          <w:p w:rsidR="004C206A" w:rsidRPr="004C1013" w:rsidRDefault="004C206A" w:rsidP="00404B50">
            <w:pPr>
              <w:pStyle w:val="tabbielystyl"/>
            </w:pPr>
            <w:r w:rsidRPr="004C1013">
              <w:t>13.</w:t>
            </w:r>
          </w:p>
        </w:tc>
        <w:tc>
          <w:tcPr>
            <w:tcW w:w="1330" w:type="dxa"/>
            <w:noWrap/>
            <w:hideMark/>
          </w:tcPr>
          <w:p w:rsidR="004C206A" w:rsidRPr="004C1013" w:rsidRDefault="004C206A" w:rsidP="00404B50">
            <w:pPr>
              <w:pStyle w:val="tabbielystyl"/>
            </w:pPr>
            <w:r w:rsidRPr="004C1013">
              <w:t>4 684,00</w:t>
            </w:r>
          </w:p>
        </w:tc>
        <w:tc>
          <w:tcPr>
            <w:tcW w:w="1161" w:type="dxa"/>
            <w:hideMark/>
          </w:tcPr>
          <w:p w:rsidR="004C206A" w:rsidRPr="004C1013" w:rsidRDefault="004C206A" w:rsidP="00404B50">
            <w:pPr>
              <w:pStyle w:val="tabbielystyl"/>
            </w:pPr>
            <w:r w:rsidRPr="004C1013">
              <w:t>11.</w:t>
            </w:r>
          </w:p>
        </w:tc>
        <w:tc>
          <w:tcPr>
            <w:tcW w:w="1148" w:type="dxa"/>
            <w:hideMark/>
          </w:tcPr>
          <w:p w:rsidR="004C206A" w:rsidRPr="004C1013" w:rsidRDefault="004C206A" w:rsidP="00404B50">
            <w:pPr>
              <w:pStyle w:val="tabbielystyl"/>
            </w:pPr>
            <w:r w:rsidRPr="004C1013">
              <w:t>395,27</w:t>
            </w:r>
          </w:p>
        </w:tc>
        <w:tc>
          <w:tcPr>
            <w:tcW w:w="1161" w:type="dxa"/>
            <w:hideMark/>
          </w:tcPr>
          <w:p w:rsidR="004C206A" w:rsidRPr="004C1013" w:rsidRDefault="004C206A" w:rsidP="00404B50">
            <w:pPr>
              <w:pStyle w:val="tabbielystyl"/>
            </w:pPr>
            <w:r w:rsidRPr="004C1013">
              <w:t>14.</w:t>
            </w:r>
          </w:p>
        </w:tc>
        <w:tc>
          <w:tcPr>
            <w:tcW w:w="1148" w:type="dxa"/>
            <w:hideMark/>
          </w:tcPr>
          <w:p w:rsidR="004C206A" w:rsidRPr="004C1013" w:rsidRDefault="004C206A" w:rsidP="00404B50">
            <w:pPr>
              <w:pStyle w:val="tabbielystyl"/>
            </w:pPr>
            <w:r w:rsidRPr="004C1013">
              <w:t>1 370,01</w:t>
            </w:r>
          </w:p>
        </w:tc>
        <w:tc>
          <w:tcPr>
            <w:tcW w:w="1161" w:type="dxa"/>
            <w:hideMark/>
          </w:tcPr>
          <w:p w:rsidR="004C206A" w:rsidRPr="004C1013" w:rsidRDefault="004C206A" w:rsidP="00404B50">
            <w:pPr>
              <w:pStyle w:val="tabbielystyl"/>
            </w:pPr>
            <w:r w:rsidRPr="004C1013">
              <w:t>7.</w:t>
            </w:r>
          </w:p>
        </w:tc>
        <w:tc>
          <w:tcPr>
            <w:tcW w:w="1148" w:type="dxa"/>
            <w:hideMark/>
          </w:tcPr>
          <w:p w:rsidR="004C206A" w:rsidRPr="004C1013" w:rsidRDefault="004C206A" w:rsidP="00404B50">
            <w:pPr>
              <w:pStyle w:val="tabbielystyl"/>
            </w:pPr>
            <w:r w:rsidRPr="004C1013">
              <w:t>391,75</w:t>
            </w:r>
          </w:p>
        </w:tc>
      </w:tr>
      <w:tr w:rsidR="004C206A" w:rsidRPr="004C1013" w:rsidTr="0011256D">
        <w:trPr>
          <w:trHeight w:val="315"/>
        </w:trPr>
        <w:tc>
          <w:tcPr>
            <w:tcW w:w="1317" w:type="dxa"/>
            <w:hideMark/>
          </w:tcPr>
          <w:p w:rsidR="004C206A" w:rsidRPr="004C1013" w:rsidRDefault="004C206A" w:rsidP="00404B50">
            <w:pPr>
              <w:pStyle w:val="tabbielystyl"/>
            </w:pPr>
            <w:r w:rsidRPr="004C1013">
              <w:t>2018</w:t>
            </w:r>
          </w:p>
        </w:tc>
        <w:tc>
          <w:tcPr>
            <w:tcW w:w="1042" w:type="dxa"/>
            <w:hideMark/>
          </w:tcPr>
          <w:p w:rsidR="004C206A" w:rsidRPr="004C1013" w:rsidRDefault="004C206A" w:rsidP="00404B50">
            <w:pPr>
              <w:pStyle w:val="tabbielystyl"/>
            </w:pPr>
            <w:r w:rsidRPr="004C1013">
              <w:t>9.</w:t>
            </w:r>
          </w:p>
        </w:tc>
        <w:tc>
          <w:tcPr>
            <w:tcW w:w="1130" w:type="dxa"/>
            <w:gridSpan w:val="2"/>
            <w:hideMark/>
          </w:tcPr>
          <w:p w:rsidR="004C206A" w:rsidRPr="004C1013" w:rsidRDefault="004C206A" w:rsidP="00404B50">
            <w:pPr>
              <w:pStyle w:val="tabbielystyl"/>
            </w:pPr>
            <w:r w:rsidRPr="004C1013">
              <w:t>213,45</w:t>
            </w:r>
          </w:p>
        </w:tc>
        <w:tc>
          <w:tcPr>
            <w:tcW w:w="962" w:type="dxa"/>
          </w:tcPr>
          <w:p w:rsidR="004C206A" w:rsidRPr="0011256D" w:rsidRDefault="004C206A" w:rsidP="0011256D">
            <w:pPr>
              <w:pStyle w:val="tabbielystyl"/>
            </w:pPr>
            <w:r w:rsidRPr="0011256D">
              <w:t>211,13</w:t>
            </w:r>
          </w:p>
        </w:tc>
        <w:tc>
          <w:tcPr>
            <w:tcW w:w="1330" w:type="dxa"/>
            <w:noWrap/>
            <w:hideMark/>
          </w:tcPr>
          <w:p w:rsidR="004C206A" w:rsidRPr="004C1013" w:rsidRDefault="004C206A" w:rsidP="00404B50">
            <w:pPr>
              <w:pStyle w:val="tabbielystyl"/>
            </w:pPr>
          </w:p>
        </w:tc>
        <w:tc>
          <w:tcPr>
            <w:tcW w:w="1330" w:type="dxa"/>
            <w:noWrap/>
            <w:hideMark/>
          </w:tcPr>
          <w:p w:rsidR="004C206A" w:rsidRPr="004C1013" w:rsidRDefault="004C206A" w:rsidP="00404B50">
            <w:pPr>
              <w:pStyle w:val="tabbielystyl"/>
            </w:pPr>
          </w:p>
        </w:tc>
        <w:tc>
          <w:tcPr>
            <w:tcW w:w="1161" w:type="dxa"/>
            <w:hideMark/>
          </w:tcPr>
          <w:p w:rsidR="004C206A" w:rsidRPr="004C1013" w:rsidRDefault="004C206A" w:rsidP="00404B50">
            <w:pPr>
              <w:pStyle w:val="tabbielystyl"/>
            </w:pPr>
            <w:r w:rsidRPr="004C1013">
              <w:t>12.</w:t>
            </w:r>
          </w:p>
        </w:tc>
        <w:tc>
          <w:tcPr>
            <w:tcW w:w="1148" w:type="dxa"/>
            <w:hideMark/>
          </w:tcPr>
          <w:p w:rsidR="004C206A" w:rsidRPr="004C1013" w:rsidRDefault="004C206A" w:rsidP="00404B50">
            <w:pPr>
              <w:pStyle w:val="tabbielystyl"/>
            </w:pPr>
            <w:r w:rsidRPr="004C1013">
              <w:t>421,31</w:t>
            </w:r>
          </w:p>
        </w:tc>
        <w:tc>
          <w:tcPr>
            <w:tcW w:w="1161" w:type="dxa"/>
            <w:hideMark/>
          </w:tcPr>
          <w:p w:rsidR="004C206A" w:rsidRPr="004C1013" w:rsidRDefault="004C206A" w:rsidP="00404B50">
            <w:pPr>
              <w:pStyle w:val="tabbielystyl"/>
            </w:pPr>
            <w:r w:rsidRPr="004C1013">
              <w:t>15.</w:t>
            </w:r>
          </w:p>
        </w:tc>
        <w:tc>
          <w:tcPr>
            <w:tcW w:w="1148" w:type="dxa"/>
            <w:hideMark/>
          </w:tcPr>
          <w:p w:rsidR="004C206A" w:rsidRPr="004C1013" w:rsidRDefault="004C206A" w:rsidP="00404B50">
            <w:pPr>
              <w:pStyle w:val="tabbielystyl"/>
            </w:pPr>
            <w:r w:rsidRPr="004C1013">
              <w:t>1 464,84</w:t>
            </w:r>
          </w:p>
        </w:tc>
        <w:tc>
          <w:tcPr>
            <w:tcW w:w="1161" w:type="dxa"/>
            <w:hideMark/>
          </w:tcPr>
          <w:p w:rsidR="004C206A" w:rsidRPr="004C1013" w:rsidRDefault="004C206A" w:rsidP="00404B50">
            <w:pPr>
              <w:pStyle w:val="tabbielystyl"/>
            </w:pPr>
            <w:r w:rsidRPr="004C1013">
              <w:t>8.</w:t>
            </w:r>
          </w:p>
        </w:tc>
        <w:tc>
          <w:tcPr>
            <w:tcW w:w="1148" w:type="dxa"/>
            <w:hideMark/>
          </w:tcPr>
          <w:p w:rsidR="004C206A" w:rsidRPr="004C1013" w:rsidRDefault="004C206A" w:rsidP="00404B50">
            <w:pPr>
              <w:pStyle w:val="tabbielystyl"/>
            </w:pPr>
            <w:r w:rsidRPr="004C1013">
              <w:t>421,12</w:t>
            </w:r>
          </w:p>
        </w:tc>
      </w:tr>
      <w:tr w:rsidR="004C206A" w:rsidRPr="004C1013" w:rsidTr="0011256D">
        <w:trPr>
          <w:trHeight w:val="315"/>
        </w:trPr>
        <w:tc>
          <w:tcPr>
            <w:tcW w:w="1317" w:type="dxa"/>
            <w:shd w:val="clear" w:color="auto" w:fill="BFBFBF" w:themeFill="background1" w:themeFillShade="BF"/>
            <w:hideMark/>
          </w:tcPr>
          <w:p w:rsidR="004C206A" w:rsidRPr="00404B50" w:rsidRDefault="004C206A" w:rsidP="00404B50">
            <w:pPr>
              <w:pStyle w:val="tabbielystyl"/>
              <w:rPr>
                <w:b/>
                <w:i/>
                <w:color w:val="000000"/>
              </w:rPr>
            </w:pPr>
            <w:r w:rsidRPr="00404B50">
              <w:rPr>
                <w:b/>
                <w:i/>
              </w:rPr>
              <w:t>Ročný priemer </w:t>
            </w:r>
          </w:p>
        </w:tc>
        <w:tc>
          <w:tcPr>
            <w:tcW w:w="1042"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30" w:type="dxa"/>
            <w:gridSpan w:val="2"/>
            <w:shd w:val="clear" w:color="auto" w:fill="BFBFBF" w:themeFill="background1" w:themeFillShade="BF"/>
            <w:hideMark/>
          </w:tcPr>
          <w:p w:rsidR="004C206A" w:rsidRPr="00404B50" w:rsidRDefault="004C206A" w:rsidP="00404B50">
            <w:pPr>
              <w:pStyle w:val="tabbielystyl"/>
              <w:rPr>
                <w:b/>
                <w:i/>
              </w:rPr>
            </w:pPr>
            <w:r w:rsidRPr="00404B50">
              <w:rPr>
                <w:b/>
                <w:i/>
              </w:rPr>
              <w:t>176,58</w:t>
            </w:r>
          </w:p>
        </w:tc>
        <w:tc>
          <w:tcPr>
            <w:tcW w:w="962" w:type="dxa"/>
            <w:shd w:val="clear" w:color="auto" w:fill="BFBFBF" w:themeFill="background1" w:themeFillShade="BF"/>
          </w:tcPr>
          <w:p w:rsidR="004C206A" w:rsidRPr="0011256D" w:rsidRDefault="004C206A" w:rsidP="0011256D">
            <w:pPr>
              <w:pStyle w:val="tabbielystyl"/>
              <w:rPr>
                <w:b/>
                <w:i/>
              </w:rPr>
            </w:pPr>
            <w:r w:rsidRPr="0011256D">
              <w:rPr>
                <w:b/>
                <w:i/>
              </w:rPr>
              <w:t>175,18</w:t>
            </w:r>
          </w:p>
        </w:tc>
        <w:tc>
          <w:tcPr>
            <w:tcW w:w="1330" w:type="dxa"/>
            <w:shd w:val="clear" w:color="auto" w:fill="BFBFBF" w:themeFill="background1" w:themeFillShade="BF"/>
            <w:noWrap/>
            <w:hideMark/>
          </w:tcPr>
          <w:p w:rsidR="004C206A" w:rsidRPr="00404B50" w:rsidRDefault="004C206A" w:rsidP="00404B50">
            <w:pPr>
              <w:pStyle w:val="tabbielystyl"/>
              <w:rPr>
                <w:b/>
                <w:i/>
              </w:rPr>
            </w:pPr>
            <w:r w:rsidRPr="00404B50">
              <w:rPr>
                <w:b/>
                <w:i/>
              </w:rPr>
              <w:t> </w:t>
            </w:r>
          </w:p>
        </w:tc>
        <w:tc>
          <w:tcPr>
            <w:tcW w:w="1330" w:type="dxa"/>
            <w:shd w:val="clear" w:color="auto" w:fill="BFBFBF" w:themeFill="background1" w:themeFillShade="BF"/>
            <w:noWrap/>
            <w:hideMark/>
          </w:tcPr>
          <w:p w:rsidR="004C206A" w:rsidRPr="00404B50" w:rsidRDefault="004C206A" w:rsidP="00404B50">
            <w:pPr>
              <w:pStyle w:val="tabbielystyl"/>
              <w:rPr>
                <w:b/>
                <w:i/>
              </w:rPr>
            </w:pPr>
            <w:r w:rsidRPr="00404B50">
              <w:rPr>
                <w:b/>
                <w:i/>
              </w:rPr>
              <w:t>4 048,31</w:t>
            </w:r>
          </w:p>
        </w:tc>
        <w:tc>
          <w:tcPr>
            <w:tcW w:w="1161"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48" w:type="dxa"/>
            <w:shd w:val="clear" w:color="auto" w:fill="BFBFBF" w:themeFill="background1" w:themeFillShade="BF"/>
            <w:hideMark/>
          </w:tcPr>
          <w:p w:rsidR="004C206A" w:rsidRPr="00404B50" w:rsidRDefault="004C206A" w:rsidP="00404B50">
            <w:pPr>
              <w:pStyle w:val="tabbielystyl"/>
              <w:rPr>
                <w:b/>
                <w:i/>
              </w:rPr>
            </w:pPr>
            <w:r w:rsidRPr="00404B50">
              <w:rPr>
                <w:b/>
                <w:i/>
              </w:rPr>
              <w:t>314,69</w:t>
            </w:r>
          </w:p>
        </w:tc>
        <w:tc>
          <w:tcPr>
            <w:tcW w:w="1161"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48" w:type="dxa"/>
            <w:shd w:val="clear" w:color="auto" w:fill="BFBFBF" w:themeFill="background1" w:themeFillShade="BF"/>
            <w:hideMark/>
          </w:tcPr>
          <w:p w:rsidR="004C206A" w:rsidRPr="00404B50" w:rsidRDefault="004C206A" w:rsidP="00404B50">
            <w:pPr>
              <w:pStyle w:val="tabbielystyl"/>
              <w:rPr>
                <w:b/>
                <w:i/>
              </w:rPr>
            </w:pPr>
            <w:r w:rsidRPr="00404B50">
              <w:rPr>
                <w:b/>
                <w:i/>
              </w:rPr>
              <w:t>1 088,19</w:t>
            </w:r>
          </w:p>
        </w:tc>
        <w:tc>
          <w:tcPr>
            <w:tcW w:w="1161"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48" w:type="dxa"/>
            <w:shd w:val="clear" w:color="auto" w:fill="BFBFBF" w:themeFill="background1" w:themeFillShade="BF"/>
            <w:hideMark/>
          </w:tcPr>
          <w:p w:rsidR="004C206A" w:rsidRPr="00404B50" w:rsidRDefault="004C206A" w:rsidP="00404B50">
            <w:pPr>
              <w:pStyle w:val="tabbielystyl"/>
              <w:rPr>
                <w:b/>
                <w:i/>
              </w:rPr>
            </w:pPr>
            <w:r w:rsidRPr="00404B50">
              <w:rPr>
                <w:b/>
                <w:i/>
              </w:rPr>
              <w:t>286,37</w:t>
            </w:r>
          </w:p>
        </w:tc>
      </w:tr>
      <w:tr w:rsidR="004C206A" w:rsidRPr="004C1013" w:rsidTr="009B2509">
        <w:trPr>
          <w:trHeight w:val="600"/>
        </w:trPr>
        <w:tc>
          <w:tcPr>
            <w:tcW w:w="14038" w:type="dxa"/>
            <w:gridSpan w:val="13"/>
            <w:shd w:val="clear" w:color="auto" w:fill="7F7F7F" w:themeFill="text1" w:themeFillTint="80"/>
          </w:tcPr>
          <w:p w:rsidR="004C206A" w:rsidRPr="00B87BD8" w:rsidRDefault="004C206A" w:rsidP="0025522E">
            <w:pPr>
              <w:rPr>
                <w:b/>
                <w:color w:val="FFFFFF" w:themeColor="background1"/>
              </w:rPr>
            </w:pPr>
            <w:r w:rsidRPr="00B87BD8">
              <w:rPr>
                <w:b/>
                <w:caps/>
                <w:color w:val="FFFFFF" w:themeColor="background1"/>
              </w:rPr>
              <w:t>náklady</w:t>
            </w:r>
            <w:r w:rsidRPr="00B87BD8">
              <w:rPr>
                <w:b/>
                <w:color w:val="FFFFFF" w:themeColor="background1"/>
              </w:rPr>
              <w:t xml:space="preserve"> (mil. €)  </w:t>
            </w:r>
          </w:p>
        </w:tc>
      </w:tr>
      <w:tr w:rsidR="004C206A" w:rsidRPr="004C1013" w:rsidTr="004C206A">
        <w:trPr>
          <w:trHeight w:val="300"/>
        </w:trPr>
        <w:tc>
          <w:tcPr>
            <w:tcW w:w="1317" w:type="dxa"/>
            <w:hideMark/>
          </w:tcPr>
          <w:p w:rsidR="004C206A" w:rsidRPr="004C1013" w:rsidRDefault="004C206A" w:rsidP="00404B50">
            <w:pPr>
              <w:pStyle w:val="tabbielystyl"/>
            </w:pPr>
            <w:r w:rsidRPr="004C1013">
              <w:t>2004</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hideMark/>
          </w:tcPr>
          <w:p w:rsidR="004C206A" w:rsidRPr="004C1013" w:rsidRDefault="004C206A" w:rsidP="00404B50">
            <w:pPr>
              <w:pStyle w:val="tabbielystyl"/>
            </w:pPr>
            <w:r w:rsidRPr="004C1013">
              <w:t>- </w:t>
            </w:r>
          </w:p>
        </w:tc>
        <w:tc>
          <w:tcPr>
            <w:tcW w:w="1330"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1.</w:t>
            </w:r>
          </w:p>
        </w:tc>
        <w:tc>
          <w:tcPr>
            <w:tcW w:w="1148" w:type="dxa"/>
            <w:hideMark/>
          </w:tcPr>
          <w:p w:rsidR="004C206A" w:rsidRPr="004C1013" w:rsidRDefault="004C206A" w:rsidP="00404B50">
            <w:pPr>
              <w:pStyle w:val="tabbielystyl"/>
            </w:pPr>
            <w:r w:rsidRPr="004C1013">
              <w:t>94,21</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00"/>
        </w:trPr>
        <w:tc>
          <w:tcPr>
            <w:tcW w:w="1317" w:type="dxa"/>
            <w:hideMark/>
          </w:tcPr>
          <w:p w:rsidR="004C206A" w:rsidRPr="004C1013" w:rsidRDefault="004C206A" w:rsidP="00404B50">
            <w:pPr>
              <w:pStyle w:val="tabbielystyl"/>
            </w:pPr>
            <w:r w:rsidRPr="004C1013">
              <w:t>2005</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1.</w:t>
            </w:r>
          </w:p>
        </w:tc>
        <w:tc>
          <w:tcPr>
            <w:tcW w:w="1330" w:type="dxa"/>
            <w:noWrap/>
            <w:hideMark/>
          </w:tcPr>
          <w:p w:rsidR="004C206A" w:rsidRPr="004C1013" w:rsidRDefault="004C206A" w:rsidP="00404B50">
            <w:pPr>
              <w:pStyle w:val="tabbielystyl"/>
            </w:pPr>
            <w:r w:rsidRPr="004C1013">
              <w:t>550</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2.</w:t>
            </w:r>
          </w:p>
        </w:tc>
        <w:tc>
          <w:tcPr>
            <w:tcW w:w="1148" w:type="dxa"/>
            <w:hideMark/>
          </w:tcPr>
          <w:p w:rsidR="004C206A" w:rsidRPr="004C1013" w:rsidRDefault="004C206A" w:rsidP="00404B50">
            <w:pPr>
              <w:pStyle w:val="tabbielystyl"/>
            </w:pPr>
            <w:r w:rsidRPr="004C1013">
              <w:t>96,90</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00"/>
        </w:trPr>
        <w:tc>
          <w:tcPr>
            <w:tcW w:w="1317" w:type="dxa"/>
            <w:hideMark/>
          </w:tcPr>
          <w:p w:rsidR="004C206A" w:rsidRPr="004C1013" w:rsidRDefault="004C206A" w:rsidP="00404B50">
            <w:pPr>
              <w:pStyle w:val="tabbielystyl"/>
            </w:pPr>
            <w:r w:rsidRPr="004C1013">
              <w:t>2006</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2.</w:t>
            </w:r>
          </w:p>
        </w:tc>
        <w:tc>
          <w:tcPr>
            <w:tcW w:w="1330" w:type="dxa"/>
            <w:noWrap/>
            <w:hideMark/>
          </w:tcPr>
          <w:p w:rsidR="004C206A" w:rsidRPr="004C1013" w:rsidRDefault="004C206A" w:rsidP="00404B50">
            <w:pPr>
              <w:pStyle w:val="tabbielystyl"/>
            </w:pPr>
            <w:r w:rsidRPr="004C1013">
              <w:t>560</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3.</w:t>
            </w:r>
          </w:p>
        </w:tc>
        <w:tc>
          <w:tcPr>
            <w:tcW w:w="1148" w:type="dxa"/>
            <w:hideMark/>
          </w:tcPr>
          <w:p w:rsidR="004C206A" w:rsidRPr="004C1013" w:rsidRDefault="004C206A" w:rsidP="00404B50">
            <w:pPr>
              <w:pStyle w:val="tabbielystyl"/>
            </w:pPr>
            <w:r w:rsidRPr="004C1013">
              <w:t>99,02</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00"/>
        </w:trPr>
        <w:tc>
          <w:tcPr>
            <w:tcW w:w="1317" w:type="dxa"/>
            <w:hideMark/>
          </w:tcPr>
          <w:p w:rsidR="004C206A" w:rsidRPr="004C1013" w:rsidRDefault="004C206A" w:rsidP="00404B50">
            <w:pPr>
              <w:pStyle w:val="tabbielystyl"/>
            </w:pPr>
            <w:r w:rsidRPr="004C1013">
              <w:t>2007</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3.</w:t>
            </w:r>
          </w:p>
        </w:tc>
        <w:tc>
          <w:tcPr>
            <w:tcW w:w="1330" w:type="dxa"/>
            <w:noWrap/>
            <w:hideMark/>
          </w:tcPr>
          <w:p w:rsidR="004C206A" w:rsidRPr="004C1013" w:rsidRDefault="004C206A" w:rsidP="00404B50">
            <w:pPr>
              <w:pStyle w:val="tabbielystyl"/>
            </w:pPr>
            <w:r w:rsidRPr="004C1013">
              <w:t>630</w:t>
            </w:r>
          </w:p>
        </w:tc>
        <w:tc>
          <w:tcPr>
            <w:tcW w:w="1161" w:type="dxa"/>
            <w:hideMark/>
          </w:tcPr>
          <w:p w:rsidR="004C206A" w:rsidRPr="004C1013" w:rsidRDefault="004C206A" w:rsidP="00404B50">
            <w:pPr>
              <w:pStyle w:val="tabbielystyl"/>
            </w:pPr>
            <w:r w:rsidRPr="004C1013">
              <w:t>1.</w:t>
            </w:r>
          </w:p>
        </w:tc>
        <w:tc>
          <w:tcPr>
            <w:tcW w:w="1148" w:type="dxa"/>
            <w:hideMark/>
          </w:tcPr>
          <w:p w:rsidR="004C206A" w:rsidRPr="004C1013" w:rsidRDefault="004C206A" w:rsidP="00404B50">
            <w:pPr>
              <w:pStyle w:val="tabbielystyl"/>
            </w:pPr>
            <w:r w:rsidRPr="004C1013">
              <w:t>68,91</w:t>
            </w:r>
          </w:p>
        </w:tc>
        <w:tc>
          <w:tcPr>
            <w:tcW w:w="1161" w:type="dxa"/>
            <w:hideMark/>
          </w:tcPr>
          <w:p w:rsidR="004C206A" w:rsidRPr="004C1013" w:rsidRDefault="004C206A" w:rsidP="00404B50">
            <w:pPr>
              <w:pStyle w:val="tabbielystyl"/>
            </w:pPr>
            <w:r w:rsidRPr="004C1013">
              <w:t>4.</w:t>
            </w:r>
          </w:p>
        </w:tc>
        <w:tc>
          <w:tcPr>
            <w:tcW w:w="1148" w:type="dxa"/>
            <w:hideMark/>
          </w:tcPr>
          <w:p w:rsidR="004C206A" w:rsidRPr="004C1013" w:rsidRDefault="004C206A" w:rsidP="00404B50">
            <w:pPr>
              <w:pStyle w:val="tabbielystyl"/>
            </w:pPr>
            <w:r w:rsidRPr="004C1013">
              <w:t>118,04</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00"/>
        </w:trPr>
        <w:tc>
          <w:tcPr>
            <w:tcW w:w="1317" w:type="dxa"/>
            <w:hideMark/>
          </w:tcPr>
          <w:p w:rsidR="004C206A" w:rsidRPr="004C1013" w:rsidRDefault="004C206A" w:rsidP="00404B50">
            <w:pPr>
              <w:pStyle w:val="tabbielystyl"/>
            </w:pPr>
            <w:r w:rsidRPr="004C1013">
              <w:t>2008</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4.</w:t>
            </w:r>
          </w:p>
        </w:tc>
        <w:tc>
          <w:tcPr>
            <w:tcW w:w="1330" w:type="dxa"/>
            <w:noWrap/>
            <w:hideMark/>
          </w:tcPr>
          <w:p w:rsidR="004C206A" w:rsidRPr="004C1013" w:rsidRDefault="004C206A" w:rsidP="00404B50">
            <w:pPr>
              <w:pStyle w:val="tabbielystyl"/>
            </w:pPr>
            <w:r w:rsidRPr="004C1013">
              <w:t>560</w:t>
            </w:r>
          </w:p>
        </w:tc>
        <w:tc>
          <w:tcPr>
            <w:tcW w:w="1161" w:type="dxa"/>
            <w:hideMark/>
          </w:tcPr>
          <w:p w:rsidR="004C206A" w:rsidRPr="004C1013" w:rsidRDefault="004C206A" w:rsidP="00404B50">
            <w:pPr>
              <w:pStyle w:val="tabbielystyl"/>
            </w:pPr>
            <w:r w:rsidRPr="004C1013">
              <w:t>2.</w:t>
            </w:r>
          </w:p>
        </w:tc>
        <w:tc>
          <w:tcPr>
            <w:tcW w:w="1148" w:type="dxa"/>
            <w:hideMark/>
          </w:tcPr>
          <w:p w:rsidR="004C206A" w:rsidRPr="004C1013" w:rsidRDefault="004C206A" w:rsidP="00404B50">
            <w:pPr>
              <w:pStyle w:val="tabbielystyl"/>
            </w:pPr>
            <w:r w:rsidRPr="004C1013">
              <w:t>137,36</w:t>
            </w:r>
          </w:p>
        </w:tc>
        <w:tc>
          <w:tcPr>
            <w:tcW w:w="1161" w:type="dxa"/>
            <w:hideMark/>
          </w:tcPr>
          <w:p w:rsidR="004C206A" w:rsidRPr="004C1013" w:rsidRDefault="004C206A" w:rsidP="00404B50">
            <w:pPr>
              <w:pStyle w:val="tabbielystyl"/>
            </w:pPr>
            <w:r w:rsidRPr="004C1013">
              <w:t>5.</w:t>
            </w:r>
          </w:p>
        </w:tc>
        <w:tc>
          <w:tcPr>
            <w:tcW w:w="1148" w:type="dxa"/>
            <w:hideMark/>
          </w:tcPr>
          <w:p w:rsidR="004C206A" w:rsidRPr="004C1013" w:rsidRDefault="004C206A" w:rsidP="00404B50">
            <w:pPr>
              <w:pStyle w:val="tabbielystyl"/>
            </w:pPr>
            <w:r w:rsidRPr="004C1013">
              <w:t>127,44</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00"/>
        </w:trPr>
        <w:tc>
          <w:tcPr>
            <w:tcW w:w="1317" w:type="dxa"/>
            <w:hideMark/>
          </w:tcPr>
          <w:p w:rsidR="004C206A" w:rsidRPr="004C1013" w:rsidRDefault="004C206A" w:rsidP="00404B50">
            <w:pPr>
              <w:pStyle w:val="tabbielystyl"/>
            </w:pPr>
            <w:r w:rsidRPr="004C1013">
              <w:t>2009</w:t>
            </w:r>
          </w:p>
        </w:tc>
        <w:tc>
          <w:tcPr>
            <w:tcW w:w="1042" w:type="dxa"/>
            <w:hideMark/>
          </w:tcPr>
          <w:p w:rsidR="004C206A" w:rsidRPr="004C1013" w:rsidRDefault="004C206A" w:rsidP="00404B50">
            <w:pPr>
              <w:pStyle w:val="tabbielystyl"/>
            </w:pPr>
            <w:r w:rsidRPr="004C1013">
              <w:t>- </w:t>
            </w:r>
          </w:p>
        </w:tc>
        <w:tc>
          <w:tcPr>
            <w:tcW w:w="1130" w:type="dxa"/>
            <w:gridSpan w:val="2"/>
            <w:hideMark/>
          </w:tcPr>
          <w:p w:rsidR="004C206A" w:rsidRPr="004C1013" w:rsidRDefault="004C206A" w:rsidP="00404B50">
            <w:pPr>
              <w:pStyle w:val="tabbielystyl"/>
            </w:pPr>
            <w:r w:rsidRPr="004C1013">
              <w:t>- </w:t>
            </w:r>
          </w:p>
        </w:tc>
        <w:tc>
          <w:tcPr>
            <w:tcW w:w="962" w:type="dxa"/>
          </w:tcPr>
          <w:p w:rsidR="004C206A" w:rsidRPr="004C1013" w:rsidRDefault="004C206A" w:rsidP="009B2509">
            <w:pPr>
              <w:pStyle w:val="tabbielystyl"/>
            </w:pPr>
            <w:r w:rsidRPr="004C1013">
              <w:t>- </w:t>
            </w:r>
          </w:p>
        </w:tc>
        <w:tc>
          <w:tcPr>
            <w:tcW w:w="1330" w:type="dxa"/>
            <w:noWrap/>
            <w:hideMark/>
          </w:tcPr>
          <w:p w:rsidR="004C206A" w:rsidRPr="004C1013" w:rsidRDefault="004C206A" w:rsidP="00404B50">
            <w:pPr>
              <w:pStyle w:val="tabbielystyl"/>
            </w:pPr>
            <w:r w:rsidRPr="004C1013">
              <w:t>5.</w:t>
            </w:r>
          </w:p>
        </w:tc>
        <w:tc>
          <w:tcPr>
            <w:tcW w:w="1330" w:type="dxa"/>
            <w:noWrap/>
            <w:hideMark/>
          </w:tcPr>
          <w:p w:rsidR="004C206A" w:rsidRPr="004C1013" w:rsidRDefault="004C206A" w:rsidP="00404B50">
            <w:pPr>
              <w:pStyle w:val="tabbielystyl"/>
            </w:pPr>
            <w:r w:rsidRPr="004C1013">
              <w:t>540</w:t>
            </w:r>
          </w:p>
        </w:tc>
        <w:tc>
          <w:tcPr>
            <w:tcW w:w="1161" w:type="dxa"/>
            <w:hideMark/>
          </w:tcPr>
          <w:p w:rsidR="004C206A" w:rsidRPr="004C1013" w:rsidRDefault="004C206A" w:rsidP="00404B50">
            <w:pPr>
              <w:pStyle w:val="tabbielystyl"/>
            </w:pPr>
            <w:r w:rsidRPr="004C1013">
              <w:t>3.</w:t>
            </w:r>
          </w:p>
        </w:tc>
        <w:tc>
          <w:tcPr>
            <w:tcW w:w="1148" w:type="dxa"/>
            <w:hideMark/>
          </w:tcPr>
          <w:p w:rsidR="004C206A" w:rsidRPr="004C1013" w:rsidRDefault="004C206A" w:rsidP="00404B50">
            <w:pPr>
              <w:pStyle w:val="tabbielystyl"/>
            </w:pPr>
            <w:r w:rsidRPr="004C1013">
              <w:t>179,80</w:t>
            </w:r>
          </w:p>
        </w:tc>
        <w:tc>
          <w:tcPr>
            <w:tcW w:w="1161" w:type="dxa"/>
            <w:hideMark/>
          </w:tcPr>
          <w:p w:rsidR="004C206A" w:rsidRPr="004C1013" w:rsidRDefault="004C206A" w:rsidP="00404B50">
            <w:pPr>
              <w:pStyle w:val="tabbielystyl"/>
            </w:pPr>
            <w:r w:rsidRPr="004C1013">
              <w:t>6.</w:t>
            </w:r>
          </w:p>
        </w:tc>
        <w:tc>
          <w:tcPr>
            <w:tcW w:w="1148" w:type="dxa"/>
            <w:hideMark/>
          </w:tcPr>
          <w:p w:rsidR="004C206A" w:rsidRPr="004C1013" w:rsidRDefault="004C206A" w:rsidP="00404B50">
            <w:pPr>
              <w:pStyle w:val="tabbielystyl"/>
            </w:pPr>
            <w:r w:rsidRPr="004C1013">
              <w:t>111,14</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00"/>
        </w:trPr>
        <w:tc>
          <w:tcPr>
            <w:tcW w:w="1317" w:type="dxa"/>
            <w:hideMark/>
          </w:tcPr>
          <w:p w:rsidR="004C206A" w:rsidRPr="004C1013" w:rsidRDefault="004C206A" w:rsidP="00404B50">
            <w:pPr>
              <w:pStyle w:val="tabbielystyl"/>
            </w:pPr>
            <w:r w:rsidRPr="004C1013">
              <w:t>2010</w:t>
            </w:r>
          </w:p>
        </w:tc>
        <w:tc>
          <w:tcPr>
            <w:tcW w:w="1042" w:type="dxa"/>
            <w:hideMark/>
          </w:tcPr>
          <w:p w:rsidR="004C206A" w:rsidRPr="004C1013" w:rsidRDefault="004C206A" w:rsidP="00404B50">
            <w:pPr>
              <w:pStyle w:val="tabbielystyl"/>
            </w:pPr>
            <w:r w:rsidRPr="004C1013">
              <w:t>1.</w:t>
            </w:r>
          </w:p>
        </w:tc>
        <w:tc>
          <w:tcPr>
            <w:tcW w:w="1130" w:type="dxa"/>
            <w:gridSpan w:val="2"/>
            <w:hideMark/>
          </w:tcPr>
          <w:p w:rsidR="004C206A" w:rsidRPr="004C1013" w:rsidRDefault="004C206A" w:rsidP="00404B50">
            <w:pPr>
              <w:pStyle w:val="tabbielystyl"/>
            </w:pPr>
            <w:r w:rsidRPr="004C1013">
              <w:t>98,04</w:t>
            </w:r>
          </w:p>
        </w:tc>
        <w:tc>
          <w:tcPr>
            <w:tcW w:w="962" w:type="dxa"/>
            <w:vAlign w:val="bottom"/>
          </w:tcPr>
          <w:p w:rsidR="004C206A" w:rsidRPr="0011256D" w:rsidRDefault="004C206A" w:rsidP="0011256D">
            <w:pPr>
              <w:pStyle w:val="tabbielystyl"/>
            </w:pPr>
            <w:r w:rsidRPr="0011256D">
              <w:t>106,41</w:t>
            </w:r>
          </w:p>
        </w:tc>
        <w:tc>
          <w:tcPr>
            <w:tcW w:w="1330" w:type="dxa"/>
            <w:noWrap/>
            <w:hideMark/>
          </w:tcPr>
          <w:p w:rsidR="004C206A" w:rsidRPr="004C1013" w:rsidRDefault="004C206A" w:rsidP="00404B50">
            <w:pPr>
              <w:pStyle w:val="tabbielystyl"/>
            </w:pPr>
            <w:r w:rsidRPr="004C1013">
              <w:t>6.</w:t>
            </w:r>
          </w:p>
        </w:tc>
        <w:tc>
          <w:tcPr>
            <w:tcW w:w="1330" w:type="dxa"/>
            <w:noWrap/>
            <w:hideMark/>
          </w:tcPr>
          <w:p w:rsidR="004C206A" w:rsidRPr="004C1013" w:rsidRDefault="004C206A" w:rsidP="00404B50">
            <w:pPr>
              <w:pStyle w:val="tabbielystyl"/>
            </w:pPr>
            <w:r w:rsidRPr="004C1013">
              <w:t>490</w:t>
            </w:r>
          </w:p>
        </w:tc>
        <w:tc>
          <w:tcPr>
            <w:tcW w:w="1161" w:type="dxa"/>
            <w:hideMark/>
          </w:tcPr>
          <w:p w:rsidR="004C206A" w:rsidRPr="004C1013" w:rsidRDefault="004C206A" w:rsidP="00404B50">
            <w:pPr>
              <w:pStyle w:val="tabbielystyl"/>
            </w:pPr>
            <w:r w:rsidRPr="004C1013">
              <w:t>4.</w:t>
            </w:r>
          </w:p>
        </w:tc>
        <w:tc>
          <w:tcPr>
            <w:tcW w:w="1148" w:type="dxa"/>
            <w:hideMark/>
          </w:tcPr>
          <w:p w:rsidR="004C206A" w:rsidRPr="004C1013" w:rsidRDefault="004C206A" w:rsidP="00404B50">
            <w:pPr>
              <w:pStyle w:val="tabbielystyl"/>
            </w:pPr>
            <w:r w:rsidRPr="004C1013">
              <w:t>109,10</w:t>
            </w:r>
          </w:p>
        </w:tc>
        <w:tc>
          <w:tcPr>
            <w:tcW w:w="1161" w:type="dxa"/>
            <w:hideMark/>
          </w:tcPr>
          <w:p w:rsidR="004C206A" w:rsidRPr="004C1013" w:rsidRDefault="004C206A" w:rsidP="00404B50">
            <w:pPr>
              <w:pStyle w:val="tabbielystyl"/>
            </w:pPr>
            <w:r w:rsidRPr="004C1013">
              <w:t>7.</w:t>
            </w:r>
          </w:p>
        </w:tc>
        <w:tc>
          <w:tcPr>
            <w:tcW w:w="1148" w:type="dxa"/>
            <w:hideMark/>
          </w:tcPr>
          <w:p w:rsidR="004C206A" w:rsidRPr="004C1013" w:rsidRDefault="004C206A" w:rsidP="00404B50">
            <w:pPr>
              <w:pStyle w:val="tabbielystyl"/>
            </w:pPr>
            <w:r w:rsidRPr="004C1013">
              <w:t>123,72</w:t>
            </w:r>
          </w:p>
        </w:tc>
        <w:tc>
          <w:tcPr>
            <w:tcW w:w="1161" w:type="dxa"/>
            <w:hideMark/>
          </w:tcPr>
          <w:p w:rsidR="004C206A" w:rsidRPr="004C1013" w:rsidRDefault="004C206A" w:rsidP="00404B50">
            <w:pPr>
              <w:pStyle w:val="tabbielystyl"/>
            </w:pPr>
            <w:r w:rsidRPr="004C1013">
              <w:t>- </w:t>
            </w:r>
          </w:p>
        </w:tc>
        <w:tc>
          <w:tcPr>
            <w:tcW w:w="1148" w:type="dxa"/>
            <w:hideMark/>
          </w:tcPr>
          <w:p w:rsidR="004C206A" w:rsidRPr="004C1013" w:rsidRDefault="004C206A" w:rsidP="00404B50">
            <w:pPr>
              <w:pStyle w:val="tabbielystyl"/>
            </w:pPr>
            <w:r w:rsidRPr="004C1013">
              <w:t>- </w:t>
            </w:r>
          </w:p>
        </w:tc>
      </w:tr>
      <w:tr w:rsidR="004C206A" w:rsidRPr="004C1013" w:rsidTr="004C206A">
        <w:trPr>
          <w:trHeight w:val="315"/>
        </w:trPr>
        <w:tc>
          <w:tcPr>
            <w:tcW w:w="1317" w:type="dxa"/>
            <w:hideMark/>
          </w:tcPr>
          <w:p w:rsidR="004C206A" w:rsidRPr="004C1013" w:rsidRDefault="004C206A" w:rsidP="00404B50">
            <w:pPr>
              <w:pStyle w:val="tabbielystyl"/>
            </w:pPr>
            <w:r w:rsidRPr="004C1013">
              <w:t>2011</w:t>
            </w:r>
          </w:p>
        </w:tc>
        <w:tc>
          <w:tcPr>
            <w:tcW w:w="1042" w:type="dxa"/>
            <w:hideMark/>
          </w:tcPr>
          <w:p w:rsidR="004C206A" w:rsidRPr="004C1013" w:rsidRDefault="004C206A" w:rsidP="00404B50">
            <w:pPr>
              <w:pStyle w:val="tabbielystyl"/>
            </w:pPr>
            <w:r w:rsidRPr="004C1013">
              <w:t>2.</w:t>
            </w:r>
          </w:p>
        </w:tc>
        <w:tc>
          <w:tcPr>
            <w:tcW w:w="1130" w:type="dxa"/>
            <w:gridSpan w:val="2"/>
            <w:hideMark/>
          </w:tcPr>
          <w:p w:rsidR="004C206A" w:rsidRPr="004C1013" w:rsidRDefault="004C206A" w:rsidP="00404B50">
            <w:pPr>
              <w:pStyle w:val="tabbielystyl"/>
            </w:pPr>
            <w:r w:rsidRPr="004C1013">
              <w:t>100,53</w:t>
            </w:r>
          </w:p>
        </w:tc>
        <w:tc>
          <w:tcPr>
            <w:tcW w:w="962" w:type="dxa"/>
            <w:vAlign w:val="bottom"/>
          </w:tcPr>
          <w:p w:rsidR="004C206A" w:rsidRPr="0011256D" w:rsidRDefault="004C206A" w:rsidP="0011256D">
            <w:pPr>
              <w:pStyle w:val="tabbielystyl"/>
            </w:pPr>
            <w:r w:rsidRPr="0011256D">
              <w:t>102,58</w:t>
            </w:r>
          </w:p>
        </w:tc>
        <w:tc>
          <w:tcPr>
            <w:tcW w:w="1330" w:type="dxa"/>
            <w:noWrap/>
            <w:hideMark/>
          </w:tcPr>
          <w:p w:rsidR="004C206A" w:rsidRPr="004C1013" w:rsidRDefault="004C206A" w:rsidP="00404B50">
            <w:pPr>
              <w:pStyle w:val="tabbielystyl"/>
            </w:pPr>
            <w:r w:rsidRPr="004C1013">
              <w:t>7.</w:t>
            </w:r>
          </w:p>
        </w:tc>
        <w:tc>
          <w:tcPr>
            <w:tcW w:w="1330" w:type="dxa"/>
            <w:noWrap/>
            <w:hideMark/>
          </w:tcPr>
          <w:p w:rsidR="004C206A" w:rsidRPr="004C1013" w:rsidRDefault="004C206A" w:rsidP="00404B50">
            <w:pPr>
              <w:pStyle w:val="tabbielystyl"/>
            </w:pPr>
            <w:r w:rsidRPr="004C1013">
              <w:t>470</w:t>
            </w:r>
          </w:p>
        </w:tc>
        <w:tc>
          <w:tcPr>
            <w:tcW w:w="1161" w:type="dxa"/>
            <w:hideMark/>
          </w:tcPr>
          <w:p w:rsidR="004C206A" w:rsidRPr="004C1013" w:rsidRDefault="004C206A" w:rsidP="00404B50">
            <w:pPr>
              <w:pStyle w:val="tabbielystyl"/>
            </w:pPr>
            <w:r w:rsidRPr="004C1013">
              <w:t>5.</w:t>
            </w:r>
          </w:p>
        </w:tc>
        <w:tc>
          <w:tcPr>
            <w:tcW w:w="1148" w:type="dxa"/>
            <w:hideMark/>
          </w:tcPr>
          <w:p w:rsidR="004C206A" w:rsidRPr="004C1013" w:rsidRDefault="004C206A" w:rsidP="00404B50">
            <w:pPr>
              <w:pStyle w:val="tabbielystyl"/>
            </w:pPr>
            <w:r w:rsidRPr="004C1013">
              <w:t>106,68</w:t>
            </w:r>
          </w:p>
        </w:tc>
        <w:tc>
          <w:tcPr>
            <w:tcW w:w="1161" w:type="dxa"/>
            <w:hideMark/>
          </w:tcPr>
          <w:p w:rsidR="004C206A" w:rsidRPr="004C1013" w:rsidRDefault="004C206A" w:rsidP="00404B50">
            <w:pPr>
              <w:pStyle w:val="tabbielystyl"/>
            </w:pPr>
            <w:r w:rsidRPr="004C1013">
              <w:t>8.</w:t>
            </w:r>
          </w:p>
        </w:tc>
        <w:tc>
          <w:tcPr>
            <w:tcW w:w="1148" w:type="dxa"/>
            <w:hideMark/>
          </w:tcPr>
          <w:p w:rsidR="004C206A" w:rsidRPr="004C1013" w:rsidRDefault="004C206A" w:rsidP="00404B50">
            <w:pPr>
              <w:pStyle w:val="tabbielystyl"/>
            </w:pPr>
            <w:r w:rsidRPr="004C1013">
              <w:t>127,49</w:t>
            </w:r>
          </w:p>
        </w:tc>
        <w:tc>
          <w:tcPr>
            <w:tcW w:w="1161" w:type="dxa"/>
            <w:hideMark/>
          </w:tcPr>
          <w:p w:rsidR="004C206A" w:rsidRPr="004C1013" w:rsidRDefault="004C206A" w:rsidP="00404B50">
            <w:pPr>
              <w:pStyle w:val="tabbielystyl"/>
            </w:pPr>
            <w:r w:rsidRPr="004C1013">
              <w:t>1.</w:t>
            </w:r>
          </w:p>
        </w:tc>
        <w:tc>
          <w:tcPr>
            <w:tcW w:w="1148" w:type="dxa"/>
            <w:hideMark/>
          </w:tcPr>
          <w:p w:rsidR="004C206A" w:rsidRPr="004C1013" w:rsidRDefault="004C206A" w:rsidP="00404B50">
            <w:pPr>
              <w:pStyle w:val="tabbielystyl"/>
            </w:pPr>
            <w:r w:rsidRPr="004C1013">
              <w:t>144,45</w:t>
            </w:r>
          </w:p>
        </w:tc>
      </w:tr>
      <w:tr w:rsidR="004C206A" w:rsidRPr="004C1013" w:rsidTr="004C206A">
        <w:trPr>
          <w:trHeight w:val="300"/>
        </w:trPr>
        <w:tc>
          <w:tcPr>
            <w:tcW w:w="1317" w:type="dxa"/>
            <w:hideMark/>
          </w:tcPr>
          <w:p w:rsidR="004C206A" w:rsidRPr="004C1013" w:rsidRDefault="004C206A" w:rsidP="00404B50">
            <w:pPr>
              <w:pStyle w:val="tabbielystyl"/>
            </w:pPr>
            <w:r w:rsidRPr="004C1013">
              <w:t>2012</w:t>
            </w:r>
          </w:p>
        </w:tc>
        <w:tc>
          <w:tcPr>
            <w:tcW w:w="1042" w:type="dxa"/>
            <w:hideMark/>
          </w:tcPr>
          <w:p w:rsidR="004C206A" w:rsidRPr="004C1013" w:rsidRDefault="004C206A" w:rsidP="00404B50">
            <w:pPr>
              <w:pStyle w:val="tabbielystyl"/>
            </w:pPr>
            <w:r w:rsidRPr="004C1013">
              <w:t>3.</w:t>
            </w:r>
          </w:p>
        </w:tc>
        <w:tc>
          <w:tcPr>
            <w:tcW w:w="1130" w:type="dxa"/>
            <w:gridSpan w:val="2"/>
            <w:hideMark/>
          </w:tcPr>
          <w:p w:rsidR="004C206A" w:rsidRPr="004C1013" w:rsidRDefault="004C206A" w:rsidP="00404B50">
            <w:pPr>
              <w:pStyle w:val="tabbielystyl"/>
            </w:pPr>
            <w:r w:rsidRPr="004C1013">
              <w:t>115,57</w:t>
            </w:r>
          </w:p>
        </w:tc>
        <w:tc>
          <w:tcPr>
            <w:tcW w:w="962" w:type="dxa"/>
            <w:vAlign w:val="bottom"/>
          </w:tcPr>
          <w:p w:rsidR="004C206A" w:rsidRPr="0011256D" w:rsidRDefault="004C206A" w:rsidP="0011256D">
            <w:pPr>
              <w:pStyle w:val="tabbielystyl"/>
            </w:pPr>
            <w:r w:rsidRPr="0011256D">
              <w:t>70,21</w:t>
            </w:r>
          </w:p>
        </w:tc>
        <w:tc>
          <w:tcPr>
            <w:tcW w:w="1330" w:type="dxa"/>
            <w:noWrap/>
            <w:hideMark/>
          </w:tcPr>
          <w:p w:rsidR="004C206A" w:rsidRPr="004C1013" w:rsidRDefault="004C206A" w:rsidP="00404B50">
            <w:pPr>
              <w:pStyle w:val="tabbielystyl"/>
            </w:pPr>
            <w:r w:rsidRPr="004C1013">
              <w:t>8.</w:t>
            </w:r>
          </w:p>
        </w:tc>
        <w:tc>
          <w:tcPr>
            <w:tcW w:w="1330" w:type="dxa"/>
            <w:noWrap/>
            <w:hideMark/>
          </w:tcPr>
          <w:p w:rsidR="004C206A" w:rsidRPr="004C1013" w:rsidRDefault="004C206A" w:rsidP="00404B50">
            <w:pPr>
              <w:pStyle w:val="tabbielystyl"/>
            </w:pPr>
            <w:r w:rsidRPr="004C1013">
              <w:t>570</w:t>
            </w:r>
          </w:p>
        </w:tc>
        <w:tc>
          <w:tcPr>
            <w:tcW w:w="1161" w:type="dxa"/>
            <w:hideMark/>
          </w:tcPr>
          <w:p w:rsidR="004C206A" w:rsidRPr="004C1013" w:rsidRDefault="004C206A" w:rsidP="00404B50">
            <w:pPr>
              <w:pStyle w:val="tabbielystyl"/>
            </w:pPr>
            <w:r w:rsidRPr="004C1013">
              <w:t>6.</w:t>
            </w:r>
          </w:p>
        </w:tc>
        <w:tc>
          <w:tcPr>
            <w:tcW w:w="1148" w:type="dxa"/>
            <w:hideMark/>
          </w:tcPr>
          <w:p w:rsidR="004C206A" w:rsidRPr="004C1013" w:rsidRDefault="004C206A" w:rsidP="00404B50">
            <w:pPr>
              <w:pStyle w:val="tabbielystyl"/>
            </w:pPr>
            <w:r w:rsidRPr="004C1013">
              <w:t>64,09</w:t>
            </w:r>
          </w:p>
        </w:tc>
        <w:tc>
          <w:tcPr>
            <w:tcW w:w="1161" w:type="dxa"/>
            <w:hideMark/>
          </w:tcPr>
          <w:p w:rsidR="004C206A" w:rsidRPr="004C1013" w:rsidRDefault="004C206A" w:rsidP="00404B50">
            <w:pPr>
              <w:pStyle w:val="tabbielystyl"/>
            </w:pPr>
            <w:r w:rsidRPr="004C1013">
              <w:t>9.</w:t>
            </w:r>
          </w:p>
        </w:tc>
        <w:tc>
          <w:tcPr>
            <w:tcW w:w="1148" w:type="dxa"/>
            <w:hideMark/>
          </w:tcPr>
          <w:p w:rsidR="004C206A" w:rsidRPr="004C1013" w:rsidRDefault="004C206A" w:rsidP="00404B50">
            <w:pPr>
              <w:pStyle w:val="tabbielystyl"/>
            </w:pPr>
            <w:r w:rsidRPr="004C1013">
              <w:t>132,33</w:t>
            </w:r>
          </w:p>
        </w:tc>
        <w:tc>
          <w:tcPr>
            <w:tcW w:w="1161" w:type="dxa"/>
            <w:hideMark/>
          </w:tcPr>
          <w:p w:rsidR="004C206A" w:rsidRPr="004C1013" w:rsidRDefault="004C206A" w:rsidP="00404B50">
            <w:pPr>
              <w:pStyle w:val="tabbielystyl"/>
            </w:pPr>
            <w:r w:rsidRPr="004C1013">
              <w:t>2.</w:t>
            </w:r>
          </w:p>
        </w:tc>
        <w:tc>
          <w:tcPr>
            <w:tcW w:w="1148" w:type="dxa"/>
            <w:hideMark/>
          </w:tcPr>
          <w:p w:rsidR="004C206A" w:rsidRPr="004C1013" w:rsidRDefault="004C206A" w:rsidP="00404B50">
            <w:pPr>
              <w:pStyle w:val="tabbielystyl"/>
            </w:pPr>
            <w:r w:rsidRPr="004C1013">
              <w:t>234,33</w:t>
            </w:r>
          </w:p>
        </w:tc>
      </w:tr>
      <w:tr w:rsidR="004C206A" w:rsidRPr="004C1013" w:rsidTr="004C206A">
        <w:trPr>
          <w:trHeight w:val="300"/>
        </w:trPr>
        <w:tc>
          <w:tcPr>
            <w:tcW w:w="1317" w:type="dxa"/>
            <w:hideMark/>
          </w:tcPr>
          <w:p w:rsidR="004C206A" w:rsidRPr="004C1013" w:rsidRDefault="004C206A" w:rsidP="00404B50">
            <w:pPr>
              <w:pStyle w:val="tabbielystyl"/>
            </w:pPr>
            <w:r w:rsidRPr="004C1013">
              <w:t>2013</w:t>
            </w:r>
          </w:p>
        </w:tc>
        <w:tc>
          <w:tcPr>
            <w:tcW w:w="1042" w:type="dxa"/>
            <w:hideMark/>
          </w:tcPr>
          <w:p w:rsidR="004C206A" w:rsidRPr="004C1013" w:rsidRDefault="004C206A" w:rsidP="00404B50">
            <w:pPr>
              <w:pStyle w:val="tabbielystyl"/>
            </w:pPr>
            <w:r w:rsidRPr="004C1013">
              <w:t>4.</w:t>
            </w:r>
          </w:p>
        </w:tc>
        <w:tc>
          <w:tcPr>
            <w:tcW w:w="1130" w:type="dxa"/>
            <w:gridSpan w:val="2"/>
            <w:hideMark/>
          </w:tcPr>
          <w:p w:rsidR="004C206A" w:rsidRPr="004C1013" w:rsidRDefault="004C206A" w:rsidP="00404B50">
            <w:pPr>
              <w:pStyle w:val="tabbielystyl"/>
            </w:pPr>
            <w:r w:rsidRPr="004C1013">
              <w:t>122,00</w:t>
            </w:r>
          </w:p>
        </w:tc>
        <w:tc>
          <w:tcPr>
            <w:tcW w:w="962" w:type="dxa"/>
            <w:vAlign w:val="bottom"/>
          </w:tcPr>
          <w:p w:rsidR="004C206A" w:rsidRPr="0011256D" w:rsidRDefault="004C206A" w:rsidP="0011256D">
            <w:pPr>
              <w:pStyle w:val="tabbielystyl"/>
            </w:pPr>
            <w:r w:rsidRPr="0011256D">
              <w:t>76,12</w:t>
            </w:r>
          </w:p>
        </w:tc>
        <w:tc>
          <w:tcPr>
            <w:tcW w:w="1330" w:type="dxa"/>
            <w:noWrap/>
            <w:hideMark/>
          </w:tcPr>
          <w:p w:rsidR="004C206A" w:rsidRPr="004C1013" w:rsidRDefault="004C206A" w:rsidP="00404B50">
            <w:pPr>
              <w:pStyle w:val="tabbielystyl"/>
            </w:pPr>
            <w:r w:rsidRPr="004C1013">
              <w:t>9.</w:t>
            </w:r>
          </w:p>
        </w:tc>
        <w:tc>
          <w:tcPr>
            <w:tcW w:w="1330" w:type="dxa"/>
            <w:noWrap/>
            <w:hideMark/>
          </w:tcPr>
          <w:p w:rsidR="004C206A" w:rsidRPr="004C1013" w:rsidRDefault="004C206A" w:rsidP="00404B50">
            <w:pPr>
              <w:pStyle w:val="tabbielystyl"/>
            </w:pPr>
            <w:r w:rsidRPr="004C1013">
              <w:t>610</w:t>
            </w:r>
          </w:p>
        </w:tc>
        <w:tc>
          <w:tcPr>
            <w:tcW w:w="1161" w:type="dxa"/>
            <w:hideMark/>
          </w:tcPr>
          <w:p w:rsidR="004C206A" w:rsidRPr="004C1013" w:rsidRDefault="004C206A" w:rsidP="00404B50">
            <w:pPr>
              <w:pStyle w:val="tabbielystyl"/>
            </w:pPr>
            <w:r w:rsidRPr="004C1013">
              <w:t>7.</w:t>
            </w:r>
          </w:p>
        </w:tc>
        <w:tc>
          <w:tcPr>
            <w:tcW w:w="1148" w:type="dxa"/>
            <w:hideMark/>
          </w:tcPr>
          <w:p w:rsidR="004C206A" w:rsidRPr="004C1013" w:rsidRDefault="004C206A" w:rsidP="00404B50">
            <w:pPr>
              <w:pStyle w:val="tabbielystyl"/>
            </w:pPr>
            <w:r w:rsidRPr="004C1013">
              <w:t>68,21</w:t>
            </w:r>
          </w:p>
        </w:tc>
        <w:tc>
          <w:tcPr>
            <w:tcW w:w="1161" w:type="dxa"/>
            <w:hideMark/>
          </w:tcPr>
          <w:p w:rsidR="004C206A" w:rsidRPr="004C1013" w:rsidRDefault="004C206A" w:rsidP="00404B50">
            <w:pPr>
              <w:pStyle w:val="tabbielystyl"/>
            </w:pPr>
            <w:r w:rsidRPr="004C1013">
              <w:t>10.</w:t>
            </w:r>
          </w:p>
        </w:tc>
        <w:tc>
          <w:tcPr>
            <w:tcW w:w="1148" w:type="dxa"/>
            <w:hideMark/>
          </w:tcPr>
          <w:p w:rsidR="004C206A" w:rsidRPr="004C1013" w:rsidRDefault="004C206A" w:rsidP="00404B50">
            <w:pPr>
              <w:pStyle w:val="tabbielystyl"/>
            </w:pPr>
            <w:r w:rsidRPr="004C1013">
              <w:t>136,14</w:t>
            </w:r>
          </w:p>
        </w:tc>
        <w:tc>
          <w:tcPr>
            <w:tcW w:w="1161" w:type="dxa"/>
            <w:hideMark/>
          </w:tcPr>
          <w:p w:rsidR="004C206A" w:rsidRPr="004C1013" w:rsidRDefault="004C206A" w:rsidP="00404B50">
            <w:pPr>
              <w:pStyle w:val="tabbielystyl"/>
            </w:pPr>
            <w:r w:rsidRPr="004C1013">
              <w:t>3.</w:t>
            </w:r>
          </w:p>
        </w:tc>
        <w:tc>
          <w:tcPr>
            <w:tcW w:w="1148" w:type="dxa"/>
            <w:hideMark/>
          </w:tcPr>
          <w:p w:rsidR="004C206A" w:rsidRPr="004C1013" w:rsidRDefault="004C206A" w:rsidP="00404B50">
            <w:pPr>
              <w:pStyle w:val="tabbielystyl"/>
            </w:pPr>
            <w:r w:rsidRPr="004C1013">
              <w:t>88,72</w:t>
            </w:r>
          </w:p>
        </w:tc>
      </w:tr>
      <w:tr w:rsidR="004C206A" w:rsidRPr="004C1013" w:rsidTr="004C206A">
        <w:trPr>
          <w:trHeight w:val="300"/>
        </w:trPr>
        <w:tc>
          <w:tcPr>
            <w:tcW w:w="1317" w:type="dxa"/>
            <w:hideMark/>
          </w:tcPr>
          <w:p w:rsidR="004C206A" w:rsidRPr="004C1013" w:rsidRDefault="004C206A" w:rsidP="00404B50">
            <w:pPr>
              <w:pStyle w:val="tabbielystyl"/>
            </w:pPr>
            <w:r w:rsidRPr="004C1013">
              <w:t>2014</w:t>
            </w:r>
          </w:p>
        </w:tc>
        <w:tc>
          <w:tcPr>
            <w:tcW w:w="1042" w:type="dxa"/>
            <w:hideMark/>
          </w:tcPr>
          <w:p w:rsidR="004C206A" w:rsidRPr="004C1013" w:rsidRDefault="004C206A" w:rsidP="00404B50">
            <w:pPr>
              <w:pStyle w:val="tabbielystyl"/>
            </w:pPr>
            <w:r w:rsidRPr="004C1013">
              <w:t>5.</w:t>
            </w:r>
          </w:p>
        </w:tc>
        <w:tc>
          <w:tcPr>
            <w:tcW w:w="1130" w:type="dxa"/>
            <w:gridSpan w:val="2"/>
            <w:hideMark/>
          </w:tcPr>
          <w:p w:rsidR="004C206A" w:rsidRPr="004C1013" w:rsidRDefault="004C206A" w:rsidP="00404B50">
            <w:pPr>
              <w:pStyle w:val="tabbielystyl"/>
            </w:pPr>
            <w:r w:rsidRPr="004C1013">
              <w:t>70,91</w:t>
            </w:r>
          </w:p>
        </w:tc>
        <w:tc>
          <w:tcPr>
            <w:tcW w:w="962" w:type="dxa"/>
            <w:vAlign w:val="bottom"/>
          </w:tcPr>
          <w:p w:rsidR="004C206A" w:rsidRPr="0011256D" w:rsidRDefault="004C206A" w:rsidP="0011256D">
            <w:pPr>
              <w:pStyle w:val="tabbielystyl"/>
            </w:pPr>
            <w:r w:rsidRPr="0011256D">
              <w:t>79,16</w:t>
            </w:r>
          </w:p>
        </w:tc>
        <w:tc>
          <w:tcPr>
            <w:tcW w:w="1330" w:type="dxa"/>
            <w:noWrap/>
            <w:hideMark/>
          </w:tcPr>
          <w:p w:rsidR="004C206A" w:rsidRPr="004C1013" w:rsidRDefault="004C206A" w:rsidP="00404B50">
            <w:pPr>
              <w:pStyle w:val="tabbielystyl"/>
            </w:pPr>
            <w:r w:rsidRPr="004C1013">
              <w:t>10.</w:t>
            </w:r>
          </w:p>
        </w:tc>
        <w:tc>
          <w:tcPr>
            <w:tcW w:w="1330" w:type="dxa"/>
            <w:noWrap/>
            <w:hideMark/>
          </w:tcPr>
          <w:p w:rsidR="004C206A" w:rsidRPr="004C1013" w:rsidRDefault="004C206A" w:rsidP="00404B50">
            <w:pPr>
              <w:pStyle w:val="tabbielystyl"/>
            </w:pPr>
            <w:r w:rsidRPr="004C1013">
              <w:t>610</w:t>
            </w:r>
          </w:p>
        </w:tc>
        <w:tc>
          <w:tcPr>
            <w:tcW w:w="1161" w:type="dxa"/>
            <w:hideMark/>
          </w:tcPr>
          <w:p w:rsidR="004C206A" w:rsidRPr="004C1013" w:rsidRDefault="004C206A" w:rsidP="00404B50">
            <w:pPr>
              <w:pStyle w:val="tabbielystyl"/>
            </w:pPr>
            <w:r w:rsidRPr="004C1013">
              <w:t>8.</w:t>
            </w:r>
          </w:p>
        </w:tc>
        <w:tc>
          <w:tcPr>
            <w:tcW w:w="1148" w:type="dxa"/>
            <w:hideMark/>
          </w:tcPr>
          <w:p w:rsidR="004C206A" w:rsidRPr="004C1013" w:rsidRDefault="004C206A" w:rsidP="00404B50">
            <w:pPr>
              <w:pStyle w:val="tabbielystyl"/>
            </w:pPr>
            <w:r w:rsidRPr="004C1013">
              <w:t>66,08</w:t>
            </w:r>
          </w:p>
        </w:tc>
        <w:tc>
          <w:tcPr>
            <w:tcW w:w="1161" w:type="dxa"/>
            <w:hideMark/>
          </w:tcPr>
          <w:p w:rsidR="004C206A" w:rsidRPr="004C1013" w:rsidRDefault="004C206A" w:rsidP="00404B50">
            <w:pPr>
              <w:pStyle w:val="tabbielystyl"/>
            </w:pPr>
            <w:r w:rsidRPr="004C1013">
              <w:t>11.</w:t>
            </w:r>
          </w:p>
        </w:tc>
        <w:tc>
          <w:tcPr>
            <w:tcW w:w="1148" w:type="dxa"/>
            <w:hideMark/>
          </w:tcPr>
          <w:p w:rsidR="004C206A" w:rsidRPr="004C1013" w:rsidRDefault="004C206A" w:rsidP="00404B50">
            <w:pPr>
              <w:pStyle w:val="tabbielystyl"/>
            </w:pPr>
            <w:r w:rsidRPr="004C1013">
              <w:t>148,99</w:t>
            </w:r>
          </w:p>
        </w:tc>
        <w:tc>
          <w:tcPr>
            <w:tcW w:w="1161" w:type="dxa"/>
            <w:hideMark/>
          </w:tcPr>
          <w:p w:rsidR="004C206A" w:rsidRPr="004C1013" w:rsidRDefault="004C206A" w:rsidP="00404B50">
            <w:pPr>
              <w:pStyle w:val="tabbielystyl"/>
            </w:pPr>
            <w:r w:rsidRPr="004C1013">
              <w:t>4.</w:t>
            </w:r>
          </w:p>
        </w:tc>
        <w:tc>
          <w:tcPr>
            <w:tcW w:w="1148" w:type="dxa"/>
            <w:hideMark/>
          </w:tcPr>
          <w:p w:rsidR="004C206A" w:rsidRPr="004C1013" w:rsidRDefault="004C206A" w:rsidP="00404B50">
            <w:pPr>
              <w:pStyle w:val="tabbielystyl"/>
            </w:pPr>
            <w:r w:rsidRPr="004C1013">
              <w:t>100,21</w:t>
            </w:r>
          </w:p>
        </w:tc>
      </w:tr>
      <w:tr w:rsidR="004C206A" w:rsidRPr="004C1013" w:rsidTr="004C206A">
        <w:trPr>
          <w:trHeight w:val="300"/>
        </w:trPr>
        <w:tc>
          <w:tcPr>
            <w:tcW w:w="1317" w:type="dxa"/>
            <w:hideMark/>
          </w:tcPr>
          <w:p w:rsidR="004C206A" w:rsidRPr="004C1013" w:rsidRDefault="004C206A" w:rsidP="00404B50">
            <w:pPr>
              <w:pStyle w:val="tabbielystyl"/>
            </w:pPr>
            <w:r w:rsidRPr="004C1013">
              <w:t>2015</w:t>
            </w:r>
          </w:p>
        </w:tc>
        <w:tc>
          <w:tcPr>
            <w:tcW w:w="1042" w:type="dxa"/>
            <w:hideMark/>
          </w:tcPr>
          <w:p w:rsidR="004C206A" w:rsidRPr="004C1013" w:rsidRDefault="004C206A" w:rsidP="00404B50">
            <w:pPr>
              <w:pStyle w:val="tabbielystyl"/>
            </w:pPr>
            <w:r w:rsidRPr="004C1013">
              <w:t>6.</w:t>
            </w:r>
          </w:p>
        </w:tc>
        <w:tc>
          <w:tcPr>
            <w:tcW w:w="1130" w:type="dxa"/>
            <w:gridSpan w:val="2"/>
            <w:hideMark/>
          </w:tcPr>
          <w:p w:rsidR="004C206A" w:rsidRPr="004C1013" w:rsidRDefault="004C206A" w:rsidP="00404B50">
            <w:pPr>
              <w:pStyle w:val="tabbielystyl"/>
            </w:pPr>
            <w:r w:rsidRPr="004C1013">
              <w:t>70,58</w:t>
            </w:r>
          </w:p>
        </w:tc>
        <w:tc>
          <w:tcPr>
            <w:tcW w:w="962" w:type="dxa"/>
          </w:tcPr>
          <w:p w:rsidR="004C206A" w:rsidRPr="0011256D" w:rsidRDefault="004C206A" w:rsidP="0011256D">
            <w:pPr>
              <w:pStyle w:val="tabbielystyl"/>
            </w:pPr>
            <w:r w:rsidRPr="0011256D">
              <w:t>99,54</w:t>
            </w:r>
          </w:p>
        </w:tc>
        <w:tc>
          <w:tcPr>
            <w:tcW w:w="1330" w:type="dxa"/>
            <w:noWrap/>
            <w:hideMark/>
          </w:tcPr>
          <w:p w:rsidR="004C206A" w:rsidRPr="004C1013" w:rsidRDefault="004C206A" w:rsidP="00404B50">
            <w:pPr>
              <w:pStyle w:val="tabbielystyl"/>
            </w:pPr>
            <w:r w:rsidRPr="004C1013">
              <w:t>11.</w:t>
            </w:r>
          </w:p>
        </w:tc>
        <w:tc>
          <w:tcPr>
            <w:tcW w:w="1330" w:type="dxa"/>
            <w:noWrap/>
            <w:hideMark/>
          </w:tcPr>
          <w:p w:rsidR="004C206A" w:rsidRPr="004C1013" w:rsidRDefault="004C206A" w:rsidP="00404B50">
            <w:pPr>
              <w:pStyle w:val="tabbielystyl"/>
            </w:pPr>
            <w:r w:rsidRPr="004C1013">
              <w:t>540</w:t>
            </w:r>
          </w:p>
        </w:tc>
        <w:tc>
          <w:tcPr>
            <w:tcW w:w="1161" w:type="dxa"/>
            <w:hideMark/>
          </w:tcPr>
          <w:p w:rsidR="004C206A" w:rsidRPr="004C1013" w:rsidRDefault="004C206A" w:rsidP="00404B50">
            <w:pPr>
              <w:pStyle w:val="tabbielystyl"/>
            </w:pPr>
            <w:r w:rsidRPr="004C1013">
              <w:t>9.</w:t>
            </w:r>
          </w:p>
        </w:tc>
        <w:tc>
          <w:tcPr>
            <w:tcW w:w="1148" w:type="dxa"/>
            <w:hideMark/>
          </w:tcPr>
          <w:p w:rsidR="004C206A" w:rsidRPr="004C1013" w:rsidRDefault="004C206A" w:rsidP="00404B50">
            <w:pPr>
              <w:pStyle w:val="tabbielystyl"/>
            </w:pPr>
            <w:r w:rsidRPr="004C1013">
              <w:t>63,85</w:t>
            </w:r>
          </w:p>
        </w:tc>
        <w:tc>
          <w:tcPr>
            <w:tcW w:w="1161" w:type="dxa"/>
            <w:hideMark/>
          </w:tcPr>
          <w:p w:rsidR="004C206A" w:rsidRPr="004C1013" w:rsidRDefault="004C206A" w:rsidP="00404B50">
            <w:pPr>
              <w:pStyle w:val="tabbielystyl"/>
            </w:pPr>
            <w:r w:rsidRPr="004C1013">
              <w:t>12.</w:t>
            </w:r>
          </w:p>
        </w:tc>
        <w:tc>
          <w:tcPr>
            <w:tcW w:w="1148" w:type="dxa"/>
            <w:hideMark/>
          </w:tcPr>
          <w:p w:rsidR="004C206A" w:rsidRPr="004C1013" w:rsidRDefault="004C206A" w:rsidP="00404B50">
            <w:pPr>
              <w:pStyle w:val="tabbielystyl"/>
            </w:pPr>
            <w:r w:rsidRPr="004C1013">
              <w:t>150,30</w:t>
            </w:r>
          </w:p>
        </w:tc>
        <w:tc>
          <w:tcPr>
            <w:tcW w:w="1161" w:type="dxa"/>
            <w:hideMark/>
          </w:tcPr>
          <w:p w:rsidR="004C206A" w:rsidRPr="004C1013" w:rsidRDefault="004C206A" w:rsidP="00404B50">
            <w:pPr>
              <w:pStyle w:val="tabbielystyl"/>
            </w:pPr>
            <w:r w:rsidRPr="004C1013">
              <w:t>5.</w:t>
            </w:r>
          </w:p>
        </w:tc>
        <w:tc>
          <w:tcPr>
            <w:tcW w:w="1148" w:type="dxa"/>
            <w:hideMark/>
          </w:tcPr>
          <w:p w:rsidR="004C206A" w:rsidRPr="004C1013" w:rsidRDefault="004C206A" w:rsidP="00404B50">
            <w:pPr>
              <w:pStyle w:val="tabbielystyl"/>
            </w:pPr>
            <w:r w:rsidRPr="004C1013">
              <w:t>85,50</w:t>
            </w:r>
          </w:p>
        </w:tc>
      </w:tr>
      <w:tr w:rsidR="004C206A" w:rsidRPr="004C1013" w:rsidTr="004C206A">
        <w:trPr>
          <w:trHeight w:val="300"/>
        </w:trPr>
        <w:tc>
          <w:tcPr>
            <w:tcW w:w="1317" w:type="dxa"/>
            <w:hideMark/>
          </w:tcPr>
          <w:p w:rsidR="004C206A" w:rsidRPr="004C1013" w:rsidRDefault="004C206A" w:rsidP="00404B50">
            <w:pPr>
              <w:pStyle w:val="tabbielystyl"/>
            </w:pPr>
            <w:r w:rsidRPr="004C1013">
              <w:t>2016</w:t>
            </w:r>
          </w:p>
        </w:tc>
        <w:tc>
          <w:tcPr>
            <w:tcW w:w="1042" w:type="dxa"/>
            <w:hideMark/>
          </w:tcPr>
          <w:p w:rsidR="004C206A" w:rsidRPr="004C1013" w:rsidRDefault="004C206A" w:rsidP="00404B50">
            <w:pPr>
              <w:pStyle w:val="tabbielystyl"/>
            </w:pPr>
            <w:r w:rsidRPr="004C1013">
              <w:t>7.</w:t>
            </w:r>
          </w:p>
        </w:tc>
        <w:tc>
          <w:tcPr>
            <w:tcW w:w="1130" w:type="dxa"/>
            <w:gridSpan w:val="2"/>
            <w:hideMark/>
          </w:tcPr>
          <w:p w:rsidR="004C206A" w:rsidRPr="004C1013" w:rsidRDefault="004C206A" w:rsidP="00404B50">
            <w:pPr>
              <w:pStyle w:val="tabbielystyl"/>
            </w:pPr>
            <w:r w:rsidRPr="004C1013">
              <w:t>72,08</w:t>
            </w:r>
          </w:p>
        </w:tc>
        <w:tc>
          <w:tcPr>
            <w:tcW w:w="962" w:type="dxa"/>
          </w:tcPr>
          <w:p w:rsidR="004C206A" w:rsidRPr="0011256D" w:rsidRDefault="004C206A" w:rsidP="0011256D">
            <w:pPr>
              <w:pStyle w:val="tabbielystyl"/>
            </w:pPr>
            <w:r w:rsidRPr="0011256D">
              <w:t>101,12</w:t>
            </w:r>
          </w:p>
        </w:tc>
        <w:tc>
          <w:tcPr>
            <w:tcW w:w="1330" w:type="dxa"/>
            <w:noWrap/>
            <w:hideMark/>
          </w:tcPr>
          <w:p w:rsidR="004C206A" w:rsidRPr="004C1013" w:rsidRDefault="004C206A" w:rsidP="00404B50">
            <w:pPr>
              <w:pStyle w:val="tabbielystyl"/>
            </w:pPr>
            <w:r w:rsidRPr="004C1013">
              <w:t>12.</w:t>
            </w:r>
          </w:p>
        </w:tc>
        <w:tc>
          <w:tcPr>
            <w:tcW w:w="1330" w:type="dxa"/>
            <w:noWrap/>
            <w:hideMark/>
          </w:tcPr>
          <w:p w:rsidR="004C206A" w:rsidRPr="004C1013" w:rsidRDefault="004C206A" w:rsidP="00404B50">
            <w:pPr>
              <w:pStyle w:val="tabbielystyl"/>
            </w:pPr>
            <w:r w:rsidRPr="004C1013">
              <w:t>571</w:t>
            </w:r>
          </w:p>
        </w:tc>
        <w:tc>
          <w:tcPr>
            <w:tcW w:w="1161" w:type="dxa"/>
            <w:hideMark/>
          </w:tcPr>
          <w:p w:rsidR="004C206A" w:rsidRPr="004C1013" w:rsidRDefault="004C206A" w:rsidP="00404B50">
            <w:pPr>
              <w:pStyle w:val="tabbielystyl"/>
            </w:pPr>
            <w:r w:rsidRPr="004C1013">
              <w:t>10.</w:t>
            </w:r>
          </w:p>
        </w:tc>
        <w:tc>
          <w:tcPr>
            <w:tcW w:w="1148" w:type="dxa"/>
            <w:hideMark/>
          </w:tcPr>
          <w:p w:rsidR="004C206A" w:rsidRPr="004C1013" w:rsidRDefault="004C206A" w:rsidP="00404B50">
            <w:pPr>
              <w:pStyle w:val="tabbielystyl"/>
            </w:pPr>
            <w:r w:rsidRPr="004C1013">
              <w:t>60,87</w:t>
            </w:r>
          </w:p>
        </w:tc>
        <w:tc>
          <w:tcPr>
            <w:tcW w:w="1161" w:type="dxa"/>
            <w:hideMark/>
          </w:tcPr>
          <w:p w:rsidR="004C206A" w:rsidRPr="004C1013" w:rsidRDefault="004C206A" w:rsidP="00404B50">
            <w:pPr>
              <w:pStyle w:val="tabbielystyl"/>
            </w:pPr>
            <w:r w:rsidRPr="004C1013">
              <w:t>13.</w:t>
            </w:r>
          </w:p>
        </w:tc>
        <w:tc>
          <w:tcPr>
            <w:tcW w:w="1148" w:type="dxa"/>
            <w:hideMark/>
          </w:tcPr>
          <w:p w:rsidR="004C206A" w:rsidRPr="004C1013" w:rsidRDefault="004C206A" w:rsidP="00404B50">
            <w:pPr>
              <w:pStyle w:val="tabbielystyl"/>
            </w:pPr>
            <w:r w:rsidRPr="004C1013">
              <w:t>152,83</w:t>
            </w:r>
          </w:p>
        </w:tc>
        <w:tc>
          <w:tcPr>
            <w:tcW w:w="1161" w:type="dxa"/>
            <w:hideMark/>
          </w:tcPr>
          <w:p w:rsidR="004C206A" w:rsidRPr="004C1013" w:rsidRDefault="004C206A" w:rsidP="00404B50">
            <w:pPr>
              <w:pStyle w:val="tabbielystyl"/>
            </w:pPr>
            <w:r w:rsidRPr="004C1013">
              <w:t>6.</w:t>
            </w:r>
          </w:p>
        </w:tc>
        <w:tc>
          <w:tcPr>
            <w:tcW w:w="1148" w:type="dxa"/>
            <w:hideMark/>
          </w:tcPr>
          <w:p w:rsidR="004C206A" w:rsidRPr="004C1013" w:rsidRDefault="004C206A" w:rsidP="00404B50">
            <w:pPr>
              <w:pStyle w:val="tabbielystyl"/>
            </w:pPr>
            <w:r w:rsidRPr="004C1013">
              <w:t>92,74</w:t>
            </w:r>
          </w:p>
        </w:tc>
      </w:tr>
      <w:tr w:rsidR="004C206A" w:rsidRPr="004C1013" w:rsidTr="004C206A">
        <w:trPr>
          <w:trHeight w:val="300"/>
        </w:trPr>
        <w:tc>
          <w:tcPr>
            <w:tcW w:w="1317" w:type="dxa"/>
            <w:hideMark/>
          </w:tcPr>
          <w:p w:rsidR="004C206A" w:rsidRPr="004C1013" w:rsidRDefault="004C206A" w:rsidP="00404B50">
            <w:pPr>
              <w:pStyle w:val="tabbielystyl"/>
            </w:pPr>
            <w:r w:rsidRPr="004C1013">
              <w:t>2017</w:t>
            </w:r>
          </w:p>
        </w:tc>
        <w:tc>
          <w:tcPr>
            <w:tcW w:w="1042" w:type="dxa"/>
            <w:hideMark/>
          </w:tcPr>
          <w:p w:rsidR="004C206A" w:rsidRPr="004C1013" w:rsidRDefault="004C206A" w:rsidP="00404B50">
            <w:pPr>
              <w:pStyle w:val="tabbielystyl"/>
            </w:pPr>
            <w:r w:rsidRPr="004C1013">
              <w:t>8.</w:t>
            </w:r>
          </w:p>
        </w:tc>
        <w:tc>
          <w:tcPr>
            <w:tcW w:w="1130" w:type="dxa"/>
            <w:gridSpan w:val="2"/>
            <w:hideMark/>
          </w:tcPr>
          <w:p w:rsidR="004C206A" w:rsidRPr="004C1013" w:rsidRDefault="004C206A" w:rsidP="00404B50">
            <w:pPr>
              <w:pStyle w:val="tabbielystyl"/>
            </w:pPr>
            <w:r w:rsidRPr="004C1013">
              <w:t>70,16</w:t>
            </w:r>
          </w:p>
        </w:tc>
        <w:tc>
          <w:tcPr>
            <w:tcW w:w="962" w:type="dxa"/>
          </w:tcPr>
          <w:p w:rsidR="004C206A" w:rsidRPr="0011256D" w:rsidRDefault="004C206A" w:rsidP="0011256D">
            <w:pPr>
              <w:pStyle w:val="tabbielystyl"/>
            </w:pPr>
            <w:r w:rsidRPr="0011256D">
              <w:t>102,01</w:t>
            </w:r>
          </w:p>
        </w:tc>
        <w:tc>
          <w:tcPr>
            <w:tcW w:w="1330" w:type="dxa"/>
            <w:noWrap/>
            <w:hideMark/>
          </w:tcPr>
          <w:p w:rsidR="004C206A" w:rsidRPr="004C1013" w:rsidRDefault="004C206A" w:rsidP="00404B50">
            <w:pPr>
              <w:pStyle w:val="tabbielystyl"/>
            </w:pPr>
            <w:r w:rsidRPr="004C1013">
              <w:t>13.</w:t>
            </w:r>
          </w:p>
        </w:tc>
        <w:tc>
          <w:tcPr>
            <w:tcW w:w="1330" w:type="dxa"/>
            <w:noWrap/>
            <w:hideMark/>
          </w:tcPr>
          <w:p w:rsidR="004C206A" w:rsidRPr="004C1013" w:rsidRDefault="004C206A" w:rsidP="00404B50">
            <w:pPr>
              <w:pStyle w:val="tabbielystyl"/>
            </w:pPr>
            <w:r w:rsidRPr="004C1013">
              <w:t>629</w:t>
            </w:r>
          </w:p>
        </w:tc>
        <w:tc>
          <w:tcPr>
            <w:tcW w:w="1161" w:type="dxa"/>
            <w:hideMark/>
          </w:tcPr>
          <w:p w:rsidR="004C206A" w:rsidRPr="004C1013" w:rsidRDefault="004C206A" w:rsidP="00404B50">
            <w:pPr>
              <w:pStyle w:val="tabbielystyl"/>
            </w:pPr>
            <w:r w:rsidRPr="004C1013">
              <w:t>11.</w:t>
            </w:r>
          </w:p>
        </w:tc>
        <w:tc>
          <w:tcPr>
            <w:tcW w:w="1148" w:type="dxa"/>
            <w:hideMark/>
          </w:tcPr>
          <w:p w:rsidR="004C206A" w:rsidRPr="004C1013" w:rsidRDefault="004C206A" w:rsidP="00404B50">
            <w:pPr>
              <w:pStyle w:val="tabbielystyl"/>
            </w:pPr>
            <w:r w:rsidRPr="004C1013">
              <w:t>57,94</w:t>
            </w:r>
          </w:p>
        </w:tc>
        <w:tc>
          <w:tcPr>
            <w:tcW w:w="1161" w:type="dxa"/>
            <w:hideMark/>
          </w:tcPr>
          <w:p w:rsidR="004C206A" w:rsidRPr="004C1013" w:rsidRDefault="004C206A" w:rsidP="00404B50">
            <w:pPr>
              <w:pStyle w:val="tabbielystyl"/>
            </w:pPr>
            <w:r w:rsidRPr="004C1013">
              <w:t>14.</w:t>
            </w:r>
          </w:p>
        </w:tc>
        <w:tc>
          <w:tcPr>
            <w:tcW w:w="1148" w:type="dxa"/>
            <w:hideMark/>
          </w:tcPr>
          <w:p w:rsidR="004C206A" w:rsidRPr="004C1013" w:rsidRDefault="004C206A" w:rsidP="00404B50">
            <w:pPr>
              <w:pStyle w:val="tabbielystyl"/>
            </w:pPr>
            <w:r w:rsidRPr="004C1013">
              <w:t>164,40</w:t>
            </w:r>
          </w:p>
        </w:tc>
        <w:tc>
          <w:tcPr>
            <w:tcW w:w="1161" w:type="dxa"/>
            <w:hideMark/>
          </w:tcPr>
          <w:p w:rsidR="004C206A" w:rsidRPr="004C1013" w:rsidRDefault="004C206A" w:rsidP="00404B50">
            <w:pPr>
              <w:pStyle w:val="tabbielystyl"/>
            </w:pPr>
            <w:r w:rsidRPr="004C1013">
              <w:t>7.</w:t>
            </w:r>
          </w:p>
        </w:tc>
        <w:tc>
          <w:tcPr>
            <w:tcW w:w="1148" w:type="dxa"/>
            <w:hideMark/>
          </w:tcPr>
          <w:p w:rsidR="004C206A" w:rsidRPr="004C1013" w:rsidRDefault="004C206A" w:rsidP="00404B50">
            <w:pPr>
              <w:pStyle w:val="tabbielystyl"/>
            </w:pPr>
            <w:r w:rsidRPr="004C1013">
              <w:t>95,05</w:t>
            </w:r>
          </w:p>
        </w:tc>
      </w:tr>
      <w:tr w:rsidR="004C206A" w:rsidRPr="004C1013" w:rsidTr="004C206A">
        <w:trPr>
          <w:trHeight w:val="300"/>
        </w:trPr>
        <w:tc>
          <w:tcPr>
            <w:tcW w:w="1317" w:type="dxa"/>
            <w:hideMark/>
          </w:tcPr>
          <w:p w:rsidR="004C206A" w:rsidRPr="004C1013" w:rsidRDefault="004C206A" w:rsidP="00404B50">
            <w:pPr>
              <w:pStyle w:val="tabbielystyl"/>
            </w:pPr>
            <w:r w:rsidRPr="004C1013">
              <w:t>2018</w:t>
            </w:r>
          </w:p>
        </w:tc>
        <w:tc>
          <w:tcPr>
            <w:tcW w:w="1042" w:type="dxa"/>
            <w:hideMark/>
          </w:tcPr>
          <w:p w:rsidR="004C206A" w:rsidRPr="004C1013" w:rsidRDefault="004C206A" w:rsidP="00404B50">
            <w:pPr>
              <w:pStyle w:val="tabbielystyl"/>
            </w:pPr>
            <w:r w:rsidRPr="004C1013">
              <w:t>9.</w:t>
            </w:r>
          </w:p>
        </w:tc>
        <w:tc>
          <w:tcPr>
            <w:tcW w:w="1130" w:type="dxa"/>
            <w:gridSpan w:val="2"/>
            <w:hideMark/>
          </w:tcPr>
          <w:p w:rsidR="004C206A" w:rsidRPr="004C1013" w:rsidRDefault="004C206A" w:rsidP="00404B50">
            <w:pPr>
              <w:pStyle w:val="tabbielystyl"/>
            </w:pPr>
            <w:r w:rsidRPr="004C1013">
              <w:t>71,76</w:t>
            </w:r>
          </w:p>
        </w:tc>
        <w:tc>
          <w:tcPr>
            <w:tcW w:w="962" w:type="dxa"/>
          </w:tcPr>
          <w:p w:rsidR="004C206A" w:rsidRPr="0011256D" w:rsidRDefault="004C206A" w:rsidP="0011256D">
            <w:pPr>
              <w:pStyle w:val="tabbielystyl"/>
            </w:pPr>
            <w:r w:rsidRPr="0011256D">
              <w:t>104,25</w:t>
            </w:r>
          </w:p>
        </w:tc>
        <w:tc>
          <w:tcPr>
            <w:tcW w:w="1330" w:type="dxa"/>
            <w:noWrap/>
            <w:hideMark/>
          </w:tcPr>
          <w:p w:rsidR="004C206A" w:rsidRPr="004C1013" w:rsidRDefault="004C206A" w:rsidP="00404B50">
            <w:pPr>
              <w:pStyle w:val="tabbielystyl"/>
            </w:pPr>
          </w:p>
        </w:tc>
        <w:tc>
          <w:tcPr>
            <w:tcW w:w="1330" w:type="dxa"/>
            <w:noWrap/>
            <w:hideMark/>
          </w:tcPr>
          <w:p w:rsidR="004C206A" w:rsidRPr="004C1013" w:rsidRDefault="004C206A" w:rsidP="00404B50">
            <w:pPr>
              <w:pStyle w:val="tabbielystyl"/>
            </w:pPr>
            <w:r w:rsidRPr="004C1013">
              <w:t> </w:t>
            </w:r>
          </w:p>
        </w:tc>
        <w:tc>
          <w:tcPr>
            <w:tcW w:w="1161" w:type="dxa"/>
            <w:hideMark/>
          </w:tcPr>
          <w:p w:rsidR="004C206A" w:rsidRPr="004C1013" w:rsidRDefault="004C206A" w:rsidP="00404B50">
            <w:pPr>
              <w:pStyle w:val="tabbielystyl"/>
            </w:pPr>
            <w:r w:rsidRPr="004C1013">
              <w:t>12.</w:t>
            </w:r>
          </w:p>
        </w:tc>
        <w:tc>
          <w:tcPr>
            <w:tcW w:w="1148" w:type="dxa"/>
            <w:hideMark/>
          </w:tcPr>
          <w:p w:rsidR="004C206A" w:rsidRPr="004C1013" w:rsidRDefault="004C206A" w:rsidP="00404B50">
            <w:pPr>
              <w:pStyle w:val="tabbielystyl"/>
            </w:pPr>
            <w:r w:rsidRPr="004C1013">
              <w:t>58,49</w:t>
            </w:r>
          </w:p>
        </w:tc>
        <w:tc>
          <w:tcPr>
            <w:tcW w:w="1161" w:type="dxa"/>
            <w:hideMark/>
          </w:tcPr>
          <w:p w:rsidR="004C206A" w:rsidRPr="004C1013" w:rsidRDefault="004C206A" w:rsidP="00404B50">
            <w:pPr>
              <w:pStyle w:val="tabbielystyl"/>
            </w:pPr>
            <w:r w:rsidRPr="004C1013">
              <w:t>15.</w:t>
            </w:r>
          </w:p>
        </w:tc>
        <w:tc>
          <w:tcPr>
            <w:tcW w:w="1148" w:type="dxa"/>
            <w:hideMark/>
          </w:tcPr>
          <w:p w:rsidR="004C206A" w:rsidRPr="004C1013" w:rsidRDefault="004C206A" w:rsidP="00404B50">
            <w:pPr>
              <w:pStyle w:val="tabbielystyl"/>
            </w:pPr>
            <w:r w:rsidRPr="004C1013">
              <w:t>175,78</w:t>
            </w:r>
          </w:p>
        </w:tc>
        <w:tc>
          <w:tcPr>
            <w:tcW w:w="1161" w:type="dxa"/>
            <w:hideMark/>
          </w:tcPr>
          <w:p w:rsidR="004C206A" w:rsidRPr="004C1013" w:rsidRDefault="004C206A" w:rsidP="00404B50">
            <w:pPr>
              <w:pStyle w:val="tabbielystyl"/>
            </w:pPr>
            <w:r w:rsidRPr="004C1013">
              <w:t>8.</w:t>
            </w:r>
          </w:p>
        </w:tc>
        <w:tc>
          <w:tcPr>
            <w:tcW w:w="1148" w:type="dxa"/>
            <w:hideMark/>
          </w:tcPr>
          <w:p w:rsidR="004C206A" w:rsidRPr="004C1013" w:rsidRDefault="004C206A" w:rsidP="00404B50">
            <w:pPr>
              <w:pStyle w:val="tabbielystyl"/>
            </w:pPr>
            <w:r w:rsidRPr="004C1013">
              <w:t>94,98</w:t>
            </w:r>
          </w:p>
        </w:tc>
      </w:tr>
      <w:tr w:rsidR="004C206A" w:rsidRPr="00404B50" w:rsidTr="004C206A">
        <w:trPr>
          <w:trHeight w:val="330"/>
        </w:trPr>
        <w:tc>
          <w:tcPr>
            <w:tcW w:w="1317" w:type="dxa"/>
            <w:shd w:val="clear" w:color="auto" w:fill="BFBFBF" w:themeFill="background1" w:themeFillShade="BF"/>
            <w:hideMark/>
          </w:tcPr>
          <w:p w:rsidR="004C206A" w:rsidRPr="00404B50" w:rsidRDefault="004C206A" w:rsidP="00404B50">
            <w:pPr>
              <w:pStyle w:val="tabbielystyl"/>
              <w:rPr>
                <w:b/>
                <w:i/>
              </w:rPr>
            </w:pPr>
            <w:r w:rsidRPr="00404B50">
              <w:rPr>
                <w:b/>
                <w:i/>
              </w:rPr>
              <w:t xml:space="preserve">Ročný priemer </w:t>
            </w:r>
          </w:p>
        </w:tc>
        <w:tc>
          <w:tcPr>
            <w:tcW w:w="1042"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30" w:type="dxa"/>
            <w:gridSpan w:val="2"/>
            <w:shd w:val="clear" w:color="auto" w:fill="BFBFBF" w:themeFill="background1" w:themeFillShade="BF"/>
            <w:hideMark/>
          </w:tcPr>
          <w:p w:rsidR="004C206A" w:rsidRPr="00404B50" w:rsidRDefault="004C206A" w:rsidP="00404B50">
            <w:pPr>
              <w:pStyle w:val="tabbielystyl"/>
              <w:rPr>
                <w:b/>
                <w:i/>
              </w:rPr>
            </w:pPr>
            <w:r w:rsidRPr="00404B50">
              <w:rPr>
                <w:b/>
                <w:i/>
              </w:rPr>
              <w:t>87,96</w:t>
            </w:r>
          </w:p>
        </w:tc>
        <w:tc>
          <w:tcPr>
            <w:tcW w:w="962" w:type="dxa"/>
            <w:shd w:val="clear" w:color="auto" w:fill="BFBFBF" w:themeFill="background1" w:themeFillShade="BF"/>
          </w:tcPr>
          <w:p w:rsidR="004C206A" w:rsidRPr="0011256D" w:rsidRDefault="004C206A" w:rsidP="0011256D">
            <w:pPr>
              <w:pStyle w:val="tabbielystyl"/>
              <w:rPr>
                <w:b/>
                <w:i/>
              </w:rPr>
            </w:pPr>
            <w:r w:rsidRPr="0011256D">
              <w:rPr>
                <w:b/>
                <w:i/>
              </w:rPr>
              <w:t>93,49</w:t>
            </w:r>
          </w:p>
        </w:tc>
        <w:tc>
          <w:tcPr>
            <w:tcW w:w="1330" w:type="dxa"/>
            <w:shd w:val="clear" w:color="auto" w:fill="BFBFBF" w:themeFill="background1" w:themeFillShade="BF"/>
            <w:noWrap/>
            <w:hideMark/>
          </w:tcPr>
          <w:p w:rsidR="004C206A" w:rsidRPr="00404B50" w:rsidRDefault="004C206A" w:rsidP="00404B50">
            <w:pPr>
              <w:pStyle w:val="tabbielystyl"/>
              <w:rPr>
                <w:b/>
                <w:i/>
              </w:rPr>
            </w:pPr>
            <w:r w:rsidRPr="00404B50">
              <w:rPr>
                <w:b/>
                <w:i/>
              </w:rPr>
              <w:t> </w:t>
            </w:r>
          </w:p>
        </w:tc>
        <w:tc>
          <w:tcPr>
            <w:tcW w:w="1330" w:type="dxa"/>
            <w:shd w:val="clear" w:color="auto" w:fill="BFBFBF" w:themeFill="background1" w:themeFillShade="BF"/>
            <w:noWrap/>
            <w:hideMark/>
          </w:tcPr>
          <w:p w:rsidR="004C206A" w:rsidRPr="00404B50" w:rsidRDefault="004C206A" w:rsidP="00404B50">
            <w:pPr>
              <w:pStyle w:val="tabbielystyl"/>
              <w:rPr>
                <w:b/>
                <w:i/>
              </w:rPr>
            </w:pPr>
            <w:r w:rsidRPr="00404B50">
              <w:rPr>
                <w:b/>
                <w:i/>
              </w:rPr>
              <w:t>563,85</w:t>
            </w:r>
          </w:p>
        </w:tc>
        <w:tc>
          <w:tcPr>
            <w:tcW w:w="1161"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48" w:type="dxa"/>
            <w:shd w:val="clear" w:color="auto" w:fill="BFBFBF" w:themeFill="background1" w:themeFillShade="BF"/>
            <w:hideMark/>
          </w:tcPr>
          <w:p w:rsidR="004C206A" w:rsidRPr="00404B50" w:rsidRDefault="004C206A" w:rsidP="00404B50">
            <w:pPr>
              <w:pStyle w:val="tabbielystyl"/>
              <w:rPr>
                <w:b/>
                <w:i/>
              </w:rPr>
            </w:pPr>
            <w:r w:rsidRPr="00404B50">
              <w:rPr>
                <w:b/>
                <w:i/>
              </w:rPr>
              <w:t>86,78</w:t>
            </w:r>
          </w:p>
        </w:tc>
        <w:tc>
          <w:tcPr>
            <w:tcW w:w="1161"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48" w:type="dxa"/>
            <w:shd w:val="clear" w:color="auto" w:fill="BFBFBF" w:themeFill="background1" w:themeFillShade="BF"/>
            <w:hideMark/>
          </w:tcPr>
          <w:p w:rsidR="004C206A" w:rsidRPr="00404B50" w:rsidRDefault="004C206A" w:rsidP="00404B50">
            <w:pPr>
              <w:pStyle w:val="tabbielystyl"/>
              <w:rPr>
                <w:b/>
                <w:i/>
              </w:rPr>
            </w:pPr>
            <w:r w:rsidRPr="00404B50">
              <w:rPr>
                <w:b/>
                <w:i/>
              </w:rPr>
              <w:t>130,58</w:t>
            </w:r>
          </w:p>
        </w:tc>
        <w:tc>
          <w:tcPr>
            <w:tcW w:w="1161" w:type="dxa"/>
            <w:shd w:val="clear" w:color="auto" w:fill="BFBFBF" w:themeFill="background1" w:themeFillShade="BF"/>
            <w:hideMark/>
          </w:tcPr>
          <w:p w:rsidR="004C206A" w:rsidRPr="00404B50" w:rsidRDefault="004C206A" w:rsidP="00404B50">
            <w:pPr>
              <w:pStyle w:val="tabbielystyl"/>
              <w:rPr>
                <w:b/>
                <w:i/>
              </w:rPr>
            </w:pPr>
            <w:r w:rsidRPr="00404B50">
              <w:rPr>
                <w:b/>
                <w:i/>
              </w:rPr>
              <w:t> </w:t>
            </w:r>
          </w:p>
        </w:tc>
        <w:tc>
          <w:tcPr>
            <w:tcW w:w="1148" w:type="dxa"/>
            <w:shd w:val="clear" w:color="auto" w:fill="BFBFBF" w:themeFill="background1" w:themeFillShade="BF"/>
            <w:hideMark/>
          </w:tcPr>
          <w:p w:rsidR="004C206A" w:rsidRPr="00404B50" w:rsidRDefault="004C206A" w:rsidP="00404B50">
            <w:pPr>
              <w:pStyle w:val="tabbielystyl"/>
              <w:rPr>
                <w:b/>
                <w:i/>
              </w:rPr>
            </w:pPr>
            <w:r w:rsidRPr="00404B50">
              <w:rPr>
                <w:b/>
                <w:i/>
              </w:rPr>
              <w:t>117,00</w:t>
            </w:r>
          </w:p>
        </w:tc>
      </w:tr>
    </w:tbl>
    <w:p w:rsidR="0025522E" w:rsidRPr="004C1013" w:rsidRDefault="0025522E" w:rsidP="0025522E">
      <w:pPr>
        <w:sectPr w:rsidR="0025522E" w:rsidRPr="004C1013" w:rsidSect="00135588">
          <w:headerReference w:type="even" r:id="rId28"/>
          <w:headerReference w:type="default" r:id="rId29"/>
          <w:footerReference w:type="default" r:id="rId30"/>
          <w:pgSz w:w="16840" w:h="11907" w:orient="landscape" w:code="9"/>
          <w:pgMar w:top="1985" w:right="1418" w:bottom="1134" w:left="1418" w:header="567" w:footer="398" w:gutter="0"/>
          <w:cols w:space="240"/>
          <w:docGrid w:linePitch="326"/>
        </w:sectPr>
      </w:pPr>
    </w:p>
    <w:p w:rsidR="006703FB" w:rsidRDefault="002729D6" w:rsidP="006703FB">
      <w:pPr>
        <w:pStyle w:val="Nadpis1"/>
        <w:rPr>
          <w:rFonts w:asciiTheme="minorHAnsi" w:hAnsiTheme="minorHAnsi" w:cstheme="minorHAnsi"/>
        </w:rPr>
      </w:pPr>
      <w:bookmarkStart w:id="169" w:name="_Toc20687944"/>
      <w:bookmarkStart w:id="170" w:name="_Toc36664387"/>
      <w:r>
        <w:rPr>
          <w:rFonts w:asciiTheme="minorHAnsi" w:hAnsiTheme="minorHAnsi" w:cstheme="minorHAnsi"/>
        </w:rPr>
        <w:t>K</w:t>
      </w:r>
      <w:r w:rsidR="006703FB" w:rsidRPr="005C150D">
        <w:rPr>
          <w:rFonts w:asciiTheme="minorHAnsi" w:hAnsiTheme="minorHAnsi" w:cstheme="minorHAnsi"/>
        </w:rPr>
        <w:t xml:space="preserve">omparatívna analýza indikátorov efektívnosti systémov </w:t>
      </w:r>
      <w:bookmarkEnd w:id="169"/>
      <w:r>
        <w:rPr>
          <w:rFonts w:asciiTheme="minorHAnsi" w:hAnsiTheme="minorHAnsi" w:cstheme="minorHAnsi"/>
        </w:rPr>
        <w:t>ETC</w:t>
      </w:r>
      <w:bookmarkEnd w:id="170"/>
    </w:p>
    <w:p w:rsidR="00906CCD" w:rsidRDefault="00906CCD" w:rsidP="002F030E">
      <w:pPr>
        <w:pStyle w:val="Normaltext"/>
        <w:spacing w:line="276" w:lineRule="auto"/>
      </w:pPr>
      <w:r>
        <w:t xml:space="preserve">Z hľadiska komparácie efektívnosti systémov ETC </w:t>
      </w:r>
      <w:r w:rsidR="000376C5">
        <w:t>je dôraz kladený na základné a odvodené indikátory efektívnosti. Základné indikátory efektívnosti (nákladovosť,</w:t>
      </w:r>
      <w:r w:rsidR="00B33A19">
        <w:t xml:space="preserve"> nákladová efektívnosť) </w:t>
      </w:r>
      <w:r w:rsidR="000376C5">
        <w:t>vychádzajú z pomerových vzťahov výnosov a nákladov systémov ETC. Odvodené indikátory efektívnosti zohľadňujú dopravné špecifiká siete spoplatnených úsekov ciest</w:t>
      </w:r>
      <w:r w:rsidR="001A378E">
        <w:t>, ktoré</w:t>
      </w:r>
      <w:r w:rsidR="000376C5">
        <w:t xml:space="preserve"> </w:t>
      </w:r>
      <w:r w:rsidR="00E81A71">
        <w:t>predmetnú</w:t>
      </w:r>
      <w:r w:rsidR="000376C5">
        <w:t xml:space="preserve"> výšku výnosov a nákladov systémov ETC a teda celkovú </w:t>
      </w:r>
      <w:r w:rsidR="001A378E">
        <w:t>efektívnosť</w:t>
      </w:r>
      <w:r w:rsidR="000376C5">
        <w:t xml:space="preserve"> systémov</w:t>
      </w:r>
      <w:r w:rsidR="001A378E">
        <w:t xml:space="preserve"> ovplyvňujú</w:t>
      </w:r>
      <w:r w:rsidR="00D71C7A">
        <w:t>.</w:t>
      </w:r>
      <w:r w:rsidR="001A378E">
        <w:t xml:space="preserve"> Vyčíslené výnosy, náklady, dĺžky spoplatnenej siete a intenzity dopravy na sieti v jednotlivých rokoch prevádzky systémov predstavujú východiskové vstupné premenné komparatívnej analýzy indikátorov efektívnosti systémov ETC.  </w:t>
      </w:r>
    </w:p>
    <w:p w:rsidR="00AB215F" w:rsidRDefault="00D71C7A" w:rsidP="002F030E">
      <w:pPr>
        <w:pStyle w:val="Normaltext"/>
        <w:spacing w:line="276" w:lineRule="auto"/>
      </w:pPr>
      <w:r>
        <w:t xml:space="preserve">Vzhľadom na rozdielnu dĺžku </w:t>
      </w:r>
      <w:r w:rsidR="00E81A71">
        <w:t>obdobia</w:t>
      </w:r>
      <w:r>
        <w:t xml:space="preserve"> prevádzky porovnávaných systémov ETC dosiahnutú v jednotlivých kalendárnych rokoch</w:t>
      </w:r>
      <w:r w:rsidR="001A378E">
        <w:t xml:space="preserve"> je komparácia indikátorov efektívnosti vykonaná v troch rôznych časových scenároch obdobia prevádzky</w:t>
      </w:r>
      <w:r w:rsidR="00AB215F">
        <w:t>:</w:t>
      </w:r>
    </w:p>
    <w:p w:rsidR="00AB215F" w:rsidRDefault="00AB215F" w:rsidP="002812CC">
      <w:pPr>
        <w:pStyle w:val="Normaltext"/>
        <w:numPr>
          <w:ilvl w:val="0"/>
          <w:numId w:val="27"/>
        </w:numPr>
        <w:spacing w:line="276" w:lineRule="auto"/>
      </w:pPr>
      <w:r>
        <w:t>z</w:t>
      </w:r>
      <w:r w:rsidR="001A378E">
        <w:t>ákladn</w:t>
      </w:r>
      <w:r>
        <w:t>ý</w:t>
      </w:r>
      <w:r w:rsidR="001A378E">
        <w:t xml:space="preserve"> </w:t>
      </w:r>
      <w:r>
        <w:t>scenár: 1. až 9. rok prevádzky systému</w:t>
      </w:r>
    </w:p>
    <w:p w:rsidR="00AB215F" w:rsidRDefault="00AB215F" w:rsidP="002812CC">
      <w:pPr>
        <w:pStyle w:val="Normaltext"/>
        <w:numPr>
          <w:ilvl w:val="0"/>
          <w:numId w:val="27"/>
        </w:numPr>
        <w:spacing w:line="276" w:lineRule="auto"/>
      </w:pPr>
      <w:r>
        <w:t>subscenár A: 1. až 5. rok prevádzky systému</w:t>
      </w:r>
    </w:p>
    <w:p w:rsidR="00AB215F" w:rsidRDefault="00AB215F" w:rsidP="002812CC">
      <w:pPr>
        <w:pStyle w:val="Normaltext"/>
        <w:numPr>
          <w:ilvl w:val="0"/>
          <w:numId w:val="27"/>
        </w:numPr>
        <w:spacing w:line="276" w:lineRule="auto"/>
      </w:pPr>
      <w:r>
        <w:t>subscenár B:</w:t>
      </w:r>
      <w:r w:rsidR="001A378E">
        <w:t xml:space="preserve"> </w:t>
      </w:r>
      <w:r>
        <w:t>5. až 9. rok prevádzky systému</w:t>
      </w:r>
    </w:p>
    <w:p w:rsidR="00A43068" w:rsidRDefault="00AB215F" w:rsidP="00EC5773">
      <w:pPr>
        <w:pStyle w:val="Normaltext"/>
        <w:spacing w:line="276" w:lineRule="auto"/>
        <w:rPr>
          <w:rFonts w:asciiTheme="minorHAnsi" w:hAnsiTheme="minorHAnsi" w:cstheme="minorHAnsi"/>
        </w:rPr>
      </w:pPr>
      <w:r>
        <w:t xml:space="preserve">Základný scenár obdobia prevádzky vychádza z deväťročnej prevádzky hodnoteného slovenského EMS </w:t>
      </w:r>
      <w:r w:rsidR="005224B3">
        <w:t>od</w:t>
      </w:r>
      <w:r w:rsidR="00C743A8">
        <w:t xml:space="preserve"> jeho</w:t>
      </w:r>
      <w:r w:rsidR="005224B3">
        <w:t xml:space="preserve"> uvedenia do prevádzky 1. januára 2010 </w:t>
      </w:r>
      <w:r>
        <w:t xml:space="preserve">ku koncu roka 2018. Subscenáre A a B zohľadňujú </w:t>
      </w:r>
      <w:r>
        <w:rPr>
          <w:rFonts w:asciiTheme="minorHAnsi" w:hAnsiTheme="minorHAnsi" w:cstheme="minorHAnsi"/>
        </w:rPr>
        <w:t xml:space="preserve">rôzne rozloženie investičných a prevádzkových nákladov na systém ETC počas jeho prevádzkovania. Zatiaľ čo v prvých rokoch prevádzky sú do celkových nákladov systému zvyčajne zahrnuté okrem prevádzkových nákladov tiež kapitálové výdavky (CAPEX) súvisiace s vybudovaním systému (subscenár A), v ďalších rokoch prevádzky systému sú náklady prevažne len prevádzkového charakteru (OPEX) s minoritným zastúpením CAPEX (subscenár B). </w:t>
      </w:r>
    </w:p>
    <w:p w:rsidR="00EC5773" w:rsidRDefault="00EC5773" w:rsidP="00EC5773">
      <w:pPr>
        <w:pStyle w:val="Normaltext"/>
        <w:spacing w:line="276" w:lineRule="auto"/>
      </w:pPr>
      <w:r>
        <w:t>Vzhľadom na spustenie prevádzky systému ETC v Poľsku v polovici roka 2011 (o </w:t>
      </w:r>
      <w:r w:rsidR="00FC682F">
        <w:t>1,5</w:t>
      </w:r>
      <w:r>
        <w:t xml:space="preserve"> roka neskôr ako v SR) je v analýzach uvažované 8-ročné obdobie kalendárnych rokov prevádzky systému (2011 – 2018), pri </w:t>
      </w:r>
      <w:r w:rsidR="00FF168C">
        <w:t xml:space="preserve">vybraných indikátoroch je uvažované 7 ročné obdobie kalendárnych rokov 2012-2018. </w:t>
      </w:r>
    </w:p>
    <w:p w:rsidR="00A97FA1" w:rsidRDefault="00EC5773" w:rsidP="00EC5773">
      <w:pPr>
        <w:pStyle w:val="Normaltext"/>
        <w:spacing w:line="276" w:lineRule="auto"/>
      </w:pPr>
      <w:r>
        <w:t xml:space="preserve">Pre každú vstupnú premennú, resp. indikátor efektívnosti porovnávaných systémov ETC sú graficky spracované prehľady vývoja počas prvých deviatich rokov prevádzky (základný scenár) a ročné priemery hodnôt v jednotlivých uvažovaných scenároch obdobia prevádzky systémov (základný scenár, subscenár A, subscenár B). Vo výstupných tabuľkách je uvádzané poradie jednotlivých štátov z pohľadu splnenia požiadaviek (min./max. hodnota ukazovateľa) a indexácia. Indexy určujú, koľkonásobne je hodnota ukazovateľa jednotlivých zahraničných systémov ETC vyššia alebo nižšia ako hodnota ukazovateľa systému ETC v SR.  Indexovou bázou sú hodnoty ukazovateľov SR. </w:t>
      </w:r>
      <w:r w:rsidR="00A97FA1">
        <w:rPr>
          <w:rFonts w:asciiTheme="minorHAnsi" w:hAnsiTheme="minorHAnsi" w:cstheme="minorHAnsi"/>
        </w:rPr>
        <w:t>Pri vyjadrení indikátorov efektívnosti systému ETC v SR sú zohľadňované hodnoty výnosov a nákladov uvádzané prevádzkovateľom</w:t>
      </w:r>
      <w:r w:rsidR="00094C82">
        <w:rPr>
          <w:rFonts w:asciiTheme="minorHAnsi" w:hAnsiTheme="minorHAnsi" w:cstheme="minorHAnsi"/>
        </w:rPr>
        <w:t xml:space="preserve"> </w:t>
      </w:r>
      <w:r w:rsidR="00A97FA1">
        <w:rPr>
          <w:rFonts w:asciiTheme="minorHAnsi" w:hAnsiTheme="minorHAnsi" w:cstheme="minorHAnsi"/>
        </w:rPr>
        <w:t>systému (SkyToll, a.s.) a správcom systému (NDS, a.s.).</w:t>
      </w:r>
    </w:p>
    <w:p w:rsidR="006D40C6" w:rsidRDefault="001A4A8C" w:rsidP="00AB215F">
      <w:pPr>
        <w:pStyle w:val="Nadpis2"/>
      </w:pPr>
      <w:bookmarkStart w:id="171" w:name="_Toc36664388"/>
      <w:r>
        <w:t>Východiskové vstupné premenné komparatívnej analýzy</w:t>
      </w:r>
      <w:bookmarkEnd w:id="171"/>
    </w:p>
    <w:p w:rsidR="00C743A8" w:rsidRDefault="00AB215F" w:rsidP="009D4FC9">
      <w:pPr>
        <w:pStyle w:val="Normaltext"/>
        <w:spacing w:line="276" w:lineRule="auto"/>
      </w:pPr>
      <w:r>
        <w:t xml:space="preserve">Východiskovými vstupnými premennými ovplyvňujúcimi úroveň efektívnosti sú dopravné parametre </w:t>
      </w:r>
      <w:r w:rsidR="009D4FC9">
        <w:t xml:space="preserve">spoplatnenej siete </w:t>
      </w:r>
      <w:r>
        <w:t>a</w:t>
      </w:r>
      <w:r w:rsidR="009D4FC9">
        <w:t xml:space="preserve"> základné </w:t>
      </w:r>
      <w:r>
        <w:t>finančné ukazovatele</w:t>
      </w:r>
      <w:r w:rsidR="009D4FC9">
        <w:t xml:space="preserve"> – výnosy a náklady.</w:t>
      </w:r>
      <w:r w:rsidR="002A6478">
        <w:t xml:space="preserve"> </w:t>
      </w:r>
    </w:p>
    <w:p w:rsidR="00C743A8" w:rsidRDefault="001A4A8C" w:rsidP="00C743A8">
      <w:pPr>
        <w:pStyle w:val="Nadpis3"/>
      </w:pPr>
      <w:bookmarkStart w:id="172" w:name="_Toc36664389"/>
      <w:r>
        <w:t xml:space="preserve">Dopravné </w:t>
      </w:r>
      <w:r w:rsidR="00112A7A">
        <w:t>ukazovatele</w:t>
      </w:r>
      <w:r w:rsidR="00A40632">
        <w:t xml:space="preserve"> systémov ETC</w:t>
      </w:r>
      <w:bookmarkEnd w:id="172"/>
    </w:p>
    <w:p w:rsidR="001A4A8C" w:rsidRDefault="001A4A8C" w:rsidP="003D0983">
      <w:pPr>
        <w:pStyle w:val="Nadpis4"/>
      </w:pPr>
      <w:bookmarkStart w:id="173" w:name="_Toc36664390"/>
      <w:r>
        <w:t xml:space="preserve">Dĺžka </w:t>
      </w:r>
      <w:r w:rsidR="00CA44F9">
        <w:t xml:space="preserve">spoplatnenej </w:t>
      </w:r>
      <w:r>
        <w:t>siete</w:t>
      </w:r>
      <w:bookmarkEnd w:id="173"/>
    </w:p>
    <w:p w:rsidR="007511D1" w:rsidRDefault="005224B3" w:rsidP="00670F74">
      <w:pPr>
        <w:pStyle w:val="Normaltext"/>
        <w:spacing w:line="276" w:lineRule="auto"/>
      </w:pPr>
      <w:r>
        <w:t>Postupné ročné r</w:t>
      </w:r>
      <w:r w:rsidR="007511D1">
        <w:t>ozširovani</w:t>
      </w:r>
      <w:r>
        <w:t>e</w:t>
      </w:r>
      <w:r w:rsidR="007511D1">
        <w:t xml:space="preserve"> siete spoplatnených úsekov ciest </w:t>
      </w:r>
      <w:r w:rsidR="00C743A8">
        <w:t xml:space="preserve">systému ETC v </w:t>
      </w:r>
      <w:r w:rsidR="007511D1">
        <w:t> SR a</w:t>
      </w:r>
      <w:r w:rsidR="00C743A8">
        <w:t xml:space="preserve"> zahraničí </w:t>
      </w:r>
      <w:r w:rsidR="007511D1">
        <w:t xml:space="preserve">počas </w:t>
      </w:r>
      <w:r w:rsidR="00C743A8">
        <w:t xml:space="preserve">obdobia prvých </w:t>
      </w:r>
      <w:r w:rsidR="007511D1">
        <w:t>deviatich rokov prevádzky systém</w:t>
      </w:r>
      <w:r w:rsidR="00C743A8">
        <w:t>u</w:t>
      </w:r>
      <w:r w:rsidR="007511D1">
        <w:t xml:space="preserve"> </w:t>
      </w:r>
      <w:r w:rsidR="00C743A8">
        <w:t xml:space="preserve">(základný scenár) </w:t>
      </w:r>
      <w:r w:rsidR="007511D1">
        <w:t>znázorňuje nasledujúci obrázok (</w:t>
      </w:r>
      <w:r w:rsidR="00AE5B8A">
        <w:fldChar w:fldCharType="begin"/>
      </w:r>
      <w:r w:rsidR="007511D1">
        <w:instrText xml:space="preserve"> REF _Ref21246519 \h </w:instrText>
      </w:r>
      <w:r w:rsidR="00AE5B8A">
        <w:fldChar w:fldCharType="separate"/>
      </w:r>
      <w:r w:rsidR="001E4C1C" w:rsidRPr="006B1C25">
        <w:t xml:space="preserve">Obr. </w:t>
      </w:r>
      <w:r w:rsidR="001E4C1C">
        <w:rPr>
          <w:noProof/>
        </w:rPr>
        <w:t>2</w:t>
      </w:r>
      <w:r w:rsidR="001E4C1C">
        <w:noBreakHyphen/>
      </w:r>
      <w:r w:rsidR="001E4C1C">
        <w:rPr>
          <w:noProof/>
        </w:rPr>
        <w:t>1</w:t>
      </w:r>
      <w:r w:rsidR="00AE5B8A">
        <w:fldChar w:fldCharType="end"/>
      </w:r>
      <w:r w:rsidR="007511D1">
        <w:t xml:space="preserve">). </w:t>
      </w:r>
      <w:r w:rsidR="00C743A8">
        <w:t>Priemerné ročné dĺžky spoplatnenej siete systémov ETC v jednotlivých časových scenároch obdobia prevádzky zobrazuje obrázok (</w:t>
      </w:r>
      <w:r w:rsidR="00AE5B8A">
        <w:fldChar w:fldCharType="begin"/>
      </w:r>
      <w:r w:rsidR="00C87902">
        <w:instrText xml:space="preserve"> REF _Ref24010023 \h </w:instrText>
      </w:r>
      <w:r w:rsidR="00AE5B8A">
        <w:fldChar w:fldCharType="separate"/>
      </w:r>
      <w:r w:rsidR="001E4C1C" w:rsidRPr="004C1013">
        <w:t xml:space="preserve">Obr. </w:t>
      </w:r>
      <w:r w:rsidR="001E4C1C">
        <w:rPr>
          <w:noProof/>
        </w:rPr>
        <w:t>2</w:t>
      </w:r>
      <w:r w:rsidR="001E4C1C">
        <w:noBreakHyphen/>
      </w:r>
      <w:r w:rsidR="001E4C1C">
        <w:rPr>
          <w:noProof/>
        </w:rPr>
        <w:t>2</w:t>
      </w:r>
      <w:r w:rsidR="00AE5B8A">
        <w:fldChar w:fldCharType="end"/>
      </w:r>
      <w:r w:rsidR="00C87902">
        <w:t xml:space="preserve">). </w:t>
      </w:r>
    </w:p>
    <w:p w:rsidR="0075644D" w:rsidRDefault="0075644D" w:rsidP="0075644D">
      <w:pPr>
        <w:pStyle w:val="Normaltext"/>
      </w:pPr>
      <w:r w:rsidRPr="005C150D">
        <w:rPr>
          <w:rFonts w:asciiTheme="minorHAnsi" w:hAnsiTheme="minorHAnsi" w:cstheme="minorHAnsi"/>
          <w:noProof/>
          <w:lang w:eastAsia="sk-SK"/>
        </w:rPr>
        <w:drawing>
          <wp:inline distT="0" distB="0" distL="0" distR="0">
            <wp:extent cx="5947699" cy="2198254"/>
            <wp:effectExtent l="0" t="0" r="0" b="0"/>
            <wp:docPr id="71"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D95861" w:rsidRPr="006B1C25" w:rsidRDefault="00D95861" w:rsidP="006B1C25">
      <w:pPr>
        <w:pStyle w:val="Popis"/>
      </w:pPr>
      <w:bookmarkStart w:id="174" w:name="_Ref21246519"/>
      <w:bookmarkStart w:id="175" w:name="_Toc36664510"/>
      <w:r w:rsidRPr="006B1C25">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w:t>
      </w:r>
      <w:r w:rsidR="00C40D3F">
        <w:rPr>
          <w:noProof/>
        </w:rPr>
        <w:fldChar w:fldCharType="end"/>
      </w:r>
      <w:bookmarkEnd w:id="174"/>
      <w:r w:rsidRPr="006B1C25">
        <w:tab/>
      </w:r>
      <w:r w:rsidR="00094C82">
        <w:t>Ročná d</w:t>
      </w:r>
      <w:r w:rsidR="005D4F5E" w:rsidRPr="006B1C25">
        <w:t>ĺžka</w:t>
      </w:r>
      <w:r w:rsidRPr="006B1C25">
        <w:t xml:space="preserve"> spoplatnenej siete systémov ETC</w:t>
      </w:r>
      <w:bookmarkEnd w:id="175"/>
      <w:r w:rsidRPr="006B1C25">
        <w:t xml:space="preserve"> </w:t>
      </w:r>
    </w:p>
    <w:p w:rsidR="002C58B3" w:rsidRDefault="000E1653" w:rsidP="00FF168C">
      <w:pPr>
        <w:pStyle w:val="Normaltext"/>
        <w:spacing w:line="276" w:lineRule="auto"/>
      </w:pPr>
      <w:r>
        <w:rPr>
          <w:noProof/>
          <w:lang w:eastAsia="sk-SK"/>
        </w:rPr>
        <w:drawing>
          <wp:inline distT="0" distB="0" distL="0" distR="0">
            <wp:extent cx="5940000" cy="1620982"/>
            <wp:effectExtent l="0" t="0" r="3810" b="0"/>
            <wp:docPr id="28"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Pr>
          <w:noProof/>
          <w:lang w:eastAsia="sk-SK"/>
        </w:rPr>
        <w:drawing>
          <wp:inline distT="0" distB="0" distL="0" distR="0">
            <wp:extent cx="5940000" cy="1620982"/>
            <wp:effectExtent l="0" t="0" r="3810" b="0"/>
            <wp:docPr id="35"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2C58B3" w:rsidRDefault="002C58B3" w:rsidP="00FF168C">
      <w:pPr>
        <w:pStyle w:val="Normaltext"/>
        <w:spacing w:line="276" w:lineRule="auto"/>
      </w:pPr>
    </w:p>
    <w:p w:rsidR="002C58B3" w:rsidRDefault="002C58B3" w:rsidP="00FF168C">
      <w:pPr>
        <w:pStyle w:val="Normaltext"/>
        <w:spacing w:line="276" w:lineRule="auto"/>
      </w:pPr>
    </w:p>
    <w:p w:rsidR="002C58B3" w:rsidRDefault="000E1653" w:rsidP="00FF168C">
      <w:pPr>
        <w:pStyle w:val="Normaltext"/>
        <w:spacing w:line="276" w:lineRule="auto"/>
      </w:pPr>
      <w:r>
        <w:rPr>
          <w:noProof/>
          <w:lang w:eastAsia="sk-SK"/>
        </w:rPr>
        <w:drawing>
          <wp:inline distT="0" distB="0" distL="0" distR="0">
            <wp:extent cx="5940000" cy="1620982"/>
            <wp:effectExtent l="0" t="0" r="3810" b="0"/>
            <wp:docPr id="36"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94C82" w:rsidRDefault="00094C82" w:rsidP="00094C82">
      <w:pPr>
        <w:pStyle w:val="Popis"/>
      </w:pPr>
      <w:bookmarkStart w:id="176" w:name="_Ref24010023"/>
      <w:bookmarkStart w:id="177" w:name="_Toc36664511"/>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w:t>
      </w:r>
      <w:r w:rsidR="00C40D3F">
        <w:rPr>
          <w:noProof/>
        </w:rPr>
        <w:fldChar w:fldCharType="end"/>
      </w:r>
      <w:bookmarkEnd w:id="176"/>
      <w:r w:rsidRPr="004C1013">
        <w:tab/>
      </w:r>
      <w:r>
        <w:t>Priemerná ročná dĺžka spoplatnenej siete systémov ETC</w:t>
      </w:r>
      <w:bookmarkEnd w:id="177"/>
    </w:p>
    <w:p w:rsidR="006F7C1D" w:rsidRDefault="006F7C1D" w:rsidP="006F7C1D">
      <w:pPr>
        <w:pStyle w:val="Normaltext"/>
        <w:spacing w:line="276" w:lineRule="auto"/>
      </w:pPr>
      <w:bookmarkStart w:id="178" w:name="_Ref21298987"/>
      <w:r>
        <w:t>Slovenská republika je v poradí 3. krajinou s najdlhšou sieťou spoplatnených úsekov ciest (základný scenár, subscenár B). Počas prvých piatich rokov prevádzky (subscenár A) bola v priemere dlhšia sieť v Rakúsku, Poľsku a Nemecku (</w:t>
      </w:r>
      <w:r w:rsidR="00AE5B8A">
        <w:fldChar w:fldCharType="begin"/>
      </w:r>
      <w:r w:rsidR="00413B3C">
        <w:instrText xml:space="preserve"> REF _Ref23786199 \h </w:instrText>
      </w:r>
      <w:r w:rsidR="00AE5B8A">
        <w:fldChar w:fldCharType="separate"/>
      </w:r>
      <w:r w:rsidR="001E4C1C">
        <w:t xml:space="preserve">Tab.  </w:t>
      </w:r>
      <w:r w:rsidR="001E4C1C">
        <w:rPr>
          <w:noProof/>
        </w:rPr>
        <w:t>2</w:t>
      </w:r>
      <w:r w:rsidR="001E4C1C">
        <w:noBreakHyphen/>
      </w:r>
      <w:r w:rsidR="001E4C1C">
        <w:rPr>
          <w:noProof/>
        </w:rPr>
        <w:t>1</w:t>
      </w:r>
      <w:r w:rsidR="00AE5B8A">
        <w:fldChar w:fldCharType="end"/>
      </w:r>
      <w:r>
        <w:t xml:space="preserve">). Z uvedeného vyplýva, že sieť systému ETC v SR je takmer šesťnásobne nižšia ako v DE a približne rovnaká ako v Rakúsku. Dĺžka siete v Poľsku je v priemere 1,3 násobne vyššia ako v SR. </w:t>
      </w:r>
    </w:p>
    <w:p w:rsidR="00FF168C" w:rsidRDefault="00FF168C" w:rsidP="006B1C25">
      <w:pPr>
        <w:pStyle w:val="tabstyl"/>
      </w:pPr>
      <w:bookmarkStart w:id="179" w:name="_Ref23786199"/>
      <w:bookmarkStart w:id="180" w:name="_Toc36664484"/>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w:t>
      </w:r>
      <w:r w:rsidR="00C40D3F">
        <w:rPr>
          <w:noProof/>
        </w:rPr>
        <w:fldChar w:fldCharType="end"/>
      </w:r>
      <w:bookmarkEnd w:id="178"/>
      <w:bookmarkEnd w:id="179"/>
      <w:r>
        <w:tab/>
        <w:t>Sumarizácia výsledkov komparácie priemerných ročných dĺžok spoplatnenej siete systémov ETC</w:t>
      </w:r>
      <w:bookmarkEnd w:id="180"/>
      <w:r>
        <w:t xml:space="preserve"> </w:t>
      </w:r>
    </w:p>
    <w:tbl>
      <w:tblPr>
        <w:tblStyle w:val="tabulkaVUD"/>
        <w:tblW w:w="5000" w:type="pct"/>
        <w:tblLook w:val="04A0" w:firstRow="1" w:lastRow="0" w:firstColumn="1" w:lastColumn="0" w:noHBand="0" w:noVBand="1"/>
      </w:tblPr>
      <w:tblGrid>
        <w:gridCol w:w="1871"/>
        <w:gridCol w:w="2413"/>
        <w:gridCol w:w="2550"/>
        <w:gridCol w:w="2577"/>
      </w:tblGrid>
      <w:tr w:rsidR="00FF168C" w:rsidTr="006B1C25">
        <w:trPr>
          <w:cnfStyle w:val="100000000000" w:firstRow="1" w:lastRow="0" w:firstColumn="0" w:lastColumn="0" w:oddVBand="0" w:evenVBand="0" w:oddHBand="0" w:evenHBand="0" w:firstRowFirstColumn="0" w:firstRowLastColumn="0" w:lastRowFirstColumn="0" w:lastRowLastColumn="0"/>
          <w:trHeight w:val="403"/>
          <w:tblHeader/>
        </w:trPr>
        <w:tc>
          <w:tcPr>
            <w:tcW w:w="994" w:type="pct"/>
          </w:tcPr>
          <w:p w:rsidR="00FF168C" w:rsidRDefault="00FF168C" w:rsidP="00744258"/>
        </w:tc>
        <w:tc>
          <w:tcPr>
            <w:tcW w:w="1282" w:type="pct"/>
          </w:tcPr>
          <w:p w:rsidR="00FF168C" w:rsidRDefault="00FF168C" w:rsidP="009D58D5">
            <w:pPr>
              <w:pStyle w:val="zahltab"/>
            </w:pPr>
            <w:r>
              <w:t>Základný scenár</w:t>
            </w:r>
          </w:p>
        </w:tc>
        <w:tc>
          <w:tcPr>
            <w:tcW w:w="1355" w:type="pct"/>
          </w:tcPr>
          <w:p w:rsidR="00FF168C" w:rsidRDefault="00FF168C" w:rsidP="009D58D5">
            <w:pPr>
              <w:pStyle w:val="zahltab"/>
            </w:pPr>
            <w:r>
              <w:t>Subscenár A</w:t>
            </w:r>
          </w:p>
        </w:tc>
        <w:tc>
          <w:tcPr>
            <w:tcW w:w="1369" w:type="pct"/>
          </w:tcPr>
          <w:p w:rsidR="00FF168C" w:rsidRDefault="00FF168C" w:rsidP="009D58D5">
            <w:pPr>
              <w:pStyle w:val="zahltab"/>
            </w:pPr>
            <w:r>
              <w:t>Subscenár B</w:t>
            </w:r>
          </w:p>
        </w:tc>
      </w:tr>
      <w:tr w:rsidR="00FF168C" w:rsidTr="006B1C25">
        <w:trPr>
          <w:trHeight w:val="425"/>
        </w:trPr>
        <w:tc>
          <w:tcPr>
            <w:tcW w:w="994" w:type="pct"/>
            <w:shd w:val="clear" w:color="auto" w:fill="7F7F7F" w:themeFill="text1" w:themeFillTint="80"/>
          </w:tcPr>
          <w:p w:rsidR="00FF168C" w:rsidRPr="00AB6DA4" w:rsidRDefault="00FF168C" w:rsidP="00744258">
            <w:pPr>
              <w:pStyle w:val="tabbielystyl"/>
              <w:jc w:val="left"/>
              <w:rPr>
                <w:b/>
                <w:color w:val="FFFFFF" w:themeColor="background1"/>
              </w:rPr>
            </w:pPr>
            <w:r>
              <w:rPr>
                <w:b/>
                <w:color w:val="FFFFFF" w:themeColor="background1"/>
              </w:rPr>
              <w:t>Požiadavka</w:t>
            </w:r>
          </w:p>
        </w:tc>
        <w:tc>
          <w:tcPr>
            <w:tcW w:w="4006" w:type="pct"/>
            <w:gridSpan w:val="3"/>
          </w:tcPr>
          <w:p w:rsidR="00FF168C" w:rsidRPr="00254390" w:rsidRDefault="00FF168C" w:rsidP="00744258">
            <w:pPr>
              <w:pStyle w:val="tabbielystyl"/>
              <w:jc w:val="center"/>
              <w:rPr>
                <w:b/>
              </w:rPr>
            </w:pPr>
            <w:r w:rsidRPr="00254390">
              <w:rPr>
                <w:b/>
              </w:rPr>
              <w:t>max. hodnota ukazovateľa</w:t>
            </w:r>
          </w:p>
        </w:tc>
      </w:tr>
      <w:tr w:rsidR="00FF168C" w:rsidTr="00FF168C">
        <w:tc>
          <w:tcPr>
            <w:tcW w:w="994" w:type="pct"/>
            <w:shd w:val="clear" w:color="auto" w:fill="7F7F7F" w:themeFill="text1" w:themeFillTint="80"/>
          </w:tcPr>
          <w:p w:rsidR="00FF168C" w:rsidRPr="00AB6DA4" w:rsidRDefault="00FF168C" w:rsidP="00744258">
            <w:pPr>
              <w:pStyle w:val="tabbielystyl"/>
              <w:jc w:val="left"/>
              <w:rPr>
                <w:b/>
                <w:color w:val="FFFFFF" w:themeColor="background1"/>
              </w:rPr>
            </w:pPr>
            <w:r w:rsidRPr="00AB6DA4">
              <w:rPr>
                <w:b/>
                <w:color w:val="FFFFFF" w:themeColor="background1"/>
              </w:rPr>
              <w:t>Naj</w:t>
            </w:r>
            <w:r>
              <w:rPr>
                <w:b/>
                <w:color w:val="FFFFFF" w:themeColor="background1"/>
              </w:rPr>
              <w:t>vyššia</w:t>
            </w:r>
            <w:r w:rsidRPr="00AB6DA4">
              <w:rPr>
                <w:b/>
                <w:color w:val="FFFFFF" w:themeColor="background1"/>
              </w:rPr>
              <w:t xml:space="preserve"> hodnota ukazovateľa   </w:t>
            </w:r>
          </w:p>
        </w:tc>
        <w:tc>
          <w:tcPr>
            <w:tcW w:w="1282" w:type="pct"/>
          </w:tcPr>
          <w:p w:rsidR="00FF168C" w:rsidRDefault="00FF168C" w:rsidP="00744258">
            <w:pPr>
              <w:pStyle w:val="tabbielystyl"/>
              <w:jc w:val="left"/>
            </w:pPr>
            <w:r>
              <w:t>Nemecko (12913 km)</w:t>
            </w:r>
          </w:p>
        </w:tc>
        <w:tc>
          <w:tcPr>
            <w:tcW w:w="1355" w:type="pct"/>
          </w:tcPr>
          <w:p w:rsidR="00FF168C" w:rsidRDefault="00FF168C" w:rsidP="00744258">
            <w:pPr>
              <w:pStyle w:val="tabbielystyl"/>
              <w:jc w:val="left"/>
            </w:pPr>
            <w:r>
              <w:t>Nemecko (12512 km)</w:t>
            </w:r>
          </w:p>
        </w:tc>
        <w:tc>
          <w:tcPr>
            <w:tcW w:w="1369" w:type="pct"/>
          </w:tcPr>
          <w:p w:rsidR="00FF168C" w:rsidRDefault="00FF168C" w:rsidP="00744258">
            <w:pPr>
              <w:pStyle w:val="tabbielystyl"/>
              <w:jc w:val="left"/>
            </w:pPr>
            <w:r>
              <w:t>Nemecko (13288 km)</w:t>
            </w:r>
          </w:p>
        </w:tc>
      </w:tr>
      <w:tr w:rsidR="00FF168C" w:rsidTr="00FF168C">
        <w:tc>
          <w:tcPr>
            <w:tcW w:w="994" w:type="pct"/>
            <w:shd w:val="clear" w:color="auto" w:fill="7F7F7F" w:themeFill="text1" w:themeFillTint="80"/>
          </w:tcPr>
          <w:p w:rsidR="00FF168C" w:rsidRPr="00AB6DA4" w:rsidRDefault="00FF168C" w:rsidP="00744258">
            <w:pPr>
              <w:pStyle w:val="tabbielystyl"/>
              <w:jc w:val="left"/>
              <w:rPr>
                <w:b/>
                <w:color w:val="FFFFFF" w:themeColor="background1"/>
              </w:rPr>
            </w:pPr>
            <w:r w:rsidRPr="00AB6DA4">
              <w:rPr>
                <w:b/>
                <w:color w:val="FFFFFF" w:themeColor="background1"/>
              </w:rPr>
              <w:t>Naj</w:t>
            </w:r>
            <w:r>
              <w:rPr>
                <w:b/>
                <w:color w:val="FFFFFF" w:themeColor="background1"/>
              </w:rPr>
              <w:t>nižšia</w:t>
            </w:r>
            <w:r w:rsidRPr="00AB6DA4">
              <w:rPr>
                <w:b/>
                <w:color w:val="FFFFFF" w:themeColor="background1"/>
              </w:rPr>
              <w:t xml:space="preserve"> hodnota ukazovateľa</w:t>
            </w:r>
          </w:p>
        </w:tc>
        <w:tc>
          <w:tcPr>
            <w:tcW w:w="1282" w:type="pct"/>
          </w:tcPr>
          <w:p w:rsidR="00FF168C" w:rsidRPr="00AB6DA4" w:rsidRDefault="00FF168C" w:rsidP="00744258">
            <w:pPr>
              <w:pStyle w:val="tabbielystyl"/>
              <w:jc w:val="left"/>
            </w:pPr>
            <w:r>
              <w:t>Česká republika</w:t>
            </w:r>
            <w:r w:rsidRPr="00AB6DA4">
              <w:t xml:space="preserve"> (1</w:t>
            </w:r>
            <w:r>
              <w:t>321</w:t>
            </w:r>
            <w:r w:rsidRPr="00AB6DA4">
              <w:t xml:space="preserve"> </w:t>
            </w:r>
            <w:r>
              <w:t>km</w:t>
            </w:r>
            <w:r w:rsidRPr="00AB6DA4">
              <w:t>)</w:t>
            </w:r>
          </w:p>
        </w:tc>
        <w:tc>
          <w:tcPr>
            <w:tcW w:w="1355" w:type="pct"/>
          </w:tcPr>
          <w:p w:rsidR="00FF168C" w:rsidRPr="00AB6DA4" w:rsidRDefault="00FF168C" w:rsidP="00744258">
            <w:pPr>
              <w:pStyle w:val="tabbielystyl"/>
              <w:jc w:val="left"/>
            </w:pPr>
            <w:r>
              <w:t>Česká republika</w:t>
            </w:r>
            <w:r w:rsidRPr="00AB6DA4">
              <w:t xml:space="preserve"> (</w:t>
            </w:r>
            <w:r>
              <w:t>1230</w:t>
            </w:r>
            <w:r w:rsidRPr="00AB6DA4">
              <w:t xml:space="preserve"> </w:t>
            </w:r>
            <w:r>
              <w:t>km</w:t>
            </w:r>
            <w:r w:rsidRPr="00AB6DA4">
              <w:t>)</w:t>
            </w:r>
          </w:p>
        </w:tc>
        <w:tc>
          <w:tcPr>
            <w:tcW w:w="1369" w:type="pct"/>
          </w:tcPr>
          <w:p w:rsidR="00FF168C" w:rsidRPr="00AB6DA4" w:rsidRDefault="00FF168C" w:rsidP="00744258">
            <w:pPr>
              <w:pStyle w:val="tabbielystyl"/>
              <w:jc w:val="left"/>
            </w:pPr>
            <w:r>
              <w:t>Česká republika</w:t>
            </w:r>
            <w:r w:rsidRPr="00AB6DA4">
              <w:t xml:space="preserve"> (</w:t>
            </w:r>
            <w:r>
              <w:t>1426</w:t>
            </w:r>
            <w:r w:rsidRPr="00AB6DA4">
              <w:t xml:space="preserve"> </w:t>
            </w:r>
            <w:r>
              <w:t>km</w:t>
            </w:r>
            <w:r w:rsidRPr="00AB6DA4">
              <w:t>)</w:t>
            </w:r>
          </w:p>
        </w:tc>
      </w:tr>
      <w:tr w:rsidR="00FF168C" w:rsidTr="00FF168C">
        <w:tc>
          <w:tcPr>
            <w:tcW w:w="994" w:type="pct"/>
            <w:shd w:val="clear" w:color="auto" w:fill="7F7F7F" w:themeFill="text1" w:themeFillTint="80"/>
          </w:tcPr>
          <w:p w:rsidR="00FF168C" w:rsidRPr="00AB6DA4" w:rsidRDefault="00FF168C" w:rsidP="00FF168C">
            <w:pPr>
              <w:pStyle w:val="tabbielystyl"/>
              <w:jc w:val="left"/>
              <w:rPr>
                <w:b/>
                <w:color w:val="FFFFFF" w:themeColor="background1"/>
              </w:rPr>
            </w:pPr>
            <w:r w:rsidRPr="00AB6DA4">
              <w:rPr>
                <w:b/>
                <w:color w:val="FFFFFF" w:themeColor="background1"/>
              </w:rPr>
              <w:t>Poradie (</w:t>
            </w:r>
            <w:r>
              <w:rPr>
                <w:b/>
                <w:color w:val="FFFFFF" w:themeColor="background1"/>
              </w:rPr>
              <w:t>požiadavky</w:t>
            </w:r>
            <w:r w:rsidRPr="00AB6DA4">
              <w:rPr>
                <w:b/>
                <w:color w:val="FFFFFF" w:themeColor="background1"/>
              </w:rPr>
              <w:t>)</w:t>
            </w:r>
          </w:p>
        </w:tc>
        <w:tc>
          <w:tcPr>
            <w:tcW w:w="1282" w:type="pct"/>
          </w:tcPr>
          <w:p w:rsidR="00FF168C" w:rsidRDefault="00FF168C" w:rsidP="00744258">
            <w:pPr>
              <w:pStyle w:val="tabbielystyl"/>
              <w:jc w:val="left"/>
            </w:pPr>
            <w:r>
              <w:t>1. Nemecko (12913 km)</w:t>
            </w:r>
          </w:p>
          <w:p w:rsidR="00FF168C" w:rsidRDefault="00FF168C" w:rsidP="00744258">
            <w:pPr>
              <w:pStyle w:val="tabbielystyl"/>
              <w:jc w:val="left"/>
            </w:pPr>
            <w:r>
              <w:t>2. Poľsko (2865 km)</w:t>
            </w:r>
          </w:p>
          <w:p w:rsidR="00FF168C" w:rsidRPr="00AB6DA4" w:rsidRDefault="00FF168C" w:rsidP="00744258">
            <w:pPr>
              <w:pStyle w:val="tabbielystyl"/>
              <w:jc w:val="left"/>
              <w:rPr>
                <w:b/>
              </w:rPr>
            </w:pPr>
            <w:r w:rsidRPr="00AB6DA4">
              <w:rPr>
                <w:b/>
              </w:rPr>
              <w:t>3. Slovensko (2190 km)</w:t>
            </w:r>
          </w:p>
          <w:p w:rsidR="00FF168C" w:rsidRDefault="00FF168C" w:rsidP="00744258">
            <w:pPr>
              <w:pStyle w:val="tabbielystyl"/>
              <w:jc w:val="left"/>
            </w:pPr>
            <w:r>
              <w:t>4. Rakúsko (2111 km)</w:t>
            </w:r>
          </w:p>
          <w:p w:rsidR="00FF168C" w:rsidRPr="00AB6DA4" w:rsidRDefault="00FF168C" w:rsidP="00744258">
            <w:pPr>
              <w:pStyle w:val="tabbielystyl"/>
              <w:jc w:val="left"/>
            </w:pPr>
            <w:r>
              <w:t>5. Česká republika (1321 km)</w:t>
            </w:r>
          </w:p>
        </w:tc>
        <w:tc>
          <w:tcPr>
            <w:tcW w:w="1355" w:type="pct"/>
          </w:tcPr>
          <w:p w:rsidR="00FF168C" w:rsidRDefault="00FF168C" w:rsidP="00744258">
            <w:pPr>
              <w:pStyle w:val="tabbielystyl"/>
              <w:jc w:val="left"/>
            </w:pPr>
            <w:r>
              <w:t>1. Nemecko (12913 km)</w:t>
            </w:r>
          </w:p>
          <w:p w:rsidR="00FF168C" w:rsidRDefault="00FF168C" w:rsidP="00744258">
            <w:pPr>
              <w:pStyle w:val="tabbielystyl"/>
              <w:jc w:val="left"/>
            </w:pPr>
            <w:r>
              <w:t>2. Poľsko (2439 km)</w:t>
            </w:r>
          </w:p>
          <w:p w:rsidR="00FF168C" w:rsidRPr="00AB6DA4" w:rsidRDefault="00FF168C" w:rsidP="00744258">
            <w:pPr>
              <w:pStyle w:val="tabbielystyl"/>
              <w:jc w:val="left"/>
            </w:pPr>
            <w:r w:rsidRPr="00AB6DA4">
              <w:t xml:space="preserve">3. </w:t>
            </w:r>
            <w:r>
              <w:t>Rakúsko (2068 km)</w:t>
            </w:r>
          </w:p>
          <w:p w:rsidR="00FF168C" w:rsidRPr="00AB6DA4" w:rsidRDefault="00FF168C" w:rsidP="00744258">
            <w:pPr>
              <w:pStyle w:val="tabbielystyl"/>
              <w:jc w:val="left"/>
              <w:rPr>
                <w:b/>
              </w:rPr>
            </w:pPr>
            <w:r>
              <w:rPr>
                <w:b/>
              </w:rPr>
              <w:t xml:space="preserve">4. </w:t>
            </w:r>
            <w:r w:rsidRPr="00AB6DA4">
              <w:rPr>
                <w:b/>
              </w:rPr>
              <w:t>Slovensko (2</w:t>
            </w:r>
            <w:r>
              <w:rPr>
                <w:b/>
              </w:rPr>
              <w:t>061</w:t>
            </w:r>
            <w:r w:rsidRPr="00AB6DA4">
              <w:rPr>
                <w:b/>
              </w:rPr>
              <w:t xml:space="preserve"> km)</w:t>
            </w:r>
          </w:p>
          <w:p w:rsidR="00FF168C" w:rsidRPr="00AB6DA4" w:rsidRDefault="00FF168C" w:rsidP="00744258">
            <w:pPr>
              <w:pStyle w:val="tabbielystyl"/>
              <w:jc w:val="left"/>
              <w:rPr>
                <w:b/>
              </w:rPr>
            </w:pPr>
            <w:r>
              <w:t>5. Česká republika (1230 km)</w:t>
            </w:r>
          </w:p>
        </w:tc>
        <w:tc>
          <w:tcPr>
            <w:tcW w:w="1369" w:type="pct"/>
          </w:tcPr>
          <w:p w:rsidR="00FF168C" w:rsidRDefault="00FF168C" w:rsidP="00744258">
            <w:pPr>
              <w:pStyle w:val="tabbielystyl"/>
              <w:jc w:val="left"/>
            </w:pPr>
            <w:r>
              <w:t>1. Nemecko (13288 km)</w:t>
            </w:r>
          </w:p>
          <w:p w:rsidR="00FF168C" w:rsidRDefault="00FF168C" w:rsidP="00744258">
            <w:pPr>
              <w:pStyle w:val="tabbielystyl"/>
              <w:jc w:val="left"/>
            </w:pPr>
            <w:r>
              <w:t>2. Poľsko (3474 km)</w:t>
            </w:r>
          </w:p>
          <w:p w:rsidR="00FF168C" w:rsidRPr="00AB6DA4" w:rsidRDefault="00FF168C" w:rsidP="00744258">
            <w:pPr>
              <w:pStyle w:val="tabbielystyl"/>
              <w:jc w:val="left"/>
              <w:rPr>
                <w:b/>
              </w:rPr>
            </w:pPr>
            <w:r w:rsidRPr="00AB6DA4">
              <w:rPr>
                <w:b/>
              </w:rPr>
              <w:t>3. Slovensko (</w:t>
            </w:r>
            <w:r>
              <w:rPr>
                <w:b/>
              </w:rPr>
              <w:t>2335</w:t>
            </w:r>
            <w:r w:rsidRPr="00AB6DA4">
              <w:rPr>
                <w:b/>
              </w:rPr>
              <w:t xml:space="preserve"> km)</w:t>
            </w:r>
          </w:p>
          <w:p w:rsidR="00FF168C" w:rsidRDefault="00FF168C" w:rsidP="00744258">
            <w:pPr>
              <w:pStyle w:val="tabbielystyl"/>
              <w:jc w:val="left"/>
            </w:pPr>
            <w:r>
              <w:t>4. Rakúsko (2154 km)</w:t>
            </w:r>
          </w:p>
          <w:p w:rsidR="00FF168C" w:rsidRPr="00AB6DA4" w:rsidRDefault="00FF168C" w:rsidP="00744258">
            <w:pPr>
              <w:pStyle w:val="tabbielystyl"/>
              <w:jc w:val="left"/>
              <w:rPr>
                <w:b/>
              </w:rPr>
            </w:pPr>
            <w:r>
              <w:t>5. Česká republika (1426 km)</w:t>
            </w:r>
          </w:p>
        </w:tc>
      </w:tr>
      <w:tr w:rsidR="00FF168C" w:rsidTr="00FF168C">
        <w:tc>
          <w:tcPr>
            <w:tcW w:w="994" w:type="pct"/>
            <w:shd w:val="clear" w:color="auto" w:fill="7F7F7F" w:themeFill="text1" w:themeFillTint="80"/>
          </w:tcPr>
          <w:p w:rsidR="00FF168C" w:rsidRPr="00AB6DA4" w:rsidRDefault="00FF168C" w:rsidP="00744258">
            <w:pPr>
              <w:pStyle w:val="tabbielystyl"/>
              <w:jc w:val="left"/>
              <w:rPr>
                <w:b/>
                <w:color w:val="FFFFFF" w:themeColor="background1"/>
              </w:rPr>
            </w:pPr>
            <w:r>
              <w:rPr>
                <w:b/>
                <w:color w:val="FFFFFF" w:themeColor="background1"/>
              </w:rPr>
              <w:t>Indexácia</w:t>
            </w:r>
          </w:p>
        </w:tc>
        <w:tc>
          <w:tcPr>
            <w:tcW w:w="1282" w:type="pct"/>
          </w:tcPr>
          <w:p w:rsidR="00FF168C" w:rsidRDefault="00FF168C" w:rsidP="00744258">
            <w:pPr>
              <w:pStyle w:val="tabbielystyl"/>
              <w:jc w:val="left"/>
            </w:pPr>
            <w:r>
              <w:t>DE: 5,9</w:t>
            </w:r>
          </w:p>
          <w:p w:rsidR="00FF168C" w:rsidRDefault="00FF168C" w:rsidP="00744258">
            <w:pPr>
              <w:pStyle w:val="tabbielystyl"/>
              <w:jc w:val="left"/>
            </w:pPr>
            <w:r>
              <w:t>ČR: 0,60</w:t>
            </w:r>
          </w:p>
          <w:p w:rsidR="00FF168C" w:rsidRDefault="00FF168C" w:rsidP="00744258">
            <w:pPr>
              <w:pStyle w:val="tabbielystyl"/>
              <w:jc w:val="left"/>
            </w:pPr>
            <w:r>
              <w:t xml:space="preserve"> AT:</w:t>
            </w:r>
            <w:r w:rsidRPr="00AB6DA4">
              <w:t xml:space="preserve"> </w:t>
            </w:r>
            <w:r>
              <w:t>0,96</w:t>
            </w:r>
          </w:p>
          <w:p w:rsidR="00FF168C" w:rsidRDefault="00FF168C" w:rsidP="00744258">
            <w:pPr>
              <w:pStyle w:val="tabbielystyl"/>
              <w:jc w:val="left"/>
            </w:pPr>
            <w:r>
              <w:t xml:space="preserve"> PL:</w:t>
            </w:r>
            <w:r w:rsidRPr="00AB6DA4">
              <w:t xml:space="preserve"> </w:t>
            </w:r>
            <w:r>
              <w:t>1,31</w:t>
            </w:r>
          </w:p>
        </w:tc>
        <w:tc>
          <w:tcPr>
            <w:tcW w:w="1355" w:type="pct"/>
          </w:tcPr>
          <w:p w:rsidR="00FF168C" w:rsidRDefault="00FF168C" w:rsidP="00744258">
            <w:pPr>
              <w:pStyle w:val="tabbielystyl"/>
              <w:jc w:val="left"/>
            </w:pPr>
            <w:r>
              <w:t>DE: 6,07</w:t>
            </w:r>
          </w:p>
          <w:p w:rsidR="00FF168C" w:rsidRDefault="00FF168C" w:rsidP="00744258">
            <w:pPr>
              <w:pStyle w:val="tabbielystyl"/>
              <w:jc w:val="left"/>
            </w:pPr>
            <w:r>
              <w:t>ČR: 0,60</w:t>
            </w:r>
          </w:p>
          <w:p w:rsidR="00FF168C" w:rsidRDefault="00FF168C" w:rsidP="00744258">
            <w:pPr>
              <w:pStyle w:val="tabbielystyl"/>
              <w:jc w:val="left"/>
            </w:pPr>
            <w:r>
              <w:t xml:space="preserve"> AT:</w:t>
            </w:r>
            <w:r w:rsidRPr="00AB6DA4">
              <w:t xml:space="preserve"> </w:t>
            </w:r>
            <w:r>
              <w:t>1,00</w:t>
            </w:r>
          </w:p>
          <w:p w:rsidR="00FF168C" w:rsidRDefault="00FF168C" w:rsidP="00744258">
            <w:pPr>
              <w:pStyle w:val="tabbielystyl"/>
              <w:jc w:val="left"/>
            </w:pPr>
            <w:r>
              <w:t xml:space="preserve"> PL:</w:t>
            </w:r>
            <w:r w:rsidRPr="00AB6DA4">
              <w:t xml:space="preserve"> </w:t>
            </w:r>
            <w:r>
              <w:t>1,18</w:t>
            </w:r>
          </w:p>
        </w:tc>
        <w:tc>
          <w:tcPr>
            <w:tcW w:w="1369" w:type="pct"/>
          </w:tcPr>
          <w:p w:rsidR="00FF168C" w:rsidRDefault="00FF168C" w:rsidP="00744258">
            <w:pPr>
              <w:pStyle w:val="tabbielystyl"/>
              <w:jc w:val="left"/>
            </w:pPr>
            <w:r>
              <w:t>DE: 5,69</w:t>
            </w:r>
          </w:p>
          <w:p w:rsidR="00FF168C" w:rsidRDefault="00FF168C" w:rsidP="00744258">
            <w:pPr>
              <w:pStyle w:val="tabbielystyl"/>
              <w:jc w:val="left"/>
            </w:pPr>
            <w:r>
              <w:t>ČR: 0,61</w:t>
            </w:r>
          </w:p>
          <w:p w:rsidR="00FF168C" w:rsidRDefault="00FF168C" w:rsidP="00744258">
            <w:pPr>
              <w:pStyle w:val="tabbielystyl"/>
              <w:jc w:val="left"/>
            </w:pPr>
            <w:r>
              <w:t xml:space="preserve"> AT:</w:t>
            </w:r>
            <w:r w:rsidRPr="00AB6DA4">
              <w:t xml:space="preserve"> </w:t>
            </w:r>
            <w:r>
              <w:t>0,92</w:t>
            </w:r>
          </w:p>
          <w:p w:rsidR="00FF168C" w:rsidRDefault="00FF168C" w:rsidP="00744258">
            <w:pPr>
              <w:pStyle w:val="tabbielystyl"/>
              <w:jc w:val="left"/>
            </w:pPr>
            <w:r>
              <w:t xml:space="preserve"> PL: 1,49</w:t>
            </w:r>
          </w:p>
        </w:tc>
      </w:tr>
    </w:tbl>
    <w:p w:rsidR="004054DF" w:rsidRDefault="007D2674" w:rsidP="003D0983">
      <w:pPr>
        <w:pStyle w:val="Nadpis4"/>
      </w:pPr>
      <w:bookmarkStart w:id="181" w:name="_Toc36664391"/>
      <w:r>
        <w:t>P</w:t>
      </w:r>
      <w:r w:rsidR="00CA44F9">
        <w:t xml:space="preserve">riemerná denná </w:t>
      </w:r>
      <w:r w:rsidR="004054DF">
        <w:t>intenzita</w:t>
      </w:r>
      <w:bookmarkEnd w:id="181"/>
    </w:p>
    <w:p w:rsidR="007511D1" w:rsidRPr="007511D1" w:rsidRDefault="005224B3" w:rsidP="00213622">
      <w:pPr>
        <w:pStyle w:val="Normaltext"/>
        <w:spacing w:line="276" w:lineRule="auto"/>
      </w:pPr>
      <w:r>
        <w:t>Úroveň p</w:t>
      </w:r>
      <w:r w:rsidR="007511D1">
        <w:t>riemern</w:t>
      </w:r>
      <w:r>
        <w:t>ej</w:t>
      </w:r>
      <w:r w:rsidR="007511D1">
        <w:t xml:space="preserve"> denn</w:t>
      </w:r>
      <w:r>
        <w:t>ej</w:t>
      </w:r>
      <w:r w:rsidR="007511D1">
        <w:t xml:space="preserve"> intenzit</w:t>
      </w:r>
      <w:r>
        <w:t>y</w:t>
      </w:r>
      <w:r w:rsidR="007511D1">
        <w:t xml:space="preserve"> jednotkového</w:t>
      </w:r>
      <w:r w:rsidR="00213622">
        <w:t xml:space="preserve"> </w:t>
      </w:r>
      <w:r w:rsidR="007511D1">
        <w:t>kilometra</w:t>
      </w:r>
      <w:r w:rsidR="00213622">
        <w:t xml:space="preserve"> siete závisí od dopravných výkonov </w:t>
      </w:r>
      <w:r>
        <w:t xml:space="preserve">povinných vozidiel </w:t>
      </w:r>
      <w:r w:rsidR="00213622">
        <w:t xml:space="preserve">na sieti a dĺžky spoplatnenej siete. Z externých faktorov, ktoré najmä v prípade Nemecka (5. rok prevádzky), Rakúska (6. rok prevádzky) a Českej republiky (3. rok prevádzky) ovplyvnili trend </w:t>
      </w:r>
      <w:r>
        <w:t>ročného rastu</w:t>
      </w:r>
      <w:r w:rsidR="00213622">
        <w:t xml:space="preserve"> intenzít dopravy, bola najmä hospodárska kríza v roku 2008 a jej následky v</w:t>
      </w:r>
      <w:r>
        <w:t xml:space="preserve"> ďalších rokoch prevádzky systémov. </w:t>
      </w:r>
      <w:r w:rsidR="00213622">
        <w:t xml:space="preserve">Vývoj dopravných intenzít na vymedzených úsekoch ciest </w:t>
      </w:r>
      <w:r w:rsidR="00C743A8">
        <w:t xml:space="preserve">v období </w:t>
      </w:r>
      <w:r w:rsidR="00213622">
        <w:t>deviatich rokoch prevádzky systémov ETC znázorňuje nasledujúci obrázok (</w:t>
      </w:r>
      <w:r w:rsidR="00AE5B8A">
        <w:fldChar w:fldCharType="begin"/>
      </w:r>
      <w:r w:rsidR="00213622">
        <w:instrText xml:space="preserve"> REF _Ref21255185 \h </w:instrText>
      </w:r>
      <w:r w:rsidR="00AE5B8A">
        <w:fldChar w:fldCharType="separate"/>
      </w:r>
      <w:r w:rsidR="001E4C1C" w:rsidRPr="006B1C25">
        <w:t xml:space="preserve">Obr. </w:t>
      </w:r>
      <w:r w:rsidR="001E4C1C">
        <w:rPr>
          <w:noProof/>
        </w:rPr>
        <w:t>2</w:t>
      </w:r>
      <w:r w:rsidR="001E4C1C">
        <w:noBreakHyphen/>
      </w:r>
      <w:r w:rsidR="001E4C1C">
        <w:rPr>
          <w:noProof/>
        </w:rPr>
        <w:t>3</w:t>
      </w:r>
      <w:r w:rsidR="00AE5B8A">
        <w:fldChar w:fldCharType="end"/>
      </w:r>
      <w:r w:rsidR="00213622">
        <w:t xml:space="preserve">). </w:t>
      </w:r>
      <w:r w:rsidR="00C743A8" w:rsidRPr="00CA61C3">
        <w:t>Prehľad ročných priemerov denných intenzít v jednotlivých scenároch obdobia prevádzky zobrazuje obrázok (</w:t>
      </w:r>
      <w:r w:rsidR="00C40D3F">
        <w:fldChar w:fldCharType="begin"/>
      </w:r>
      <w:r w:rsidR="00C40D3F">
        <w:instrText xml:space="preserve"> REF _Ref21257814 \h  \* MERGEFORMAT </w:instrText>
      </w:r>
      <w:r w:rsidR="00C40D3F">
        <w:fldChar w:fldCharType="separate"/>
      </w:r>
      <w:r w:rsidR="001E4C1C" w:rsidRPr="001E4C1C">
        <w:rPr>
          <w:rFonts w:asciiTheme="minorHAnsi" w:hAnsiTheme="minorHAnsi" w:cstheme="minorHAnsi"/>
        </w:rPr>
        <w:t xml:space="preserve">Obr. </w:t>
      </w:r>
      <w:r w:rsidR="001E4C1C" w:rsidRPr="001E4C1C">
        <w:rPr>
          <w:rFonts w:asciiTheme="minorHAnsi" w:hAnsiTheme="minorHAnsi" w:cstheme="minorHAnsi"/>
          <w:noProof/>
        </w:rPr>
        <w:t>2</w:t>
      </w:r>
      <w:r w:rsidR="001E4C1C" w:rsidRPr="001E4C1C">
        <w:rPr>
          <w:rFonts w:asciiTheme="minorHAnsi" w:hAnsiTheme="minorHAnsi" w:cstheme="minorHAnsi"/>
          <w:noProof/>
        </w:rPr>
        <w:noBreakHyphen/>
        <w:t>4</w:t>
      </w:r>
      <w:r w:rsidR="00C40D3F">
        <w:fldChar w:fldCharType="end"/>
      </w:r>
      <w:r w:rsidR="00C743A8" w:rsidRPr="00CA61C3">
        <w:t>).</w:t>
      </w:r>
    </w:p>
    <w:p w:rsidR="004054DF" w:rsidRDefault="004C7620" w:rsidP="004054DF">
      <w:pPr>
        <w:pStyle w:val="Normaltext"/>
        <w:rPr>
          <w:rFonts w:asciiTheme="minorHAnsi" w:hAnsiTheme="minorHAnsi" w:cstheme="minorHAnsi"/>
        </w:rPr>
      </w:pPr>
      <w:r w:rsidRPr="004C7620">
        <w:rPr>
          <w:rFonts w:asciiTheme="minorHAnsi" w:hAnsiTheme="minorHAnsi" w:cstheme="minorHAnsi"/>
          <w:noProof/>
          <w:lang w:eastAsia="sk-SK"/>
        </w:rPr>
        <w:drawing>
          <wp:inline distT="0" distB="0" distL="0" distR="0">
            <wp:extent cx="5938284" cy="2199600"/>
            <wp:effectExtent l="0" t="0" r="5715" b="0"/>
            <wp:docPr id="60" name="Graf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5D4F5E" w:rsidRPr="006B1C25" w:rsidRDefault="005D4F5E" w:rsidP="006B1C25">
      <w:pPr>
        <w:pStyle w:val="Popis"/>
      </w:pPr>
      <w:bookmarkStart w:id="182" w:name="_Ref21255185"/>
      <w:bookmarkStart w:id="183" w:name="_Toc36664512"/>
      <w:r w:rsidRPr="006B1C25">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3</w:t>
      </w:r>
      <w:r w:rsidR="00C40D3F">
        <w:rPr>
          <w:noProof/>
        </w:rPr>
        <w:fldChar w:fldCharType="end"/>
      </w:r>
      <w:bookmarkEnd w:id="182"/>
      <w:r w:rsidRPr="006B1C25">
        <w:tab/>
        <w:t>Priemerná denná intenzita v prevádzkových rokoch systémov ETC (základný scenár: 1. -  9. rok)</w:t>
      </w:r>
      <w:bookmarkEnd w:id="183"/>
    </w:p>
    <w:p w:rsidR="00FF168C" w:rsidRDefault="00FF168C" w:rsidP="00FF168C">
      <w:pPr>
        <w:pStyle w:val="Normaltext"/>
        <w:rPr>
          <w:rFonts w:asciiTheme="minorHAnsi" w:hAnsiTheme="minorHAnsi" w:cstheme="minorHAnsi"/>
        </w:rPr>
      </w:pPr>
      <w:r w:rsidRPr="005D4F5E">
        <w:rPr>
          <w:rFonts w:asciiTheme="minorHAnsi" w:hAnsiTheme="minorHAnsi" w:cstheme="minorHAnsi"/>
          <w:noProof/>
          <w:lang w:eastAsia="sk-SK"/>
        </w:rPr>
        <w:drawing>
          <wp:inline distT="0" distB="0" distL="0" distR="0">
            <wp:extent cx="5936615" cy="1620000"/>
            <wp:effectExtent l="0" t="0" r="6985" b="0"/>
            <wp:docPr id="78"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Pr>
          <w:noProof/>
          <w:lang w:eastAsia="sk-SK"/>
        </w:rPr>
        <w:drawing>
          <wp:inline distT="0" distB="0" distL="0" distR="0">
            <wp:extent cx="5936615" cy="1620000"/>
            <wp:effectExtent l="0" t="0" r="6985" b="0"/>
            <wp:docPr id="79"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Pr>
          <w:noProof/>
          <w:lang w:eastAsia="sk-SK"/>
        </w:rPr>
        <w:drawing>
          <wp:inline distT="0" distB="0" distL="0" distR="0">
            <wp:extent cx="5936615" cy="1620000"/>
            <wp:effectExtent l="0" t="0" r="6985" b="0"/>
            <wp:docPr id="81"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FF168C" w:rsidRDefault="00FF168C" w:rsidP="006B1C25">
      <w:pPr>
        <w:pStyle w:val="Popis"/>
      </w:pPr>
      <w:bookmarkStart w:id="184" w:name="_Ref21257814"/>
      <w:bookmarkStart w:id="185" w:name="_Toc36664513"/>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4</w:t>
      </w:r>
      <w:r w:rsidR="00C40D3F">
        <w:rPr>
          <w:noProof/>
        </w:rPr>
        <w:fldChar w:fldCharType="end"/>
      </w:r>
      <w:bookmarkEnd w:id="184"/>
      <w:r w:rsidRPr="004C1013">
        <w:tab/>
      </w:r>
      <w:r>
        <w:t>Ročný priemer denných intenzít v SR a zahraničí (základný scenár, subscenár A, subscenár B)</w:t>
      </w:r>
      <w:bookmarkEnd w:id="185"/>
    </w:p>
    <w:p w:rsidR="006B1C25" w:rsidRPr="006B1C25" w:rsidRDefault="006B1C25" w:rsidP="006B1C25">
      <w:pPr>
        <w:pStyle w:val="Normaltext"/>
      </w:pPr>
    </w:p>
    <w:p w:rsidR="00FF168C" w:rsidRDefault="00FF168C" w:rsidP="00FF168C">
      <w:r>
        <w:t xml:space="preserve">Z porovnania priemerných denných intenzít jednotkového kilometra spoplatnenej siete v SR a zahraničí  vyplýva, že </w:t>
      </w:r>
      <w:r w:rsidRPr="00904671">
        <w:rPr>
          <w:b/>
        </w:rPr>
        <w:t xml:space="preserve">dopravné intenzity povinných vozidiel sú najnižšie v SR </w:t>
      </w:r>
      <w:r>
        <w:t>a naopak najvyššie v Nemecku. To platí pre všetky uvažované časové scenáre obdobia prevádzky. Intenzity povinných vozidiel v SR sú až 4-násobne nižšie ako v Nemecku, približne 2,7-násobne nižšie ako v Českej republike a Rakúsku a takmer trojnásobne nižšie ako v</w:t>
      </w:r>
      <w:r w:rsidR="00802A51">
        <w:t> </w:t>
      </w:r>
      <w:r>
        <w:t>Poľsku</w:t>
      </w:r>
      <w:r w:rsidR="00802A51">
        <w:t xml:space="preserve"> </w:t>
      </w:r>
      <w:r>
        <w:t>(</w:t>
      </w:r>
      <w:r w:rsidR="00AE5B8A">
        <w:fldChar w:fldCharType="begin"/>
      </w:r>
      <w:r>
        <w:instrText xml:space="preserve"> REF _Ref21299483 \h </w:instrText>
      </w:r>
      <w:r w:rsidR="00AE5B8A">
        <w:fldChar w:fldCharType="separate"/>
      </w:r>
      <w:r w:rsidR="001E4C1C" w:rsidRPr="00904671">
        <w:t xml:space="preserve">Tab.  </w:t>
      </w:r>
      <w:r w:rsidR="001E4C1C">
        <w:rPr>
          <w:noProof/>
        </w:rPr>
        <w:t>2</w:t>
      </w:r>
      <w:r w:rsidR="001E4C1C">
        <w:noBreakHyphen/>
      </w:r>
      <w:r w:rsidR="001E4C1C">
        <w:rPr>
          <w:noProof/>
        </w:rPr>
        <w:t>2</w:t>
      </w:r>
      <w:r w:rsidR="00AE5B8A">
        <w:fldChar w:fldCharType="end"/>
      </w:r>
      <w:r>
        <w:t xml:space="preserve">). Z hľadiska celkovej efektívnosti systému je preto slovenský systém ETC oproti ostatným štátom znevýhodnený, nakoľko nízky počet vozidiel generuje nižšie výnosy systému.  </w:t>
      </w:r>
      <w:bookmarkStart w:id="186" w:name="_Ref21257719"/>
      <w:r>
        <w:t xml:space="preserve"> </w:t>
      </w:r>
    </w:p>
    <w:p w:rsidR="00FF168C" w:rsidRPr="00904671" w:rsidRDefault="00FF168C" w:rsidP="006B1C25">
      <w:pPr>
        <w:pStyle w:val="tabstyl"/>
      </w:pPr>
      <w:bookmarkStart w:id="187" w:name="_Ref21299483"/>
      <w:bookmarkStart w:id="188" w:name="_Toc36664485"/>
      <w:r w:rsidRPr="00904671">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w:t>
      </w:r>
      <w:r w:rsidR="00C40D3F">
        <w:rPr>
          <w:noProof/>
        </w:rPr>
        <w:fldChar w:fldCharType="end"/>
      </w:r>
      <w:bookmarkEnd w:id="187"/>
      <w:r w:rsidRPr="00904671">
        <w:tab/>
        <w:t>Sumarizácia výsledkov komparácie priemerných denných intenzít na sieti systémov ETC</w:t>
      </w:r>
      <w:bookmarkEnd w:id="188"/>
      <w:r w:rsidRPr="00904671">
        <w:t xml:space="preserve"> </w:t>
      </w:r>
    </w:p>
    <w:tbl>
      <w:tblPr>
        <w:tblStyle w:val="tabulkaVUD"/>
        <w:tblW w:w="5000" w:type="pct"/>
        <w:tblLook w:val="04A0" w:firstRow="1" w:lastRow="0" w:firstColumn="1" w:lastColumn="0" w:noHBand="0" w:noVBand="1"/>
      </w:tblPr>
      <w:tblGrid>
        <w:gridCol w:w="1732"/>
        <w:gridCol w:w="2552"/>
        <w:gridCol w:w="2550"/>
        <w:gridCol w:w="2577"/>
      </w:tblGrid>
      <w:tr w:rsidR="00FF168C" w:rsidTr="00FF168C">
        <w:trPr>
          <w:cnfStyle w:val="100000000000" w:firstRow="1" w:lastRow="0" w:firstColumn="0" w:lastColumn="0" w:oddVBand="0" w:evenVBand="0" w:oddHBand="0" w:evenHBand="0" w:firstRowFirstColumn="0" w:firstRowLastColumn="0" w:lastRowFirstColumn="0" w:lastRowLastColumn="0"/>
          <w:tblHeader/>
        </w:trPr>
        <w:tc>
          <w:tcPr>
            <w:tcW w:w="920" w:type="pct"/>
          </w:tcPr>
          <w:p w:rsidR="00FF168C" w:rsidRDefault="00FF168C" w:rsidP="00744258"/>
        </w:tc>
        <w:tc>
          <w:tcPr>
            <w:tcW w:w="1356" w:type="pct"/>
          </w:tcPr>
          <w:p w:rsidR="00FF168C" w:rsidRDefault="00FF168C" w:rsidP="009D58D5">
            <w:pPr>
              <w:pStyle w:val="zahltab"/>
            </w:pPr>
            <w:r>
              <w:t>Základný scenár</w:t>
            </w:r>
          </w:p>
        </w:tc>
        <w:tc>
          <w:tcPr>
            <w:tcW w:w="1355" w:type="pct"/>
          </w:tcPr>
          <w:p w:rsidR="00FF168C" w:rsidRDefault="00FF168C" w:rsidP="009D58D5">
            <w:pPr>
              <w:pStyle w:val="zahltab"/>
            </w:pPr>
            <w:r>
              <w:t>Subscenár A</w:t>
            </w:r>
          </w:p>
        </w:tc>
        <w:tc>
          <w:tcPr>
            <w:tcW w:w="1369" w:type="pct"/>
          </w:tcPr>
          <w:p w:rsidR="00FF168C" w:rsidRDefault="00FF168C" w:rsidP="009D58D5">
            <w:pPr>
              <w:pStyle w:val="zahltab"/>
            </w:pPr>
            <w:r>
              <w:t>Subscenár B</w:t>
            </w:r>
          </w:p>
        </w:tc>
      </w:tr>
      <w:tr w:rsidR="00FF168C" w:rsidTr="00744258">
        <w:tc>
          <w:tcPr>
            <w:tcW w:w="920" w:type="pct"/>
            <w:shd w:val="clear" w:color="auto" w:fill="7F7F7F" w:themeFill="text1" w:themeFillTint="80"/>
          </w:tcPr>
          <w:p w:rsidR="00FF168C" w:rsidRPr="00AB6DA4" w:rsidRDefault="00FF168C" w:rsidP="00744258">
            <w:pPr>
              <w:pStyle w:val="tabbielystyl"/>
              <w:jc w:val="left"/>
              <w:rPr>
                <w:b/>
                <w:color w:val="FFFFFF" w:themeColor="background1"/>
              </w:rPr>
            </w:pPr>
            <w:r>
              <w:rPr>
                <w:b/>
                <w:color w:val="FFFFFF" w:themeColor="background1"/>
              </w:rPr>
              <w:t>Požiadavka</w:t>
            </w:r>
          </w:p>
        </w:tc>
        <w:tc>
          <w:tcPr>
            <w:tcW w:w="4080" w:type="pct"/>
            <w:gridSpan w:val="3"/>
          </w:tcPr>
          <w:p w:rsidR="00FF168C" w:rsidRPr="00254390" w:rsidRDefault="00FF168C" w:rsidP="00744258">
            <w:pPr>
              <w:pStyle w:val="tabbielystyl"/>
              <w:jc w:val="center"/>
              <w:rPr>
                <w:b/>
              </w:rPr>
            </w:pPr>
            <w:r w:rsidRPr="00254390">
              <w:rPr>
                <w:b/>
              </w:rPr>
              <w:t>max. hodnota ukazovateľa</w:t>
            </w:r>
          </w:p>
        </w:tc>
      </w:tr>
      <w:tr w:rsidR="00FF168C" w:rsidTr="00744258">
        <w:tc>
          <w:tcPr>
            <w:tcW w:w="920" w:type="pct"/>
            <w:shd w:val="clear" w:color="auto" w:fill="7F7F7F" w:themeFill="text1" w:themeFillTint="80"/>
          </w:tcPr>
          <w:p w:rsidR="00FF168C" w:rsidRPr="00AB6DA4" w:rsidRDefault="00FF168C" w:rsidP="00744258">
            <w:pPr>
              <w:pStyle w:val="tabbielystyl"/>
              <w:jc w:val="left"/>
              <w:rPr>
                <w:b/>
                <w:color w:val="FFFFFF" w:themeColor="background1"/>
              </w:rPr>
            </w:pPr>
            <w:r w:rsidRPr="00AB6DA4">
              <w:rPr>
                <w:b/>
                <w:color w:val="FFFFFF" w:themeColor="background1"/>
              </w:rPr>
              <w:t>Naj</w:t>
            </w:r>
            <w:r>
              <w:rPr>
                <w:b/>
                <w:color w:val="FFFFFF" w:themeColor="background1"/>
              </w:rPr>
              <w:t>vyššia</w:t>
            </w:r>
            <w:r w:rsidRPr="00AB6DA4">
              <w:rPr>
                <w:b/>
                <w:color w:val="FFFFFF" w:themeColor="background1"/>
              </w:rPr>
              <w:t xml:space="preserve"> hodnota ukazovateľa   </w:t>
            </w:r>
          </w:p>
        </w:tc>
        <w:tc>
          <w:tcPr>
            <w:tcW w:w="1356" w:type="pct"/>
          </w:tcPr>
          <w:p w:rsidR="00FF168C" w:rsidRDefault="00FF168C" w:rsidP="00744258">
            <w:pPr>
              <w:pStyle w:val="tabbielystyl"/>
              <w:jc w:val="left"/>
            </w:pPr>
            <w:r>
              <w:t>Nemecko (5561 voz)</w:t>
            </w:r>
          </w:p>
        </w:tc>
        <w:tc>
          <w:tcPr>
            <w:tcW w:w="1355" w:type="pct"/>
          </w:tcPr>
          <w:p w:rsidR="00FF168C" w:rsidRDefault="00FF168C" w:rsidP="00744258">
            <w:pPr>
              <w:pStyle w:val="tabbielystyl"/>
              <w:jc w:val="left"/>
            </w:pPr>
            <w:r>
              <w:t>Nemecko (5664 voz)</w:t>
            </w:r>
          </w:p>
        </w:tc>
        <w:tc>
          <w:tcPr>
            <w:tcW w:w="1369" w:type="pct"/>
          </w:tcPr>
          <w:p w:rsidR="00FF168C" w:rsidRDefault="00FF168C" w:rsidP="00744258">
            <w:pPr>
              <w:pStyle w:val="tabbielystyl"/>
              <w:jc w:val="left"/>
            </w:pPr>
            <w:r>
              <w:t>Nemecko (5390 voz)</w:t>
            </w:r>
          </w:p>
        </w:tc>
      </w:tr>
      <w:tr w:rsidR="00FF168C" w:rsidTr="00744258">
        <w:tc>
          <w:tcPr>
            <w:tcW w:w="920" w:type="pct"/>
            <w:shd w:val="clear" w:color="auto" w:fill="7F7F7F" w:themeFill="text1" w:themeFillTint="80"/>
          </w:tcPr>
          <w:p w:rsidR="00FF168C" w:rsidRPr="00AB6DA4" w:rsidRDefault="00FF168C" w:rsidP="00744258">
            <w:pPr>
              <w:pStyle w:val="tabbielystyl"/>
              <w:jc w:val="left"/>
              <w:rPr>
                <w:b/>
                <w:color w:val="FFFFFF" w:themeColor="background1"/>
              </w:rPr>
            </w:pPr>
            <w:r w:rsidRPr="00AB6DA4">
              <w:rPr>
                <w:b/>
                <w:color w:val="FFFFFF" w:themeColor="background1"/>
              </w:rPr>
              <w:t>Naj</w:t>
            </w:r>
            <w:r>
              <w:rPr>
                <w:b/>
                <w:color w:val="FFFFFF" w:themeColor="background1"/>
              </w:rPr>
              <w:t>nižšia</w:t>
            </w:r>
            <w:r w:rsidRPr="00AB6DA4">
              <w:rPr>
                <w:b/>
                <w:color w:val="FFFFFF" w:themeColor="background1"/>
              </w:rPr>
              <w:t xml:space="preserve"> hodnota ukazovateľa</w:t>
            </w:r>
          </w:p>
        </w:tc>
        <w:tc>
          <w:tcPr>
            <w:tcW w:w="1356" w:type="pct"/>
          </w:tcPr>
          <w:p w:rsidR="00FF168C" w:rsidRPr="00AB6DA4" w:rsidRDefault="00FF168C" w:rsidP="00744258">
            <w:pPr>
              <w:pStyle w:val="tabbielystyl"/>
              <w:jc w:val="left"/>
              <w:rPr>
                <w:b/>
              </w:rPr>
            </w:pPr>
            <w:r w:rsidRPr="00AB6DA4">
              <w:rPr>
                <w:b/>
              </w:rPr>
              <w:t>Slovensko (1427 voz)</w:t>
            </w:r>
          </w:p>
        </w:tc>
        <w:tc>
          <w:tcPr>
            <w:tcW w:w="1355" w:type="pct"/>
          </w:tcPr>
          <w:p w:rsidR="00FF168C" w:rsidRPr="00AB6DA4" w:rsidRDefault="00FF168C" w:rsidP="00744258">
            <w:pPr>
              <w:pStyle w:val="tabbielystyl"/>
              <w:jc w:val="left"/>
              <w:rPr>
                <w:b/>
              </w:rPr>
            </w:pPr>
            <w:r w:rsidRPr="00AB6DA4">
              <w:rPr>
                <w:b/>
              </w:rPr>
              <w:t>Slovensko (1362 voz)</w:t>
            </w:r>
          </w:p>
        </w:tc>
        <w:tc>
          <w:tcPr>
            <w:tcW w:w="1369" w:type="pct"/>
          </w:tcPr>
          <w:p w:rsidR="00FF168C" w:rsidRPr="00AB6DA4" w:rsidRDefault="00FF168C" w:rsidP="00744258">
            <w:pPr>
              <w:pStyle w:val="tabbielystyl"/>
              <w:jc w:val="left"/>
              <w:rPr>
                <w:b/>
              </w:rPr>
            </w:pPr>
            <w:r w:rsidRPr="00AB6DA4">
              <w:rPr>
                <w:b/>
              </w:rPr>
              <w:t>Slovensko (1485 voz)</w:t>
            </w:r>
          </w:p>
        </w:tc>
      </w:tr>
      <w:tr w:rsidR="00FF168C" w:rsidTr="00744258">
        <w:tc>
          <w:tcPr>
            <w:tcW w:w="920" w:type="pct"/>
            <w:shd w:val="clear" w:color="auto" w:fill="7F7F7F" w:themeFill="text1" w:themeFillTint="80"/>
          </w:tcPr>
          <w:p w:rsidR="00FF168C" w:rsidRPr="00AB6DA4" w:rsidRDefault="00FF168C" w:rsidP="0074425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356" w:type="pct"/>
          </w:tcPr>
          <w:p w:rsidR="00FF168C" w:rsidRDefault="00FF168C" w:rsidP="00744258">
            <w:pPr>
              <w:pStyle w:val="tabbielystyl"/>
              <w:jc w:val="left"/>
            </w:pPr>
            <w:r>
              <w:t>1. Nemecko (5561 voz)</w:t>
            </w:r>
          </w:p>
          <w:p w:rsidR="00FF168C" w:rsidRDefault="00FF168C" w:rsidP="00744258">
            <w:pPr>
              <w:pStyle w:val="tabbielystyl"/>
              <w:jc w:val="left"/>
            </w:pPr>
            <w:r>
              <w:t>2. Poľsko (4209 voz)</w:t>
            </w:r>
          </w:p>
          <w:p w:rsidR="00FF168C" w:rsidRDefault="00FF168C" w:rsidP="00744258">
            <w:pPr>
              <w:pStyle w:val="tabbielystyl"/>
              <w:jc w:val="left"/>
            </w:pPr>
            <w:r>
              <w:t>3. Rakúsko (3897 voz)</w:t>
            </w:r>
          </w:p>
          <w:p w:rsidR="00FF168C" w:rsidRDefault="00FF168C" w:rsidP="00744258">
            <w:pPr>
              <w:pStyle w:val="tabbielystyl"/>
              <w:jc w:val="left"/>
            </w:pPr>
            <w:r>
              <w:t>4. Česká republika (3854 voz)</w:t>
            </w:r>
          </w:p>
          <w:p w:rsidR="00FF168C" w:rsidRPr="00AB6DA4" w:rsidRDefault="00FF168C" w:rsidP="00744258">
            <w:pPr>
              <w:pStyle w:val="tabbielystyl"/>
              <w:jc w:val="left"/>
              <w:rPr>
                <w:b/>
              </w:rPr>
            </w:pPr>
            <w:r w:rsidRPr="00AB6DA4">
              <w:rPr>
                <w:b/>
              </w:rPr>
              <w:t>5. Slovensko (1427 voz)</w:t>
            </w:r>
          </w:p>
        </w:tc>
        <w:tc>
          <w:tcPr>
            <w:tcW w:w="1355" w:type="pct"/>
          </w:tcPr>
          <w:p w:rsidR="00FF168C" w:rsidRDefault="00FF168C" w:rsidP="00744258">
            <w:pPr>
              <w:pStyle w:val="tabbielystyl"/>
              <w:jc w:val="left"/>
            </w:pPr>
            <w:r>
              <w:t>1. Nemecko (5664 voz)</w:t>
            </w:r>
          </w:p>
          <w:p w:rsidR="00FF168C" w:rsidRDefault="00FF168C" w:rsidP="00744258">
            <w:pPr>
              <w:pStyle w:val="tabbielystyl"/>
              <w:jc w:val="left"/>
            </w:pPr>
            <w:r>
              <w:t>2. Rakúsko (3946 voz)</w:t>
            </w:r>
          </w:p>
          <w:p w:rsidR="00FF168C" w:rsidRDefault="00FF168C" w:rsidP="00744258">
            <w:pPr>
              <w:pStyle w:val="tabbielystyl"/>
              <w:jc w:val="left"/>
            </w:pPr>
            <w:r>
              <w:t>3. Poľsko (3877 voz)</w:t>
            </w:r>
          </w:p>
          <w:p w:rsidR="00FF168C" w:rsidRDefault="00FF168C" w:rsidP="00744258">
            <w:pPr>
              <w:pStyle w:val="tabbielystyl"/>
              <w:jc w:val="left"/>
            </w:pPr>
            <w:r>
              <w:t>4. Česká republika (3674 voz)</w:t>
            </w:r>
          </w:p>
          <w:p w:rsidR="00FF168C" w:rsidRPr="00AB6DA4" w:rsidRDefault="00FF168C" w:rsidP="00744258">
            <w:pPr>
              <w:pStyle w:val="tabbielystyl"/>
              <w:jc w:val="left"/>
              <w:rPr>
                <w:b/>
              </w:rPr>
            </w:pPr>
            <w:r w:rsidRPr="00AB6DA4">
              <w:rPr>
                <w:b/>
              </w:rPr>
              <w:t>5. Slovensko (1362 voz)</w:t>
            </w:r>
          </w:p>
        </w:tc>
        <w:tc>
          <w:tcPr>
            <w:tcW w:w="1369" w:type="pct"/>
          </w:tcPr>
          <w:p w:rsidR="00FF168C" w:rsidRDefault="00FF168C" w:rsidP="00744258">
            <w:pPr>
              <w:pStyle w:val="tabbielystyl"/>
              <w:jc w:val="left"/>
            </w:pPr>
            <w:r>
              <w:t>1. Nemecko (5390 voz)</w:t>
            </w:r>
          </w:p>
          <w:p w:rsidR="00FF168C" w:rsidRDefault="00FF168C" w:rsidP="00744258">
            <w:pPr>
              <w:pStyle w:val="tabbielystyl"/>
              <w:jc w:val="left"/>
            </w:pPr>
            <w:r>
              <w:t>2. Poľsko (4640 voz)</w:t>
            </w:r>
          </w:p>
          <w:p w:rsidR="00FF168C" w:rsidRDefault="00FF168C" w:rsidP="00744258">
            <w:pPr>
              <w:pStyle w:val="tabbielystyl"/>
              <w:jc w:val="left"/>
            </w:pPr>
            <w:r>
              <w:t>3. Česká rep. (4057 voz)</w:t>
            </w:r>
          </w:p>
          <w:p w:rsidR="00FF168C" w:rsidRDefault="00FF168C" w:rsidP="00744258">
            <w:pPr>
              <w:pStyle w:val="tabbielystyl"/>
              <w:jc w:val="left"/>
            </w:pPr>
            <w:r>
              <w:t>4. Rakúsko (3916 voz)</w:t>
            </w:r>
          </w:p>
          <w:p w:rsidR="00FF168C" w:rsidRPr="00AB6DA4" w:rsidRDefault="00FF168C" w:rsidP="00744258">
            <w:pPr>
              <w:pStyle w:val="tabbielystyl"/>
              <w:jc w:val="left"/>
              <w:rPr>
                <w:b/>
              </w:rPr>
            </w:pPr>
            <w:r w:rsidRPr="00AB6DA4">
              <w:rPr>
                <w:b/>
              </w:rPr>
              <w:t>5. Slovensko (1485 voz)</w:t>
            </w:r>
          </w:p>
        </w:tc>
      </w:tr>
      <w:tr w:rsidR="00FF168C" w:rsidTr="00744258">
        <w:tc>
          <w:tcPr>
            <w:tcW w:w="920" w:type="pct"/>
            <w:shd w:val="clear" w:color="auto" w:fill="7F7F7F" w:themeFill="text1" w:themeFillTint="80"/>
          </w:tcPr>
          <w:p w:rsidR="00FF168C" w:rsidRPr="00AB6DA4" w:rsidRDefault="00FF168C" w:rsidP="00744258">
            <w:pPr>
              <w:pStyle w:val="tabbielystyl"/>
              <w:jc w:val="left"/>
              <w:rPr>
                <w:b/>
                <w:color w:val="FFFFFF" w:themeColor="background1"/>
              </w:rPr>
            </w:pPr>
            <w:r>
              <w:rPr>
                <w:b/>
                <w:color w:val="FFFFFF" w:themeColor="background1"/>
              </w:rPr>
              <w:t>Indexácia</w:t>
            </w:r>
          </w:p>
        </w:tc>
        <w:tc>
          <w:tcPr>
            <w:tcW w:w="1356" w:type="pct"/>
          </w:tcPr>
          <w:p w:rsidR="00FF168C" w:rsidRDefault="00FF168C" w:rsidP="00744258">
            <w:pPr>
              <w:pStyle w:val="tabbielystyl"/>
              <w:jc w:val="left"/>
            </w:pPr>
            <w:r>
              <w:t>DE: 3,90</w:t>
            </w:r>
          </w:p>
          <w:p w:rsidR="00FF168C" w:rsidRDefault="00FF168C" w:rsidP="00744258">
            <w:pPr>
              <w:pStyle w:val="tabbielystyl"/>
              <w:jc w:val="left"/>
            </w:pPr>
            <w:r>
              <w:t>ČR: 2,70</w:t>
            </w:r>
          </w:p>
          <w:p w:rsidR="00FF168C" w:rsidRDefault="00FF168C" w:rsidP="00744258">
            <w:pPr>
              <w:pStyle w:val="tabbielystyl"/>
              <w:jc w:val="left"/>
            </w:pPr>
            <w:r>
              <w:t xml:space="preserve"> AT:</w:t>
            </w:r>
            <w:r w:rsidRPr="00AB6DA4">
              <w:t xml:space="preserve"> </w:t>
            </w:r>
            <w:r>
              <w:t>2,73</w:t>
            </w:r>
          </w:p>
          <w:p w:rsidR="00FF168C" w:rsidRDefault="00FF168C" w:rsidP="00744258">
            <w:pPr>
              <w:pStyle w:val="tabbielystyl"/>
              <w:jc w:val="left"/>
            </w:pPr>
            <w:r>
              <w:t xml:space="preserve"> PL:</w:t>
            </w:r>
            <w:r w:rsidRPr="00AB6DA4">
              <w:t xml:space="preserve"> </w:t>
            </w:r>
            <w:r>
              <w:t>2,95</w:t>
            </w:r>
          </w:p>
        </w:tc>
        <w:tc>
          <w:tcPr>
            <w:tcW w:w="1355" w:type="pct"/>
          </w:tcPr>
          <w:p w:rsidR="00FF168C" w:rsidRDefault="00FF168C" w:rsidP="00744258">
            <w:pPr>
              <w:pStyle w:val="tabbielystyl"/>
              <w:jc w:val="left"/>
            </w:pPr>
            <w:r>
              <w:t>DE: 4,16</w:t>
            </w:r>
          </w:p>
          <w:p w:rsidR="00FF168C" w:rsidRDefault="00FF168C" w:rsidP="00744258">
            <w:pPr>
              <w:pStyle w:val="tabbielystyl"/>
              <w:jc w:val="left"/>
            </w:pPr>
            <w:r>
              <w:t>ČR: 2,70</w:t>
            </w:r>
          </w:p>
          <w:p w:rsidR="00FF168C" w:rsidRDefault="00FF168C" w:rsidP="00744258">
            <w:pPr>
              <w:pStyle w:val="tabbielystyl"/>
              <w:jc w:val="left"/>
            </w:pPr>
            <w:r>
              <w:t xml:space="preserve"> AT:</w:t>
            </w:r>
            <w:r w:rsidRPr="00AB6DA4">
              <w:t xml:space="preserve"> </w:t>
            </w:r>
            <w:r>
              <w:t>2,90</w:t>
            </w:r>
          </w:p>
          <w:p w:rsidR="00FF168C" w:rsidRDefault="00FF168C" w:rsidP="00744258">
            <w:pPr>
              <w:pStyle w:val="tabbielystyl"/>
              <w:jc w:val="left"/>
            </w:pPr>
            <w:r>
              <w:t xml:space="preserve"> PL:</w:t>
            </w:r>
            <w:r w:rsidRPr="00AB6DA4">
              <w:t xml:space="preserve"> </w:t>
            </w:r>
            <w:r>
              <w:t>2,85</w:t>
            </w:r>
          </w:p>
        </w:tc>
        <w:tc>
          <w:tcPr>
            <w:tcW w:w="1369" w:type="pct"/>
          </w:tcPr>
          <w:p w:rsidR="00FF168C" w:rsidRDefault="00FF168C" w:rsidP="00744258">
            <w:pPr>
              <w:pStyle w:val="tabbielystyl"/>
              <w:jc w:val="left"/>
            </w:pPr>
            <w:r>
              <w:t>DE: 3,63</w:t>
            </w:r>
          </w:p>
          <w:p w:rsidR="00FF168C" w:rsidRDefault="00FF168C" w:rsidP="00744258">
            <w:pPr>
              <w:pStyle w:val="tabbielystyl"/>
              <w:jc w:val="left"/>
            </w:pPr>
            <w:r>
              <w:t>ČR: 2,73</w:t>
            </w:r>
          </w:p>
          <w:p w:rsidR="00FF168C" w:rsidRDefault="00FF168C" w:rsidP="00744258">
            <w:pPr>
              <w:pStyle w:val="tabbielystyl"/>
              <w:jc w:val="left"/>
            </w:pPr>
            <w:r>
              <w:t xml:space="preserve"> AT:</w:t>
            </w:r>
            <w:r w:rsidRPr="00AB6DA4">
              <w:t xml:space="preserve"> </w:t>
            </w:r>
            <w:r>
              <w:t>2,64</w:t>
            </w:r>
          </w:p>
          <w:p w:rsidR="00FF168C" w:rsidRDefault="00FF168C" w:rsidP="00744258">
            <w:pPr>
              <w:pStyle w:val="tabbielystyl"/>
              <w:jc w:val="left"/>
            </w:pPr>
            <w:r>
              <w:t xml:space="preserve"> PL: 3,12</w:t>
            </w:r>
          </w:p>
        </w:tc>
      </w:tr>
    </w:tbl>
    <w:p w:rsidR="00E72565" w:rsidRDefault="007D2674" w:rsidP="003D0983">
      <w:pPr>
        <w:pStyle w:val="Nadpis4"/>
      </w:pPr>
      <w:bookmarkStart w:id="189" w:name="_Toc36664392"/>
      <w:bookmarkEnd w:id="186"/>
      <w:r>
        <w:t>K</w:t>
      </w:r>
      <w:r w:rsidR="00CA44F9">
        <w:t xml:space="preserve">umulované </w:t>
      </w:r>
      <w:r w:rsidR="00501359">
        <w:t>r</w:t>
      </w:r>
      <w:r w:rsidR="00CA44F9">
        <w:t xml:space="preserve">očné </w:t>
      </w:r>
      <w:r w:rsidR="00501359">
        <w:t>d</w:t>
      </w:r>
      <w:r w:rsidR="00E72565">
        <w:t>opravné výkony</w:t>
      </w:r>
      <w:bookmarkEnd w:id="189"/>
    </w:p>
    <w:p w:rsidR="008222FB" w:rsidRDefault="0055595B" w:rsidP="0055595B">
      <w:pPr>
        <w:pStyle w:val="Normaltext"/>
        <w:spacing w:line="276" w:lineRule="auto"/>
      </w:pPr>
      <w:r>
        <w:t>Kumulované ročné dopravné výkony</w:t>
      </w:r>
      <w:r w:rsidR="008C4D67">
        <w:t xml:space="preserve"> vyjadruj</w:t>
      </w:r>
      <w:r>
        <w:t>ú</w:t>
      </w:r>
      <w:r w:rsidR="008C4D67">
        <w:t xml:space="preserve"> celkový počet najazdených kilometrov povinnými vozidlami na celej spoplatnenej sieti</w:t>
      </w:r>
      <w:r w:rsidR="00CA44F9">
        <w:t xml:space="preserve"> za kalendárny rok. </w:t>
      </w:r>
      <w:r>
        <w:t xml:space="preserve">Vychádzajú z priemerných denných intenzít jednotkového kilometra siete, pričom sú prepočítané na celú dĺžku siete a ročné obdobie 365 dní.  </w:t>
      </w:r>
    </w:p>
    <w:p w:rsidR="0050715B" w:rsidRDefault="008222FB" w:rsidP="0055595B">
      <w:pPr>
        <w:pStyle w:val="Normaltext"/>
        <w:spacing w:line="276" w:lineRule="auto"/>
      </w:pPr>
      <w:r>
        <w:t>Z uvedeného dôvodu sú rozdiely medzi hodnotami premennej jednotlivých porovnávaných systémov ETC  väčšie ako v prípade priemerných denných intenzít.  V Nemecku s najdlhšou sieťou vymedzených úsekov ciest a najvyššou priemernou dennou intenzitou sú kumulované dopravné výkony niekoľkonásobne vyššie ako v ostatným krajinách</w:t>
      </w:r>
      <w:r w:rsidR="0050715B">
        <w:t xml:space="preserve">. </w:t>
      </w:r>
      <w:r w:rsidR="00773B4A" w:rsidRPr="0050715B">
        <w:rPr>
          <w:b/>
        </w:rPr>
        <w:t>Najnižšie dopravné výkony povinných vozidiel sú na Slovensku</w:t>
      </w:r>
      <w:r w:rsidR="00773B4A">
        <w:t xml:space="preserve">, čo vyplýva z najnižších priemerných intenzít  týchto vozidiel na sieti, </w:t>
      </w:r>
      <w:r w:rsidR="0050715B">
        <w:t xml:space="preserve">a to </w:t>
      </w:r>
      <w:r w:rsidR="00773B4A">
        <w:t>aj napriek dlhšej spoplatnenej sieti systému ETC</w:t>
      </w:r>
      <w:r w:rsidR="0050715B">
        <w:t xml:space="preserve"> v SR v</w:t>
      </w:r>
      <w:r w:rsidR="00773B4A">
        <w:t xml:space="preserve"> porovnaní s</w:t>
      </w:r>
      <w:r w:rsidR="0050715B">
        <w:t xml:space="preserve"> ČR, resp. AT. Uvedené poradie Slovenska a Nemecka z hľadiska hodnôt </w:t>
      </w:r>
      <w:r w:rsidR="00E71192">
        <w:t xml:space="preserve">premennej (min. –  max.) </w:t>
      </w:r>
      <w:r w:rsidR="0050715B">
        <w:t xml:space="preserve">je rovnaké vo všetkých uvažovaných časových scenároch obdobia prevádzky </w:t>
      </w:r>
      <w:r w:rsidR="0050715B" w:rsidRPr="00B013D9">
        <w:t>(</w:t>
      </w:r>
      <w:r w:rsidR="00AE5B8A">
        <w:fldChar w:fldCharType="begin"/>
      </w:r>
      <w:r w:rsidR="00802A51">
        <w:instrText xml:space="preserve"> REF _Ref21710207 \h </w:instrText>
      </w:r>
      <w:r w:rsidR="00AE5B8A">
        <w:fldChar w:fldCharType="separate"/>
      </w:r>
      <w:r w:rsidR="001E4C1C" w:rsidRPr="004C1013">
        <w:t xml:space="preserve">Obr. </w:t>
      </w:r>
      <w:r w:rsidR="001E4C1C">
        <w:rPr>
          <w:noProof/>
        </w:rPr>
        <w:t>2</w:t>
      </w:r>
      <w:r w:rsidR="001E4C1C">
        <w:noBreakHyphen/>
      </w:r>
      <w:r w:rsidR="001E4C1C">
        <w:rPr>
          <w:noProof/>
        </w:rPr>
        <w:t>5</w:t>
      </w:r>
      <w:r w:rsidR="00AE5B8A">
        <w:fldChar w:fldCharType="end"/>
      </w:r>
      <w:r w:rsidR="00802A51">
        <w:t xml:space="preserve">, </w:t>
      </w:r>
      <w:r w:rsidR="00AE5B8A">
        <w:fldChar w:fldCharType="begin"/>
      </w:r>
      <w:r w:rsidR="00802A51">
        <w:instrText xml:space="preserve"> REF _Ref21710214 \h </w:instrText>
      </w:r>
      <w:r w:rsidR="00AE5B8A">
        <w:fldChar w:fldCharType="separate"/>
      </w:r>
      <w:r w:rsidR="001E4C1C" w:rsidRPr="004C1013">
        <w:t xml:space="preserve">Obr. </w:t>
      </w:r>
      <w:r w:rsidR="001E4C1C">
        <w:rPr>
          <w:noProof/>
        </w:rPr>
        <w:t>2</w:t>
      </w:r>
      <w:r w:rsidR="001E4C1C">
        <w:noBreakHyphen/>
      </w:r>
      <w:r w:rsidR="001E4C1C">
        <w:rPr>
          <w:noProof/>
        </w:rPr>
        <w:t>6</w:t>
      </w:r>
      <w:r w:rsidR="00AE5B8A">
        <w:fldChar w:fldCharType="end"/>
      </w:r>
      <w:r w:rsidR="0050715B" w:rsidRPr="00B013D9">
        <w:t>)</w:t>
      </w:r>
      <w:r w:rsidR="00E71192" w:rsidRPr="00B013D9">
        <w:t>, čo platí aj pre poradie ostatných štátov (</w:t>
      </w:r>
      <w:r w:rsidR="00AE5B8A">
        <w:fldChar w:fldCharType="begin"/>
      </w:r>
      <w:r w:rsidR="00802A51">
        <w:instrText xml:space="preserve"> REF _Ref21710253 \h </w:instrText>
      </w:r>
      <w:r w:rsidR="00AE5B8A">
        <w:fldChar w:fldCharType="separate"/>
      </w:r>
      <w:r w:rsidR="001E4C1C">
        <w:t xml:space="preserve">Tab.  </w:t>
      </w:r>
      <w:r w:rsidR="001E4C1C">
        <w:rPr>
          <w:noProof/>
        </w:rPr>
        <w:t>2</w:t>
      </w:r>
      <w:r w:rsidR="001E4C1C">
        <w:noBreakHyphen/>
      </w:r>
      <w:r w:rsidR="001E4C1C">
        <w:rPr>
          <w:noProof/>
        </w:rPr>
        <w:t>3</w:t>
      </w:r>
      <w:r w:rsidR="00AE5B8A">
        <w:fldChar w:fldCharType="end"/>
      </w:r>
      <w:r w:rsidR="00E71192" w:rsidRPr="00B013D9">
        <w:t>).</w:t>
      </w:r>
      <w:r w:rsidR="00E71192">
        <w:t xml:space="preserve"> </w:t>
      </w:r>
    </w:p>
    <w:p w:rsidR="00FF168C" w:rsidRDefault="00FF168C" w:rsidP="00FF168C">
      <w:pPr>
        <w:pStyle w:val="Normaltext"/>
        <w:spacing w:line="276" w:lineRule="auto"/>
      </w:pPr>
      <w:r>
        <w:t xml:space="preserve">V porovnaní s ostatnými krajinami  sú kumulované ročné dopravné výkony na sieti v SR za prvých deväť rokov prevádzky (základný scenár) v priemere 23-násobne nižšie ako v Nemecku, 1,63-násobne nižšie ako v Českej republike, 2,62-násobne nižšie ako v Rakúsku a takmer štvornásobne nižšie ako v Poľsku </w:t>
      </w:r>
      <w:r w:rsidRPr="00B013D9">
        <w:t>(</w:t>
      </w:r>
      <w:r w:rsidR="00AE5B8A">
        <w:fldChar w:fldCharType="begin"/>
      </w:r>
      <w:r w:rsidR="00802A51">
        <w:instrText xml:space="preserve"> REF _Ref21710253 \h </w:instrText>
      </w:r>
      <w:r w:rsidR="00AE5B8A">
        <w:fldChar w:fldCharType="separate"/>
      </w:r>
      <w:r w:rsidR="001E4C1C">
        <w:t xml:space="preserve">Tab.  </w:t>
      </w:r>
      <w:r w:rsidR="001E4C1C">
        <w:rPr>
          <w:noProof/>
        </w:rPr>
        <w:t>2</w:t>
      </w:r>
      <w:r w:rsidR="001E4C1C">
        <w:noBreakHyphen/>
      </w:r>
      <w:r w:rsidR="001E4C1C">
        <w:rPr>
          <w:noProof/>
        </w:rPr>
        <w:t>3</w:t>
      </w:r>
      <w:r w:rsidR="00AE5B8A">
        <w:fldChar w:fldCharType="end"/>
      </w:r>
      <w:r w:rsidRPr="00B013D9">
        <w:t>).</w:t>
      </w:r>
      <w:r>
        <w:t xml:space="preserve"> </w:t>
      </w:r>
    </w:p>
    <w:p w:rsidR="004C7620" w:rsidRDefault="004C7620" w:rsidP="004C7620">
      <w:pPr>
        <w:pStyle w:val="Normaltext"/>
      </w:pPr>
      <w:r w:rsidRPr="004C7620">
        <w:rPr>
          <w:noProof/>
          <w:lang w:eastAsia="sk-SK"/>
        </w:rPr>
        <w:drawing>
          <wp:inline distT="0" distB="0" distL="0" distR="0">
            <wp:extent cx="5934474" cy="2199600"/>
            <wp:effectExtent l="0" t="0" r="0" b="0"/>
            <wp:docPr id="72" name="Graf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E72565" w:rsidRDefault="00E72565" w:rsidP="006B1C25">
      <w:pPr>
        <w:pStyle w:val="Popis"/>
      </w:pPr>
      <w:bookmarkStart w:id="190" w:name="_Ref21710207"/>
      <w:bookmarkStart w:id="191" w:name="_Toc36664514"/>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5</w:t>
      </w:r>
      <w:r w:rsidR="00C40D3F">
        <w:rPr>
          <w:noProof/>
        </w:rPr>
        <w:fldChar w:fldCharType="end"/>
      </w:r>
      <w:bookmarkEnd w:id="190"/>
      <w:r w:rsidRPr="004C1013">
        <w:tab/>
      </w:r>
      <w:r>
        <w:t>Kumulované dopravné výkony v prevádzkových rokoch systémov ETC (základný scenár: 1. -  9. rok)</w:t>
      </w:r>
      <w:bookmarkEnd w:id="191"/>
    </w:p>
    <w:p w:rsidR="00E72565" w:rsidRDefault="00E72565" w:rsidP="004054DF">
      <w:pPr>
        <w:pStyle w:val="Normaltext"/>
      </w:pPr>
      <w:r w:rsidRPr="00E72565">
        <w:rPr>
          <w:noProof/>
          <w:lang w:eastAsia="sk-SK"/>
        </w:rPr>
        <w:drawing>
          <wp:inline distT="0" distB="0" distL="0" distR="0">
            <wp:extent cx="5940000" cy="1616364"/>
            <wp:effectExtent l="0" t="0" r="3810" b="3175"/>
            <wp:docPr id="24"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Pr>
          <w:noProof/>
          <w:lang w:eastAsia="sk-SK"/>
        </w:rPr>
        <w:drawing>
          <wp:inline distT="0" distB="0" distL="0" distR="0">
            <wp:extent cx="5940000" cy="1616364"/>
            <wp:effectExtent l="0" t="0" r="3810" b="3175"/>
            <wp:docPr id="21" name="Graf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Pr>
          <w:noProof/>
          <w:lang w:eastAsia="sk-SK"/>
        </w:rPr>
        <w:drawing>
          <wp:inline distT="0" distB="0" distL="0" distR="0">
            <wp:extent cx="5940000" cy="1616363"/>
            <wp:effectExtent l="0" t="0" r="3810" b="3175"/>
            <wp:docPr id="22"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E72565" w:rsidRDefault="00E72565" w:rsidP="006B1C25">
      <w:pPr>
        <w:pStyle w:val="Popis"/>
      </w:pPr>
      <w:bookmarkStart w:id="192" w:name="_Ref21710214"/>
      <w:bookmarkStart w:id="193" w:name="_Toc36664515"/>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w:instrText>
      </w:r>
      <w:r w:rsidR="00C40D3F">
        <w:instrText xml:space="preserve">br. \* ARABIC \s 1 </w:instrText>
      </w:r>
      <w:r w:rsidR="00C40D3F">
        <w:fldChar w:fldCharType="separate"/>
      </w:r>
      <w:r w:rsidR="00D61B89">
        <w:rPr>
          <w:noProof/>
        </w:rPr>
        <w:t>6</w:t>
      </w:r>
      <w:r w:rsidR="00C40D3F">
        <w:rPr>
          <w:noProof/>
        </w:rPr>
        <w:fldChar w:fldCharType="end"/>
      </w:r>
      <w:bookmarkEnd w:id="192"/>
      <w:r w:rsidRPr="004C1013">
        <w:tab/>
      </w:r>
      <w:r w:rsidR="00861B06">
        <w:t>Priemerné ročné kumulované dopravné výkon</w:t>
      </w:r>
      <w:r w:rsidR="00A62DB4">
        <w:t>y</w:t>
      </w:r>
      <w:r>
        <w:t xml:space="preserve"> (základný scenár, subscenár A, subscenár B)</w:t>
      </w:r>
      <w:bookmarkEnd w:id="193"/>
    </w:p>
    <w:p w:rsidR="00FF168C" w:rsidRPr="00FF168C" w:rsidRDefault="00FF168C" w:rsidP="00FF168C">
      <w:pPr>
        <w:pStyle w:val="Normaltext"/>
      </w:pPr>
    </w:p>
    <w:p w:rsidR="00AB6DA4" w:rsidRDefault="00AB6DA4" w:rsidP="006B1C25">
      <w:pPr>
        <w:pStyle w:val="tabstyl"/>
      </w:pPr>
      <w:bookmarkStart w:id="194" w:name="_Ref21710253"/>
      <w:bookmarkStart w:id="195" w:name="_Toc36664486"/>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w:t>
      </w:r>
      <w:r w:rsidR="00C40D3F">
        <w:rPr>
          <w:noProof/>
        </w:rPr>
        <w:fldChar w:fldCharType="end"/>
      </w:r>
      <w:bookmarkEnd w:id="194"/>
      <w:r>
        <w:tab/>
        <w:t>Sumarizácia výsledkov komparácie priemerných ročných kumulovaných dopravných výkonov na sieti systémov ETC</w:t>
      </w:r>
      <w:bookmarkEnd w:id="195"/>
      <w:r>
        <w:t xml:space="preserve"> </w:t>
      </w:r>
    </w:p>
    <w:tbl>
      <w:tblPr>
        <w:tblStyle w:val="tabulkaVUD"/>
        <w:tblW w:w="5000" w:type="pct"/>
        <w:tblLook w:val="04A0" w:firstRow="1" w:lastRow="0" w:firstColumn="1" w:lastColumn="0" w:noHBand="0" w:noVBand="1"/>
      </w:tblPr>
      <w:tblGrid>
        <w:gridCol w:w="1732"/>
        <w:gridCol w:w="2552"/>
        <w:gridCol w:w="2550"/>
        <w:gridCol w:w="2577"/>
      </w:tblGrid>
      <w:tr w:rsidR="00AB6DA4" w:rsidTr="00906226">
        <w:trPr>
          <w:cnfStyle w:val="100000000000" w:firstRow="1" w:lastRow="0" w:firstColumn="0" w:lastColumn="0" w:oddVBand="0" w:evenVBand="0" w:oddHBand="0" w:evenHBand="0" w:firstRowFirstColumn="0" w:firstRowLastColumn="0" w:lastRowFirstColumn="0" w:lastRowLastColumn="0"/>
        </w:trPr>
        <w:tc>
          <w:tcPr>
            <w:tcW w:w="920" w:type="pct"/>
          </w:tcPr>
          <w:p w:rsidR="00AB6DA4" w:rsidRDefault="00AB6DA4" w:rsidP="009B2509"/>
        </w:tc>
        <w:tc>
          <w:tcPr>
            <w:tcW w:w="1356" w:type="pct"/>
          </w:tcPr>
          <w:p w:rsidR="00AB6DA4" w:rsidRDefault="00AB6DA4" w:rsidP="009D58D5">
            <w:pPr>
              <w:pStyle w:val="zahltab"/>
            </w:pPr>
            <w:r>
              <w:t>Základný scenár</w:t>
            </w:r>
          </w:p>
        </w:tc>
        <w:tc>
          <w:tcPr>
            <w:tcW w:w="1355" w:type="pct"/>
          </w:tcPr>
          <w:p w:rsidR="00AB6DA4" w:rsidRDefault="00AB6DA4" w:rsidP="009D58D5">
            <w:pPr>
              <w:pStyle w:val="zahltab"/>
            </w:pPr>
            <w:r>
              <w:t>Subscenár A</w:t>
            </w:r>
          </w:p>
        </w:tc>
        <w:tc>
          <w:tcPr>
            <w:tcW w:w="1369" w:type="pct"/>
          </w:tcPr>
          <w:p w:rsidR="00AB6DA4" w:rsidRDefault="00AB6DA4" w:rsidP="009D58D5">
            <w:pPr>
              <w:pStyle w:val="zahltab"/>
            </w:pPr>
            <w:r>
              <w:t>Subscenár B</w:t>
            </w:r>
          </w:p>
        </w:tc>
      </w:tr>
      <w:tr w:rsidR="00AB6DA4" w:rsidTr="009B2509">
        <w:tc>
          <w:tcPr>
            <w:tcW w:w="920" w:type="pct"/>
            <w:shd w:val="clear" w:color="auto" w:fill="7F7F7F" w:themeFill="text1" w:themeFillTint="80"/>
          </w:tcPr>
          <w:p w:rsidR="00AB6DA4" w:rsidRPr="00AB6DA4" w:rsidRDefault="00AA59D2" w:rsidP="009B2509">
            <w:pPr>
              <w:pStyle w:val="tabbielystyl"/>
              <w:jc w:val="left"/>
              <w:rPr>
                <w:b/>
                <w:color w:val="FFFFFF" w:themeColor="background1"/>
              </w:rPr>
            </w:pPr>
            <w:r>
              <w:rPr>
                <w:b/>
                <w:color w:val="FFFFFF" w:themeColor="background1"/>
              </w:rPr>
              <w:t>Požiadavka</w:t>
            </w:r>
          </w:p>
        </w:tc>
        <w:tc>
          <w:tcPr>
            <w:tcW w:w="4080" w:type="pct"/>
            <w:gridSpan w:val="3"/>
          </w:tcPr>
          <w:p w:rsidR="00AB6DA4" w:rsidRPr="00254390" w:rsidRDefault="00AB6DA4" w:rsidP="009B2509">
            <w:pPr>
              <w:pStyle w:val="tabbielystyl"/>
              <w:jc w:val="center"/>
              <w:rPr>
                <w:b/>
              </w:rPr>
            </w:pPr>
            <w:r w:rsidRPr="00254390">
              <w:rPr>
                <w:b/>
              </w:rPr>
              <w:t>max. hodnota ukazovateľa</w:t>
            </w:r>
          </w:p>
        </w:tc>
      </w:tr>
      <w:tr w:rsidR="00AB6DA4" w:rsidTr="00906226">
        <w:tc>
          <w:tcPr>
            <w:tcW w:w="920" w:type="pct"/>
            <w:shd w:val="clear" w:color="auto" w:fill="7F7F7F" w:themeFill="text1" w:themeFillTint="80"/>
          </w:tcPr>
          <w:p w:rsidR="00AB6DA4" w:rsidRPr="00AB6DA4" w:rsidRDefault="00AB6DA4" w:rsidP="009B2509">
            <w:pPr>
              <w:pStyle w:val="tabbielystyl"/>
              <w:jc w:val="left"/>
              <w:rPr>
                <w:b/>
                <w:color w:val="FFFFFF" w:themeColor="background1"/>
              </w:rPr>
            </w:pPr>
            <w:r w:rsidRPr="00AB6DA4">
              <w:rPr>
                <w:b/>
                <w:color w:val="FFFFFF" w:themeColor="background1"/>
              </w:rPr>
              <w:t>Naj</w:t>
            </w:r>
            <w:r>
              <w:rPr>
                <w:b/>
                <w:color w:val="FFFFFF" w:themeColor="background1"/>
              </w:rPr>
              <w:t>vyššia</w:t>
            </w:r>
            <w:r w:rsidRPr="00AB6DA4">
              <w:rPr>
                <w:b/>
                <w:color w:val="FFFFFF" w:themeColor="background1"/>
              </w:rPr>
              <w:t xml:space="preserve"> hodnota ukazovateľa   </w:t>
            </w:r>
          </w:p>
        </w:tc>
        <w:tc>
          <w:tcPr>
            <w:tcW w:w="1356" w:type="pct"/>
          </w:tcPr>
          <w:p w:rsidR="00AB6DA4" w:rsidRDefault="00AB6DA4" w:rsidP="00AB6DA4">
            <w:pPr>
              <w:pStyle w:val="tabbielystyl"/>
              <w:jc w:val="left"/>
            </w:pPr>
            <w:r>
              <w:t xml:space="preserve">Nemecko (26175 </w:t>
            </w:r>
            <w:r w:rsidRPr="00AB6DA4">
              <w:t>mil. vkm</w:t>
            </w:r>
            <w:r>
              <w:t>)</w:t>
            </w:r>
          </w:p>
        </w:tc>
        <w:tc>
          <w:tcPr>
            <w:tcW w:w="1355" w:type="pct"/>
          </w:tcPr>
          <w:p w:rsidR="00AB6DA4" w:rsidRDefault="00AB6DA4" w:rsidP="00AB6DA4">
            <w:pPr>
              <w:pStyle w:val="tabbielystyl"/>
              <w:jc w:val="left"/>
            </w:pPr>
            <w:r>
              <w:t xml:space="preserve">Nemecko (25867 </w:t>
            </w:r>
            <w:r w:rsidRPr="00AB6DA4">
              <w:t>mil. vkm</w:t>
            </w:r>
            <w:r>
              <w:t>)</w:t>
            </w:r>
          </w:p>
        </w:tc>
        <w:tc>
          <w:tcPr>
            <w:tcW w:w="1369" w:type="pct"/>
          </w:tcPr>
          <w:p w:rsidR="00AB6DA4" w:rsidRDefault="00AB6DA4" w:rsidP="00AB6DA4">
            <w:pPr>
              <w:pStyle w:val="tabbielystyl"/>
              <w:jc w:val="left"/>
            </w:pPr>
            <w:r>
              <w:t xml:space="preserve">Nemecko (26120 </w:t>
            </w:r>
            <w:r w:rsidRPr="00AB6DA4">
              <w:t>mil. vkm</w:t>
            </w:r>
            <w:r>
              <w:t>)</w:t>
            </w:r>
          </w:p>
        </w:tc>
      </w:tr>
      <w:tr w:rsidR="00AB6DA4" w:rsidTr="00906226">
        <w:tc>
          <w:tcPr>
            <w:tcW w:w="920" w:type="pct"/>
            <w:shd w:val="clear" w:color="auto" w:fill="7F7F7F" w:themeFill="text1" w:themeFillTint="80"/>
          </w:tcPr>
          <w:p w:rsidR="00AB6DA4" w:rsidRPr="00AB6DA4" w:rsidRDefault="00AB6DA4" w:rsidP="009B2509">
            <w:pPr>
              <w:pStyle w:val="tabbielystyl"/>
              <w:jc w:val="left"/>
              <w:rPr>
                <w:b/>
                <w:color w:val="FFFFFF" w:themeColor="background1"/>
              </w:rPr>
            </w:pPr>
            <w:r w:rsidRPr="00AB6DA4">
              <w:rPr>
                <w:b/>
                <w:color w:val="FFFFFF" w:themeColor="background1"/>
              </w:rPr>
              <w:t>Naj</w:t>
            </w:r>
            <w:r>
              <w:rPr>
                <w:b/>
                <w:color w:val="FFFFFF" w:themeColor="background1"/>
              </w:rPr>
              <w:t>nižšia</w:t>
            </w:r>
            <w:r w:rsidRPr="00AB6DA4">
              <w:rPr>
                <w:b/>
                <w:color w:val="FFFFFF" w:themeColor="background1"/>
              </w:rPr>
              <w:t xml:space="preserve"> hodnota ukazovateľa</w:t>
            </w:r>
          </w:p>
        </w:tc>
        <w:tc>
          <w:tcPr>
            <w:tcW w:w="1356" w:type="pct"/>
          </w:tcPr>
          <w:p w:rsidR="00AB6DA4" w:rsidRPr="00254390" w:rsidRDefault="00AB6DA4" w:rsidP="009B2509">
            <w:pPr>
              <w:pStyle w:val="tabbielystyl"/>
              <w:jc w:val="left"/>
              <w:rPr>
                <w:b/>
              </w:rPr>
            </w:pPr>
            <w:r w:rsidRPr="00254390">
              <w:rPr>
                <w:b/>
              </w:rPr>
              <w:t>Slovensko (1145 mil. vkm)</w:t>
            </w:r>
          </w:p>
        </w:tc>
        <w:tc>
          <w:tcPr>
            <w:tcW w:w="1355" w:type="pct"/>
          </w:tcPr>
          <w:p w:rsidR="00AB6DA4" w:rsidRPr="00254390" w:rsidRDefault="00AB6DA4" w:rsidP="00AB6DA4">
            <w:pPr>
              <w:pStyle w:val="tabbielystyl"/>
              <w:jc w:val="left"/>
              <w:rPr>
                <w:b/>
              </w:rPr>
            </w:pPr>
            <w:r w:rsidRPr="00254390">
              <w:rPr>
                <w:b/>
              </w:rPr>
              <w:t>Slovensko (1025 mil. vkm)</w:t>
            </w:r>
          </w:p>
        </w:tc>
        <w:tc>
          <w:tcPr>
            <w:tcW w:w="1369" w:type="pct"/>
          </w:tcPr>
          <w:p w:rsidR="00AB6DA4" w:rsidRPr="00254390" w:rsidRDefault="00AB6DA4" w:rsidP="00AB6DA4">
            <w:pPr>
              <w:pStyle w:val="tabbielystyl"/>
              <w:jc w:val="left"/>
              <w:rPr>
                <w:b/>
              </w:rPr>
            </w:pPr>
            <w:r w:rsidRPr="00254390">
              <w:rPr>
                <w:b/>
              </w:rPr>
              <w:t>Slovensko (1266 mil. vkm)</w:t>
            </w:r>
          </w:p>
        </w:tc>
      </w:tr>
      <w:tr w:rsidR="00AA59D2" w:rsidTr="00906226">
        <w:tc>
          <w:tcPr>
            <w:tcW w:w="920" w:type="pct"/>
            <w:shd w:val="clear" w:color="auto" w:fill="7F7F7F" w:themeFill="text1" w:themeFillTint="80"/>
          </w:tcPr>
          <w:p w:rsidR="00AA59D2" w:rsidRPr="00AB6DA4" w:rsidRDefault="00AA59D2" w:rsidP="0074425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356" w:type="pct"/>
          </w:tcPr>
          <w:p w:rsidR="00AA59D2" w:rsidRDefault="00AA59D2" w:rsidP="009B2509">
            <w:pPr>
              <w:pStyle w:val="tabbielystyl"/>
              <w:jc w:val="left"/>
            </w:pPr>
            <w:r>
              <w:t xml:space="preserve">1. Nemecko (26175 </w:t>
            </w:r>
            <w:r w:rsidRPr="00AB6DA4">
              <w:t>mil. vkm</w:t>
            </w:r>
            <w:r>
              <w:t>)</w:t>
            </w:r>
          </w:p>
          <w:p w:rsidR="00AA59D2" w:rsidRDefault="00AA59D2" w:rsidP="009B2509">
            <w:pPr>
              <w:pStyle w:val="tabbielystyl"/>
              <w:jc w:val="left"/>
            </w:pPr>
            <w:r>
              <w:t xml:space="preserve">2. Poľsko (4510 </w:t>
            </w:r>
            <w:r w:rsidRPr="00AB6DA4">
              <w:t>mil. vkm</w:t>
            </w:r>
            <w:r>
              <w:t>)</w:t>
            </w:r>
          </w:p>
          <w:p w:rsidR="00AA59D2" w:rsidRDefault="00AA59D2" w:rsidP="009B2509">
            <w:pPr>
              <w:pStyle w:val="tabbielystyl"/>
              <w:jc w:val="left"/>
            </w:pPr>
            <w:r>
              <w:t xml:space="preserve">3. Rakúsko (3004 </w:t>
            </w:r>
            <w:r w:rsidRPr="00AB6DA4">
              <w:t>mil. vkm</w:t>
            </w:r>
            <w:r>
              <w:t>)</w:t>
            </w:r>
          </w:p>
          <w:p w:rsidR="00AA59D2" w:rsidRDefault="00AA59D2" w:rsidP="009B2509">
            <w:pPr>
              <w:pStyle w:val="tabbielystyl"/>
              <w:jc w:val="left"/>
            </w:pPr>
            <w:r>
              <w:t xml:space="preserve">4. Česká rep. (1865 </w:t>
            </w:r>
            <w:r w:rsidRPr="00AB6DA4">
              <w:t>mil. vkm</w:t>
            </w:r>
            <w:r>
              <w:t>)</w:t>
            </w:r>
          </w:p>
          <w:p w:rsidR="00AA59D2" w:rsidRPr="00254390" w:rsidRDefault="00AA59D2" w:rsidP="00AB6DA4">
            <w:pPr>
              <w:pStyle w:val="tabbielystyl"/>
              <w:jc w:val="left"/>
              <w:rPr>
                <w:b/>
              </w:rPr>
            </w:pPr>
            <w:r w:rsidRPr="00254390">
              <w:rPr>
                <w:b/>
              </w:rPr>
              <w:t>5. Slovensko (1145 mil. vkm)</w:t>
            </w:r>
          </w:p>
        </w:tc>
        <w:tc>
          <w:tcPr>
            <w:tcW w:w="1355" w:type="pct"/>
          </w:tcPr>
          <w:p w:rsidR="00AA59D2" w:rsidRDefault="00AA59D2" w:rsidP="00AB6DA4">
            <w:pPr>
              <w:pStyle w:val="tabbielystyl"/>
              <w:jc w:val="left"/>
            </w:pPr>
            <w:r>
              <w:t xml:space="preserve">1. Nemecko (25867 </w:t>
            </w:r>
            <w:r w:rsidRPr="00AB6DA4">
              <w:t>mil. vkm</w:t>
            </w:r>
            <w:r>
              <w:t>)</w:t>
            </w:r>
          </w:p>
          <w:p w:rsidR="00AA59D2" w:rsidRDefault="00AA59D2" w:rsidP="00AB6DA4">
            <w:pPr>
              <w:pStyle w:val="tabbielystyl"/>
              <w:jc w:val="left"/>
            </w:pPr>
            <w:r>
              <w:t xml:space="preserve">2. Poľsko (3485 </w:t>
            </w:r>
            <w:r w:rsidRPr="00AB6DA4">
              <w:t>mil. vkm</w:t>
            </w:r>
            <w:r>
              <w:t>)</w:t>
            </w:r>
          </w:p>
          <w:p w:rsidR="00AA59D2" w:rsidRDefault="00AA59D2" w:rsidP="00AB6DA4">
            <w:pPr>
              <w:pStyle w:val="tabbielystyl"/>
              <w:jc w:val="left"/>
            </w:pPr>
            <w:r>
              <w:t xml:space="preserve">3. Rakúsko (2981 </w:t>
            </w:r>
            <w:r w:rsidRPr="00AB6DA4">
              <w:t>mil. vkm</w:t>
            </w:r>
            <w:r>
              <w:t>)</w:t>
            </w:r>
          </w:p>
          <w:p w:rsidR="00AA59D2" w:rsidRDefault="00AA59D2" w:rsidP="00AB6DA4">
            <w:pPr>
              <w:pStyle w:val="tabbielystyl"/>
              <w:jc w:val="left"/>
            </w:pPr>
            <w:r>
              <w:t xml:space="preserve">4. Česká rep. (1647 </w:t>
            </w:r>
            <w:r w:rsidRPr="00AB6DA4">
              <w:t>mil. vkm</w:t>
            </w:r>
            <w:r>
              <w:t>)</w:t>
            </w:r>
          </w:p>
          <w:p w:rsidR="00AA59D2" w:rsidRPr="00254390" w:rsidRDefault="00AA59D2" w:rsidP="00AB6DA4">
            <w:pPr>
              <w:pStyle w:val="tabbielystyl"/>
              <w:jc w:val="left"/>
              <w:rPr>
                <w:b/>
              </w:rPr>
            </w:pPr>
            <w:r w:rsidRPr="00254390">
              <w:rPr>
                <w:b/>
              </w:rPr>
              <w:t>5. Slovensko (1025 mil. vkm)</w:t>
            </w:r>
          </w:p>
        </w:tc>
        <w:tc>
          <w:tcPr>
            <w:tcW w:w="1369" w:type="pct"/>
          </w:tcPr>
          <w:p w:rsidR="00AA59D2" w:rsidRDefault="00AA59D2" w:rsidP="00AB6DA4">
            <w:pPr>
              <w:pStyle w:val="tabbielystyl"/>
              <w:jc w:val="left"/>
            </w:pPr>
            <w:r>
              <w:t xml:space="preserve">1. Nemecko (26120 </w:t>
            </w:r>
            <w:r w:rsidRPr="00AB6DA4">
              <w:t>mil. vkm</w:t>
            </w:r>
            <w:r>
              <w:t>)</w:t>
            </w:r>
          </w:p>
          <w:p w:rsidR="00AA59D2" w:rsidRDefault="00AA59D2" w:rsidP="00AB6DA4">
            <w:pPr>
              <w:pStyle w:val="tabbielystyl"/>
              <w:jc w:val="left"/>
            </w:pPr>
            <w:r>
              <w:t xml:space="preserve">2. Poľsko (5898 </w:t>
            </w:r>
            <w:r w:rsidRPr="00AB6DA4">
              <w:t>mil. vkm</w:t>
            </w:r>
            <w:r>
              <w:t>)</w:t>
            </w:r>
          </w:p>
          <w:p w:rsidR="00AA59D2" w:rsidRDefault="00AA59D2" w:rsidP="00AB6DA4">
            <w:pPr>
              <w:pStyle w:val="tabbielystyl"/>
              <w:jc w:val="left"/>
            </w:pPr>
            <w:r>
              <w:t xml:space="preserve">3. Rakúsko (3078 </w:t>
            </w:r>
            <w:r w:rsidRPr="00AB6DA4">
              <w:t>mil. vkm</w:t>
            </w:r>
            <w:r>
              <w:t>)</w:t>
            </w:r>
          </w:p>
          <w:p w:rsidR="00AA59D2" w:rsidRDefault="00AA59D2" w:rsidP="00AB6DA4">
            <w:pPr>
              <w:pStyle w:val="tabbielystyl"/>
              <w:jc w:val="left"/>
            </w:pPr>
            <w:r>
              <w:t xml:space="preserve">4. Česká rep. (2112 </w:t>
            </w:r>
            <w:r w:rsidRPr="00AB6DA4">
              <w:t>mil. vkm</w:t>
            </w:r>
            <w:r>
              <w:t>)</w:t>
            </w:r>
          </w:p>
          <w:p w:rsidR="00AA59D2" w:rsidRPr="00254390" w:rsidRDefault="00AA59D2" w:rsidP="00AB6DA4">
            <w:pPr>
              <w:pStyle w:val="tabbielystyl"/>
              <w:jc w:val="left"/>
              <w:rPr>
                <w:b/>
              </w:rPr>
            </w:pPr>
            <w:r w:rsidRPr="00254390">
              <w:rPr>
                <w:b/>
              </w:rPr>
              <w:t>5. Slovensko (1266 mil. vkm)</w:t>
            </w:r>
          </w:p>
        </w:tc>
      </w:tr>
      <w:tr w:rsidR="00AA59D2" w:rsidTr="00906226">
        <w:tc>
          <w:tcPr>
            <w:tcW w:w="920" w:type="pct"/>
            <w:shd w:val="clear" w:color="auto" w:fill="7F7F7F" w:themeFill="text1" w:themeFillTint="80"/>
          </w:tcPr>
          <w:p w:rsidR="00AA59D2" w:rsidRPr="00AB6DA4" w:rsidRDefault="00AA59D2" w:rsidP="009B2509">
            <w:pPr>
              <w:pStyle w:val="tabbielystyl"/>
              <w:jc w:val="left"/>
              <w:rPr>
                <w:b/>
                <w:color w:val="FFFFFF" w:themeColor="background1"/>
              </w:rPr>
            </w:pPr>
            <w:r>
              <w:rPr>
                <w:b/>
                <w:color w:val="FFFFFF" w:themeColor="background1"/>
              </w:rPr>
              <w:t>Indexácia</w:t>
            </w:r>
          </w:p>
        </w:tc>
        <w:tc>
          <w:tcPr>
            <w:tcW w:w="1356" w:type="pct"/>
          </w:tcPr>
          <w:p w:rsidR="00AA59D2" w:rsidRDefault="00AA59D2" w:rsidP="009B2509">
            <w:pPr>
              <w:pStyle w:val="tabbielystyl"/>
              <w:jc w:val="left"/>
            </w:pPr>
            <w:r>
              <w:t>DE: 22,86</w:t>
            </w:r>
          </w:p>
          <w:p w:rsidR="00AA59D2" w:rsidRDefault="00AA59D2" w:rsidP="009B2509">
            <w:pPr>
              <w:pStyle w:val="tabbielystyl"/>
              <w:jc w:val="left"/>
            </w:pPr>
            <w:r>
              <w:t>ČR: 1,63</w:t>
            </w:r>
          </w:p>
          <w:p w:rsidR="00AA59D2" w:rsidRDefault="00AA59D2" w:rsidP="009B2509">
            <w:pPr>
              <w:pStyle w:val="tabbielystyl"/>
              <w:jc w:val="left"/>
            </w:pPr>
            <w:r>
              <w:t xml:space="preserve"> AT:</w:t>
            </w:r>
            <w:r w:rsidRPr="00AB6DA4">
              <w:t xml:space="preserve"> </w:t>
            </w:r>
            <w:r>
              <w:t>2,62</w:t>
            </w:r>
          </w:p>
          <w:p w:rsidR="00AA59D2" w:rsidRDefault="00AA59D2" w:rsidP="00AB6DA4">
            <w:pPr>
              <w:pStyle w:val="tabbielystyl"/>
              <w:jc w:val="left"/>
            </w:pPr>
            <w:r>
              <w:t xml:space="preserve"> PL:</w:t>
            </w:r>
            <w:r w:rsidRPr="00AB6DA4">
              <w:t xml:space="preserve"> </w:t>
            </w:r>
            <w:r>
              <w:t>3,94</w:t>
            </w:r>
          </w:p>
        </w:tc>
        <w:tc>
          <w:tcPr>
            <w:tcW w:w="1355" w:type="pct"/>
          </w:tcPr>
          <w:p w:rsidR="00AA59D2" w:rsidRDefault="00AA59D2" w:rsidP="009B2509">
            <w:pPr>
              <w:pStyle w:val="tabbielystyl"/>
              <w:jc w:val="left"/>
            </w:pPr>
            <w:r>
              <w:t>DE: 25,23</w:t>
            </w:r>
          </w:p>
          <w:p w:rsidR="00AA59D2" w:rsidRDefault="00AA59D2" w:rsidP="009B2509">
            <w:pPr>
              <w:pStyle w:val="tabbielystyl"/>
              <w:jc w:val="left"/>
            </w:pPr>
            <w:r>
              <w:t>ČR: 1,61</w:t>
            </w:r>
          </w:p>
          <w:p w:rsidR="00AA59D2" w:rsidRDefault="00AA59D2" w:rsidP="009B2509">
            <w:pPr>
              <w:pStyle w:val="tabbielystyl"/>
              <w:jc w:val="left"/>
            </w:pPr>
            <w:r>
              <w:t xml:space="preserve"> AT:</w:t>
            </w:r>
            <w:r w:rsidRPr="00AB6DA4">
              <w:t xml:space="preserve"> </w:t>
            </w:r>
            <w:r>
              <w:t>2,91</w:t>
            </w:r>
          </w:p>
          <w:p w:rsidR="00AA59D2" w:rsidRDefault="00AA59D2" w:rsidP="00AB6DA4">
            <w:pPr>
              <w:pStyle w:val="tabbielystyl"/>
              <w:jc w:val="left"/>
            </w:pPr>
            <w:r>
              <w:t xml:space="preserve"> PL:</w:t>
            </w:r>
            <w:r w:rsidRPr="00AB6DA4">
              <w:t xml:space="preserve"> </w:t>
            </w:r>
            <w:r>
              <w:t>3,40</w:t>
            </w:r>
          </w:p>
        </w:tc>
        <w:tc>
          <w:tcPr>
            <w:tcW w:w="1369" w:type="pct"/>
          </w:tcPr>
          <w:p w:rsidR="00AA59D2" w:rsidRDefault="00AA59D2" w:rsidP="009B2509">
            <w:pPr>
              <w:pStyle w:val="tabbielystyl"/>
              <w:jc w:val="left"/>
            </w:pPr>
            <w:r>
              <w:t>DE: 20,63</w:t>
            </w:r>
          </w:p>
          <w:p w:rsidR="00AA59D2" w:rsidRDefault="00AA59D2" w:rsidP="009B2509">
            <w:pPr>
              <w:pStyle w:val="tabbielystyl"/>
              <w:jc w:val="left"/>
            </w:pPr>
            <w:r>
              <w:t>ČR: 1,67</w:t>
            </w:r>
          </w:p>
          <w:p w:rsidR="00AA59D2" w:rsidRDefault="00AA59D2" w:rsidP="009B2509">
            <w:pPr>
              <w:pStyle w:val="tabbielystyl"/>
              <w:jc w:val="left"/>
            </w:pPr>
            <w:r>
              <w:t xml:space="preserve"> AT:</w:t>
            </w:r>
            <w:r w:rsidRPr="00AB6DA4">
              <w:t xml:space="preserve"> </w:t>
            </w:r>
            <w:r>
              <w:t>2,43</w:t>
            </w:r>
          </w:p>
          <w:p w:rsidR="00AA59D2" w:rsidRDefault="00AA59D2" w:rsidP="00AB6DA4">
            <w:pPr>
              <w:pStyle w:val="tabbielystyl"/>
              <w:jc w:val="left"/>
            </w:pPr>
            <w:r>
              <w:t xml:space="preserve"> PL: 4,66</w:t>
            </w:r>
          </w:p>
        </w:tc>
      </w:tr>
    </w:tbl>
    <w:p w:rsidR="006D40C6" w:rsidRDefault="00792AAE" w:rsidP="00E442EA">
      <w:pPr>
        <w:pStyle w:val="Nadpis3"/>
      </w:pPr>
      <w:bookmarkStart w:id="196" w:name="_Toc36664393"/>
      <w:r>
        <w:t xml:space="preserve">Finančné </w:t>
      </w:r>
      <w:r w:rsidR="001A4A8C">
        <w:t>ukazovatele</w:t>
      </w:r>
      <w:bookmarkEnd w:id="196"/>
    </w:p>
    <w:p w:rsidR="00234CB7" w:rsidRDefault="00792AAE" w:rsidP="003D0983">
      <w:pPr>
        <w:pStyle w:val="Nadpis4"/>
      </w:pPr>
      <w:bookmarkStart w:id="197" w:name="_Toc36664394"/>
      <w:r>
        <w:t>Výnosy</w:t>
      </w:r>
      <w:r w:rsidR="00234CB7">
        <w:t xml:space="preserve"> systémov ETC</w:t>
      </w:r>
      <w:bookmarkEnd w:id="197"/>
    </w:p>
    <w:p w:rsidR="00234CB7" w:rsidRDefault="00234CB7" w:rsidP="00234CB7">
      <w:pPr>
        <w:pStyle w:val="Normaltext"/>
        <w:spacing w:line="276" w:lineRule="auto"/>
      </w:pPr>
      <w:r>
        <w:t xml:space="preserve">Úroveň príjmov z výberu mýta ovplyvňuje niekoľko faktorov. Hlavnými z hľadiska nastavenia systému ETC sú dĺžka spoplatnenej siete, intenzita dopravy na sieti a sadzby </w:t>
      </w:r>
      <w:r w:rsidR="002C58B3">
        <w:t xml:space="preserve">mýta </w:t>
      </w:r>
      <w:r>
        <w:t xml:space="preserve">pre jednotlivé kategórie povinných vozidiel. Ďalším faktorom je napríklad vymáhateľnosť mýta a pokút predovšetkým od zahraničných vozidiel. </w:t>
      </w:r>
      <w:r w:rsidR="00E22BC2">
        <w:t xml:space="preserve"> </w:t>
      </w:r>
    </w:p>
    <w:p w:rsidR="00234CB7" w:rsidRDefault="00E32DC6" w:rsidP="00234CB7">
      <w:pPr>
        <w:pStyle w:val="Normaltext"/>
        <w:spacing w:line="276" w:lineRule="auto"/>
      </w:pPr>
      <w:r>
        <w:t xml:space="preserve">Bez ohľadu na vyššie uvedené faktory ovplyvňujúce výšku výnosov systémov je v tejto kapitole porovnaná nominálna úroveň výnosov jednotlivých systémov ETC. </w:t>
      </w:r>
      <w:r w:rsidR="00E22BC2">
        <w:t xml:space="preserve">Pre systém ETC v SR sú </w:t>
      </w:r>
      <w:r w:rsidR="00AD4C75">
        <w:t xml:space="preserve">v porovnaní </w:t>
      </w:r>
      <w:r w:rsidR="00E22BC2">
        <w:t xml:space="preserve">uvádzané údaje prevádzkovateľa systému (SkyToll, a.s.) aj správcu systému (NDS, a.s.). </w:t>
      </w:r>
      <w:r w:rsidR="00E22BC2" w:rsidRPr="00E22BC2">
        <w:t>Rozdiely v </w:t>
      </w:r>
      <w:r w:rsidR="00AD4C75">
        <w:t>udávaných</w:t>
      </w:r>
      <w:r w:rsidR="00E22BC2" w:rsidRPr="00E22BC2">
        <w:t xml:space="preserve"> výnosov týchto spoločností sú minimálne a </w:t>
      </w:r>
      <w:r w:rsidR="00E22BC2">
        <w:t>dosahujú</w:t>
      </w:r>
      <w:r w:rsidR="00E22BC2" w:rsidRPr="00E22BC2">
        <w:t xml:space="preserve"> v priemere 2 mil. € ročne.</w:t>
      </w:r>
      <w:r w:rsidR="00E22BC2">
        <w:t xml:space="preserve">    </w:t>
      </w:r>
    </w:p>
    <w:p w:rsidR="008A320A" w:rsidRDefault="00E22BC2" w:rsidP="00413B3C">
      <w:r>
        <w:t xml:space="preserve">Zo základného porovnania priemerných ročných výnosov systémov ETC možno konštatovať, že najvyššie výnosy dosahuje nemecký elektronický mýtny systém, naopak </w:t>
      </w:r>
      <w:r w:rsidRPr="00E22BC2">
        <w:rPr>
          <w:b/>
        </w:rPr>
        <w:t>najnižšie výnosy zo systému ETC sú v Slovenskej republike</w:t>
      </w:r>
      <w:r w:rsidR="00AD4C75">
        <w:rPr>
          <w:b/>
        </w:rPr>
        <w:t xml:space="preserve">, </w:t>
      </w:r>
      <w:r w:rsidR="00AD4C75" w:rsidRPr="00AD4C75">
        <w:t>a to vo všetkých uvažovaných scenároch obdobia prevádzky</w:t>
      </w:r>
      <w:r w:rsidR="00AD4C75">
        <w:t>.</w:t>
      </w:r>
      <w:r w:rsidR="00AD4C75" w:rsidRPr="00AD4C75">
        <w:t xml:space="preserve"> </w:t>
      </w:r>
      <w:r w:rsidR="00AD4C75">
        <w:t>Poradie ostatných štátov z hľadiska preferovanej maximálnej hodnoty premennej je v základnom časovom scenári a subscenári A nemenné, v 5. až 9. roku prevádzky systému boli v Poľsku dosiahnuté vyššie priemerné ročné výnosy ako v ČR (</w:t>
      </w:r>
      <w:r w:rsidR="00AE5B8A">
        <w:fldChar w:fldCharType="begin"/>
      </w:r>
      <w:r w:rsidR="00802A51">
        <w:instrText xml:space="preserve"> REF _Ref21710343 \h </w:instrText>
      </w:r>
      <w:r w:rsidR="00AE5B8A">
        <w:fldChar w:fldCharType="separate"/>
      </w:r>
      <w:r w:rsidR="001E4C1C" w:rsidRPr="004C1013">
        <w:t xml:space="preserve">Obr. </w:t>
      </w:r>
      <w:r w:rsidR="001E4C1C">
        <w:rPr>
          <w:noProof/>
        </w:rPr>
        <w:t>2</w:t>
      </w:r>
      <w:r w:rsidR="001E4C1C">
        <w:noBreakHyphen/>
      </w:r>
      <w:r w:rsidR="001E4C1C">
        <w:rPr>
          <w:noProof/>
        </w:rPr>
        <w:t>7</w:t>
      </w:r>
      <w:r w:rsidR="00AE5B8A">
        <w:fldChar w:fldCharType="end"/>
      </w:r>
      <w:r w:rsidR="00AD4C75">
        <w:t xml:space="preserve">, </w:t>
      </w:r>
      <w:r w:rsidR="00AE5B8A">
        <w:fldChar w:fldCharType="begin"/>
      </w:r>
      <w:r w:rsidR="00802A51">
        <w:instrText xml:space="preserve"> REF _Ref21710353 \h </w:instrText>
      </w:r>
      <w:r w:rsidR="00AE5B8A">
        <w:fldChar w:fldCharType="separate"/>
      </w:r>
      <w:r w:rsidR="001E4C1C" w:rsidRPr="004C1013">
        <w:t xml:space="preserve">Obr. </w:t>
      </w:r>
      <w:r w:rsidR="001E4C1C">
        <w:rPr>
          <w:noProof/>
        </w:rPr>
        <w:t>2</w:t>
      </w:r>
      <w:r w:rsidR="001E4C1C">
        <w:noBreakHyphen/>
      </w:r>
      <w:r w:rsidR="001E4C1C">
        <w:rPr>
          <w:noProof/>
        </w:rPr>
        <w:t>8</w:t>
      </w:r>
      <w:r w:rsidR="00AE5B8A">
        <w:fldChar w:fldCharType="end"/>
      </w:r>
      <w:r w:rsidR="00413B3C">
        <w:t>, </w:t>
      </w:r>
      <w:r w:rsidR="00AE5B8A">
        <w:fldChar w:fldCharType="begin"/>
      </w:r>
      <w:r w:rsidR="00413B3C">
        <w:instrText xml:space="preserve"> REF _Ref23786249 \h </w:instrText>
      </w:r>
      <w:r w:rsidR="00AE5B8A">
        <w:fldChar w:fldCharType="separate"/>
      </w:r>
      <w:r w:rsidR="001E4C1C">
        <w:t xml:space="preserve">Tab.  </w:t>
      </w:r>
      <w:r w:rsidR="001E4C1C">
        <w:rPr>
          <w:noProof/>
        </w:rPr>
        <w:t>2</w:t>
      </w:r>
      <w:r w:rsidR="001E4C1C">
        <w:noBreakHyphen/>
      </w:r>
      <w:r w:rsidR="001E4C1C">
        <w:rPr>
          <w:noProof/>
        </w:rPr>
        <w:t>4</w:t>
      </w:r>
      <w:r w:rsidR="00AE5B8A">
        <w:fldChar w:fldCharType="end"/>
      </w:r>
      <w:r w:rsidR="00413B3C">
        <w:t xml:space="preserve">). </w:t>
      </w:r>
    </w:p>
    <w:p w:rsidR="002C58B3" w:rsidRDefault="002C58B3" w:rsidP="002C58B3">
      <w:pPr>
        <w:pStyle w:val="Normaltext"/>
        <w:spacing w:line="276" w:lineRule="auto"/>
      </w:pPr>
      <w:r>
        <w:t xml:space="preserve">Z výsledkov analýzy tiež vyplýva prevažne rastúci trend výnosov systémov ETC vyplývajúci najmä z nárastu intenzít povinných vozidiel (odhliadnuc od nežiaduceho vplyvu hospodárskej krízy v roku 2008), postupnému rozširovaniu spoplatnenej cestnej siete, poprípade úpravy mýtnych sadzieb počas prevádzkového obdobia systémov.   </w:t>
      </w:r>
    </w:p>
    <w:p w:rsidR="00AB6DA4" w:rsidRDefault="00861B06" w:rsidP="00AB6DA4">
      <w:pPr>
        <w:pStyle w:val="Normaltext"/>
      </w:pPr>
      <w:r w:rsidRPr="00861B06">
        <w:rPr>
          <w:noProof/>
          <w:lang w:eastAsia="sk-SK"/>
        </w:rPr>
        <w:drawing>
          <wp:inline distT="0" distB="0" distL="0" distR="0">
            <wp:extent cx="5938284" cy="2199600"/>
            <wp:effectExtent l="0" t="0" r="5715" b="0"/>
            <wp:docPr id="25"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62DB4" w:rsidRDefault="00A62DB4" w:rsidP="006B1C25">
      <w:pPr>
        <w:pStyle w:val="Popis"/>
      </w:pPr>
      <w:bookmarkStart w:id="198" w:name="_Ref21710343"/>
      <w:bookmarkStart w:id="199" w:name="_Toc36664516"/>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7</w:t>
      </w:r>
      <w:r w:rsidR="00C40D3F">
        <w:rPr>
          <w:noProof/>
        </w:rPr>
        <w:fldChar w:fldCharType="end"/>
      </w:r>
      <w:bookmarkEnd w:id="198"/>
      <w:r w:rsidRPr="004C1013">
        <w:tab/>
      </w:r>
      <w:r>
        <w:t>Ročné výnosy systémov ETC (základný scenár: 1. -  9. rok)</w:t>
      </w:r>
      <w:bookmarkEnd w:id="199"/>
    </w:p>
    <w:p w:rsidR="00E32DC6" w:rsidRPr="00E32DC6" w:rsidRDefault="00E32DC6" w:rsidP="00E32DC6">
      <w:pPr>
        <w:pStyle w:val="Normaltext"/>
      </w:pPr>
      <w:r>
        <w:rPr>
          <w:noProof/>
          <w:lang w:eastAsia="sk-SK"/>
        </w:rPr>
        <w:drawing>
          <wp:inline distT="0" distB="0" distL="0" distR="0">
            <wp:extent cx="5940000" cy="1620000"/>
            <wp:effectExtent l="0" t="0" r="381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Pr>
          <w:noProof/>
          <w:lang w:eastAsia="sk-SK"/>
        </w:rPr>
        <w:drawing>
          <wp:inline distT="0" distB="0" distL="0" distR="0">
            <wp:extent cx="5940000" cy="1620000"/>
            <wp:effectExtent l="0" t="0" r="3810" b="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Pr>
          <w:noProof/>
          <w:lang w:eastAsia="sk-SK"/>
        </w:rPr>
        <w:drawing>
          <wp:inline distT="0" distB="0" distL="0" distR="0">
            <wp:extent cx="5940000" cy="1620000"/>
            <wp:effectExtent l="0" t="0" r="381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62DB4" w:rsidRDefault="00A62DB4" w:rsidP="006B1C25">
      <w:pPr>
        <w:pStyle w:val="Popis"/>
      </w:pPr>
      <w:bookmarkStart w:id="200" w:name="_Ref21710353"/>
      <w:bookmarkStart w:id="201" w:name="_Toc36664517"/>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8</w:t>
      </w:r>
      <w:r w:rsidR="00C40D3F">
        <w:rPr>
          <w:noProof/>
        </w:rPr>
        <w:fldChar w:fldCharType="end"/>
      </w:r>
      <w:bookmarkEnd w:id="200"/>
      <w:r w:rsidRPr="004C1013">
        <w:tab/>
      </w:r>
      <w:r>
        <w:t>Priemerné ročné výnosy systémov ETC (základný scenár, subscenár A, subscenár B)</w:t>
      </w:r>
      <w:bookmarkEnd w:id="201"/>
    </w:p>
    <w:p w:rsidR="002C58B3" w:rsidRDefault="002C58B3">
      <w:pPr>
        <w:spacing w:before="0" w:after="0" w:line="240" w:lineRule="auto"/>
        <w:jc w:val="left"/>
      </w:pPr>
      <w:r>
        <w:br w:type="page"/>
      </w:r>
    </w:p>
    <w:p w:rsidR="0068094D" w:rsidRDefault="00AD4C75" w:rsidP="00413B3C">
      <w:r>
        <w:t xml:space="preserve">Za prvých deväť rokov prevádzky systému sú priemerné ročné výnosy slovenského systému </w:t>
      </w:r>
      <w:r w:rsidR="009261EF">
        <w:t xml:space="preserve">ETC </w:t>
      </w:r>
      <w:r>
        <w:t xml:space="preserve">v porovnaní s Nemeckom takmer </w:t>
      </w:r>
      <w:r w:rsidR="009F4108">
        <w:t xml:space="preserve">až </w:t>
      </w:r>
      <w:r>
        <w:t>22-násobne nižšie, v porovnaní s Českou republikou  a Poľskom približne 1,6-násobne nižšie</w:t>
      </w:r>
      <w:r w:rsidR="002C5D7A">
        <w:t xml:space="preserve"> a v porovnaní s Rakúskom takmer 5,5-násobne nižšie </w:t>
      </w:r>
      <w:bookmarkStart w:id="202" w:name="_Ref21710328"/>
      <w:r w:rsidR="00413B3C">
        <w:t xml:space="preserve"> (</w:t>
      </w:r>
      <w:r w:rsidR="00AE5B8A">
        <w:rPr>
          <w:highlight w:val="yellow"/>
        </w:rPr>
        <w:fldChar w:fldCharType="begin"/>
      </w:r>
      <w:r w:rsidR="00413B3C">
        <w:instrText xml:space="preserve"> REF _Ref23786249 \h </w:instrText>
      </w:r>
      <w:r w:rsidR="00AE5B8A">
        <w:rPr>
          <w:highlight w:val="yellow"/>
        </w:rPr>
      </w:r>
      <w:r w:rsidR="00AE5B8A">
        <w:rPr>
          <w:highlight w:val="yellow"/>
        </w:rPr>
        <w:fldChar w:fldCharType="separate"/>
      </w:r>
      <w:r w:rsidR="001E4C1C">
        <w:t xml:space="preserve">Tab.  </w:t>
      </w:r>
      <w:r w:rsidR="001E4C1C">
        <w:rPr>
          <w:noProof/>
        </w:rPr>
        <w:t>2</w:t>
      </w:r>
      <w:r w:rsidR="001E4C1C">
        <w:noBreakHyphen/>
      </w:r>
      <w:r w:rsidR="001E4C1C">
        <w:rPr>
          <w:noProof/>
        </w:rPr>
        <w:t>4</w:t>
      </w:r>
      <w:r w:rsidR="00AE5B8A">
        <w:rPr>
          <w:highlight w:val="yellow"/>
        </w:rPr>
        <w:fldChar w:fldCharType="end"/>
      </w:r>
      <w:r w:rsidR="00413B3C">
        <w:t xml:space="preserve">). </w:t>
      </w:r>
    </w:p>
    <w:p w:rsidR="00AB6DA4" w:rsidRDefault="00AB6DA4" w:rsidP="006B1C25">
      <w:pPr>
        <w:pStyle w:val="tabstyl"/>
      </w:pPr>
      <w:bookmarkStart w:id="203" w:name="_Ref23786249"/>
      <w:bookmarkStart w:id="204" w:name="_Toc36664487"/>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4</w:t>
      </w:r>
      <w:r w:rsidR="00C40D3F">
        <w:rPr>
          <w:noProof/>
        </w:rPr>
        <w:fldChar w:fldCharType="end"/>
      </w:r>
      <w:bookmarkEnd w:id="202"/>
      <w:bookmarkEnd w:id="203"/>
      <w:r>
        <w:tab/>
        <w:t>Sumarizácia výsledkov komparácie nominálnej priemernej ročnej výšky výnosov  systémov ETC</w:t>
      </w:r>
      <w:bookmarkEnd w:id="204"/>
      <w:r>
        <w:t xml:space="preserve"> </w:t>
      </w:r>
    </w:p>
    <w:tbl>
      <w:tblPr>
        <w:tblStyle w:val="tabulkaVUD"/>
        <w:tblW w:w="5000" w:type="pct"/>
        <w:tblLook w:val="04A0" w:firstRow="1" w:lastRow="0" w:firstColumn="1" w:lastColumn="0" w:noHBand="0" w:noVBand="1"/>
      </w:tblPr>
      <w:tblGrid>
        <w:gridCol w:w="1732"/>
        <w:gridCol w:w="2552"/>
        <w:gridCol w:w="2550"/>
        <w:gridCol w:w="2577"/>
      </w:tblGrid>
      <w:tr w:rsidR="00AB6DA4" w:rsidTr="00AD4C75">
        <w:trPr>
          <w:cnfStyle w:val="100000000000" w:firstRow="1" w:lastRow="0" w:firstColumn="0" w:lastColumn="0" w:oddVBand="0" w:evenVBand="0" w:oddHBand="0" w:evenHBand="0" w:firstRowFirstColumn="0" w:firstRowLastColumn="0" w:lastRowFirstColumn="0" w:lastRowLastColumn="0"/>
        </w:trPr>
        <w:tc>
          <w:tcPr>
            <w:tcW w:w="920" w:type="pct"/>
          </w:tcPr>
          <w:p w:rsidR="00AB6DA4" w:rsidRDefault="00AB6DA4" w:rsidP="009B2509"/>
        </w:tc>
        <w:tc>
          <w:tcPr>
            <w:tcW w:w="1356" w:type="pct"/>
          </w:tcPr>
          <w:p w:rsidR="00AB6DA4" w:rsidRDefault="00AB6DA4" w:rsidP="009D58D5">
            <w:pPr>
              <w:pStyle w:val="zahltab"/>
            </w:pPr>
            <w:r>
              <w:t>Základný scenár</w:t>
            </w:r>
          </w:p>
        </w:tc>
        <w:tc>
          <w:tcPr>
            <w:tcW w:w="1355" w:type="pct"/>
          </w:tcPr>
          <w:p w:rsidR="00AB6DA4" w:rsidRDefault="00AB6DA4" w:rsidP="009D58D5">
            <w:pPr>
              <w:pStyle w:val="zahltab"/>
            </w:pPr>
            <w:r>
              <w:t>Subscenár A</w:t>
            </w:r>
          </w:p>
        </w:tc>
        <w:tc>
          <w:tcPr>
            <w:tcW w:w="1369" w:type="pct"/>
          </w:tcPr>
          <w:p w:rsidR="00AB6DA4" w:rsidRDefault="00AB6DA4" w:rsidP="009D58D5">
            <w:pPr>
              <w:pStyle w:val="zahltab"/>
            </w:pPr>
            <w:r>
              <w:t>Subscenár B</w:t>
            </w:r>
          </w:p>
        </w:tc>
      </w:tr>
      <w:tr w:rsidR="00AB6DA4" w:rsidTr="009B2509">
        <w:tc>
          <w:tcPr>
            <w:tcW w:w="920" w:type="pct"/>
            <w:shd w:val="clear" w:color="auto" w:fill="7F7F7F" w:themeFill="text1" w:themeFillTint="80"/>
          </w:tcPr>
          <w:p w:rsidR="00AB6DA4" w:rsidRPr="00AB6DA4" w:rsidRDefault="00AA59D2" w:rsidP="009B2509">
            <w:pPr>
              <w:pStyle w:val="tabbielystyl"/>
              <w:jc w:val="left"/>
              <w:rPr>
                <w:b/>
                <w:color w:val="FFFFFF" w:themeColor="background1"/>
              </w:rPr>
            </w:pPr>
            <w:r>
              <w:rPr>
                <w:b/>
                <w:color w:val="FFFFFF" w:themeColor="background1"/>
              </w:rPr>
              <w:t>Požiadavka</w:t>
            </w:r>
          </w:p>
        </w:tc>
        <w:tc>
          <w:tcPr>
            <w:tcW w:w="4080" w:type="pct"/>
            <w:gridSpan w:val="3"/>
          </w:tcPr>
          <w:p w:rsidR="00AB6DA4" w:rsidRPr="00254390" w:rsidRDefault="00AB6DA4" w:rsidP="00AB6DA4">
            <w:pPr>
              <w:pStyle w:val="tabbielystyl"/>
              <w:jc w:val="center"/>
              <w:rPr>
                <w:b/>
              </w:rPr>
            </w:pPr>
            <w:r w:rsidRPr="00254390">
              <w:rPr>
                <w:b/>
              </w:rPr>
              <w:t>max. hodnota ukazovateľa</w:t>
            </w:r>
          </w:p>
        </w:tc>
      </w:tr>
      <w:tr w:rsidR="00AB6DA4" w:rsidTr="00AD4C75">
        <w:tc>
          <w:tcPr>
            <w:tcW w:w="920" w:type="pct"/>
            <w:shd w:val="clear" w:color="auto" w:fill="7F7F7F" w:themeFill="text1" w:themeFillTint="80"/>
          </w:tcPr>
          <w:p w:rsidR="00AB6DA4" w:rsidRPr="00AB6DA4" w:rsidRDefault="00AB6DA4" w:rsidP="00AB6DA4">
            <w:pPr>
              <w:pStyle w:val="tabbielystyl"/>
              <w:jc w:val="left"/>
              <w:rPr>
                <w:b/>
                <w:color w:val="FFFFFF" w:themeColor="background1"/>
              </w:rPr>
            </w:pPr>
            <w:r w:rsidRPr="00AB6DA4">
              <w:rPr>
                <w:b/>
                <w:color w:val="FFFFFF" w:themeColor="background1"/>
              </w:rPr>
              <w:t>Naj</w:t>
            </w:r>
            <w:r>
              <w:rPr>
                <w:b/>
                <w:color w:val="FFFFFF" w:themeColor="background1"/>
              </w:rPr>
              <w:t>vyššia</w:t>
            </w:r>
            <w:r w:rsidRPr="00AB6DA4">
              <w:rPr>
                <w:b/>
                <w:color w:val="FFFFFF" w:themeColor="background1"/>
              </w:rPr>
              <w:t xml:space="preserve"> hodnota ukazovateľa   </w:t>
            </w:r>
          </w:p>
        </w:tc>
        <w:tc>
          <w:tcPr>
            <w:tcW w:w="1356" w:type="pct"/>
          </w:tcPr>
          <w:p w:rsidR="00AB6DA4" w:rsidRDefault="00AB6DA4" w:rsidP="00AB6DA4">
            <w:pPr>
              <w:pStyle w:val="tabbielystyl"/>
              <w:jc w:val="left"/>
            </w:pPr>
            <w:r>
              <w:t>Nemecko (3834 mil. €)</w:t>
            </w:r>
          </w:p>
        </w:tc>
        <w:tc>
          <w:tcPr>
            <w:tcW w:w="1355" w:type="pct"/>
          </w:tcPr>
          <w:p w:rsidR="00AB6DA4" w:rsidRDefault="00AB6DA4" w:rsidP="00AB6DA4">
            <w:pPr>
              <w:pStyle w:val="tabbielystyl"/>
              <w:jc w:val="left"/>
            </w:pPr>
            <w:r>
              <w:t>Nemecko (3354 mil. €)</w:t>
            </w:r>
          </w:p>
        </w:tc>
        <w:tc>
          <w:tcPr>
            <w:tcW w:w="1369" w:type="pct"/>
          </w:tcPr>
          <w:p w:rsidR="00AB6DA4" w:rsidRDefault="00AB6DA4" w:rsidP="00AB6DA4">
            <w:pPr>
              <w:pStyle w:val="tabbielystyl"/>
              <w:jc w:val="left"/>
            </w:pPr>
            <w:r>
              <w:t>Nemecko (4414 mil. €)</w:t>
            </w:r>
          </w:p>
        </w:tc>
      </w:tr>
      <w:tr w:rsidR="00AB6DA4" w:rsidTr="00AD4C75">
        <w:tc>
          <w:tcPr>
            <w:tcW w:w="920" w:type="pct"/>
            <w:shd w:val="clear" w:color="auto" w:fill="7F7F7F" w:themeFill="text1" w:themeFillTint="80"/>
          </w:tcPr>
          <w:p w:rsidR="00AB6DA4" w:rsidRPr="00AB6DA4" w:rsidRDefault="00AB6DA4" w:rsidP="00AB6DA4">
            <w:pPr>
              <w:pStyle w:val="tabbielystyl"/>
              <w:jc w:val="left"/>
              <w:rPr>
                <w:b/>
                <w:color w:val="FFFFFF" w:themeColor="background1"/>
              </w:rPr>
            </w:pPr>
            <w:r w:rsidRPr="00AB6DA4">
              <w:rPr>
                <w:b/>
                <w:color w:val="FFFFFF" w:themeColor="background1"/>
              </w:rPr>
              <w:t>Naj</w:t>
            </w:r>
            <w:r>
              <w:rPr>
                <w:b/>
                <w:color w:val="FFFFFF" w:themeColor="background1"/>
              </w:rPr>
              <w:t>nižšia</w:t>
            </w:r>
            <w:r w:rsidRPr="00AB6DA4">
              <w:rPr>
                <w:b/>
                <w:color w:val="FFFFFF" w:themeColor="background1"/>
              </w:rPr>
              <w:t xml:space="preserve"> hodnota ukazovateľa</w:t>
            </w:r>
          </w:p>
        </w:tc>
        <w:tc>
          <w:tcPr>
            <w:tcW w:w="1356" w:type="pct"/>
          </w:tcPr>
          <w:p w:rsidR="00AB6DA4" w:rsidRPr="00254390" w:rsidRDefault="00AB6DA4" w:rsidP="00AB6DA4">
            <w:pPr>
              <w:pStyle w:val="tabbielystyl"/>
              <w:jc w:val="left"/>
              <w:rPr>
                <w:b/>
              </w:rPr>
            </w:pPr>
            <w:r w:rsidRPr="00254390">
              <w:rPr>
                <w:b/>
              </w:rPr>
              <w:t xml:space="preserve">Slovensko </w:t>
            </w:r>
          </w:p>
          <w:p w:rsidR="00AB6DA4" w:rsidRPr="00254390" w:rsidRDefault="00AB6DA4" w:rsidP="00AB6DA4">
            <w:pPr>
              <w:pStyle w:val="tabbielystyl"/>
              <w:jc w:val="left"/>
              <w:rPr>
                <w:b/>
              </w:rPr>
            </w:pPr>
            <w:r w:rsidRPr="00254390">
              <w:rPr>
                <w:b/>
              </w:rPr>
              <w:t xml:space="preserve">(SkyToll: 177 mil. €) </w:t>
            </w:r>
          </w:p>
          <w:p w:rsidR="00AB6DA4" w:rsidRPr="00254390" w:rsidRDefault="00AB6DA4" w:rsidP="00AB6DA4">
            <w:pPr>
              <w:pStyle w:val="tabbielystyl"/>
              <w:jc w:val="left"/>
              <w:rPr>
                <w:b/>
              </w:rPr>
            </w:pPr>
            <w:r w:rsidRPr="00254390">
              <w:rPr>
                <w:b/>
              </w:rPr>
              <w:t>(NDS: 175 mil. €)</w:t>
            </w:r>
          </w:p>
        </w:tc>
        <w:tc>
          <w:tcPr>
            <w:tcW w:w="1355" w:type="pct"/>
          </w:tcPr>
          <w:p w:rsidR="00AB6DA4" w:rsidRPr="00254390" w:rsidRDefault="00AB6DA4" w:rsidP="00AB6DA4">
            <w:pPr>
              <w:pStyle w:val="tabbielystyl"/>
              <w:jc w:val="left"/>
              <w:rPr>
                <w:b/>
              </w:rPr>
            </w:pPr>
            <w:r w:rsidRPr="00254390">
              <w:rPr>
                <w:b/>
              </w:rPr>
              <w:t xml:space="preserve">Slovensko </w:t>
            </w:r>
          </w:p>
          <w:p w:rsidR="00AB6DA4" w:rsidRPr="00254390" w:rsidRDefault="00AB6DA4" w:rsidP="00AB6DA4">
            <w:pPr>
              <w:pStyle w:val="tabbielystyl"/>
              <w:jc w:val="left"/>
              <w:rPr>
                <w:b/>
              </w:rPr>
            </w:pPr>
            <w:r w:rsidRPr="00254390">
              <w:rPr>
                <w:b/>
              </w:rPr>
              <w:t xml:space="preserve">(SkyToll: 159 mil. €) </w:t>
            </w:r>
          </w:p>
          <w:p w:rsidR="00AB6DA4" w:rsidRPr="00254390" w:rsidRDefault="00AB6DA4" w:rsidP="00AB6DA4">
            <w:pPr>
              <w:pStyle w:val="tabbielystyl"/>
              <w:jc w:val="left"/>
              <w:rPr>
                <w:b/>
              </w:rPr>
            </w:pPr>
            <w:r w:rsidRPr="00254390">
              <w:rPr>
                <w:b/>
              </w:rPr>
              <w:t>(NDS: 158 mil. €)</w:t>
            </w:r>
          </w:p>
        </w:tc>
        <w:tc>
          <w:tcPr>
            <w:tcW w:w="1369" w:type="pct"/>
          </w:tcPr>
          <w:p w:rsidR="00AB6DA4" w:rsidRPr="00254390" w:rsidRDefault="00AB6DA4" w:rsidP="00AB6DA4">
            <w:pPr>
              <w:pStyle w:val="tabbielystyl"/>
              <w:jc w:val="left"/>
              <w:rPr>
                <w:b/>
              </w:rPr>
            </w:pPr>
            <w:r w:rsidRPr="00254390">
              <w:rPr>
                <w:b/>
              </w:rPr>
              <w:t xml:space="preserve">Slovensko </w:t>
            </w:r>
          </w:p>
          <w:p w:rsidR="00AB6DA4" w:rsidRPr="00254390" w:rsidRDefault="00AB6DA4" w:rsidP="00AB6DA4">
            <w:pPr>
              <w:pStyle w:val="tabbielystyl"/>
              <w:jc w:val="left"/>
              <w:rPr>
                <w:b/>
              </w:rPr>
            </w:pPr>
            <w:r w:rsidRPr="00254390">
              <w:rPr>
                <w:b/>
              </w:rPr>
              <w:t xml:space="preserve">(SkyToll: 196 mil. €) </w:t>
            </w:r>
          </w:p>
          <w:p w:rsidR="00AB6DA4" w:rsidRPr="00254390" w:rsidRDefault="00AB6DA4" w:rsidP="00AB6DA4">
            <w:pPr>
              <w:pStyle w:val="tabbielystyl"/>
              <w:jc w:val="left"/>
              <w:rPr>
                <w:b/>
              </w:rPr>
            </w:pPr>
            <w:r w:rsidRPr="00254390">
              <w:rPr>
                <w:b/>
              </w:rPr>
              <w:t>(NDS: 194 mil. €)</w:t>
            </w:r>
          </w:p>
        </w:tc>
      </w:tr>
      <w:tr w:rsidR="00AA59D2" w:rsidTr="00AD4C75">
        <w:tc>
          <w:tcPr>
            <w:tcW w:w="920" w:type="pct"/>
            <w:shd w:val="clear" w:color="auto" w:fill="7F7F7F" w:themeFill="text1" w:themeFillTint="80"/>
          </w:tcPr>
          <w:p w:rsidR="00AA59D2" w:rsidRPr="00AB6DA4" w:rsidRDefault="00AA59D2" w:rsidP="0074425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356" w:type="pct"/>
          </w:tcPr>
          <w:p w:rsidR="00AA59D2" w:rsidRDefault="00AA59D2" w:rsidP="009B2509">
            <w:pPr>
              <w:pStyle w:val="tabbielystyl"/>
              <w:jc w:val="left"/>
            </w:pPr>
            <w:r>
              <w:t>1. Nemecko (3834 mil. €)</w:t>
            </w:r>
          </w:p>
          <w:p w:rsidR="00AA59D2" w:rsidRDefault="00AA59D2" w:rsidP="009B2509">
            <w:pPr>
              <w:pStyle w:val="tabbielystyl"/>
              <w:jc w:val="left"/>
            </w:pPr>
            <w:r>
              <w:t>2. Rakúsko (954 mil. €)</w:t>
            </w:r>
          </w:p>
          <w:p w:rsidR="00AA59D2" w:rsidRDefault="00AA59D2" w:rsidP="009B2509">
            <w:pPr>
              <w:pStyle w:val="tabbielystyl"/>
              <w:jc w:val="left"/>
            </w:pPr>
            <w:r>
              <w:t>3. Česká republika (288 mil. €)</w:t>
            </w:r>
          </w:p>
          <w:p w:rsidR="00AA59D2" w:rsidRDefault="00AA59D2" w:rsidP="009B2509">
            <w:pPr>
              <w:pStyle w:val="tabbielystyl"/>
              <w:jc w:val="left"/>
            </w:pPr>
            <w:r>
              <w:t>4. Poľsko (286 mil. €)</w:t>
            </w:r>
          </w:p>
          <w:p w:rsidR="00AA59D2" w:rsidRPr="00254390" w:rsidRDefault="00AA59D2" w:rsidP="00AB6DA4">
            <w:pPr>
              <w:pStyle w:val="tabbielystyl"/>
              <w:jc w:val="left"/>
              <w:rPr>
                <w:b/>
              </w:rPr>
            </w:pPr>
            <w:r w:rsidRPr="00254390">
              <w:rPr>
                <w:b/>
              </w:rPr>
              <w:t>5. Slovensko (175-177 mil. €)</w:t>
            </w:r>
          </w:p>
        </w:tc>
        <w:tc>
          <w:tcPr>
            <w:tcW w:w="1355" w:type="pct"/>
          </w:tcPr>
          <w:p w:rsidR="00AA59D2" w:rsidRDefault="00AA59D2" w:rsidP="00AB6DA4">
            <w:pPr>
              <w:pStyle w:val="tabbielystyl"/>
              <w:jc w:val="left"/>
            </w:pPr>
            <w:r>
              <w:t>1. Nemecko (3354 mil. €)</w:t>
            </w:r>
          </w:p>
          <w:p w:rsidR="00AA59D2" w:rsidRDefault="00AA59D2" w:rsidP="00AB6DA4">
            <w:pPr>
              <w:pStyle w:val="tabbielystyl"/>
              <w:jc w:val="left"/>
            </w:pPr>
            <w:r>
              <w:t>2. Rakúsko (893 mil. €)</w:t>
            </w:r>
          </w:p>
          <w:p w:rsidR="00AA59D2" w:rsidRDefault="00AA59D2" w:rsidP="00AB6DA4">
            <w:pPr>
              <w:pStyle w:val="tabbielystyl"/>
              <w:jc w:val="left"/>
            </w:pPr>
            <w:r>
              <w:t>3. Česká republika (249 mil. €)</w:t>
            </w:r>
          </w:p>
          <w:p w:rsidR="00AA59D2" w:rsidRDefault="00AA59D2" w:rsidP="00AB6DA4">
            <w:pPr>
              <w:pStyle w:val="tabbielystyl"/>
              <w:jc w:val="left"/>
            </w:pPr>
            <w:r>
              <w:t>4. Poľsko (227 mil. €)</w:t>
            </w:r>
          </w:p>
          <w:p w:rsidR="00AA59D2" w:rsidRPr="00254390" w:rsidRDefault="00AA59D2" w:rsidP="00AB6DA4">
            <w:pPr>
              <w:pStyle w:val="tabbielystyl"/>
              <w:jc w:val="left"/>
              <w:rPr>
                <w:b/>
              </w:rPr>
            </w:pPr>
            <w:r w:rsidRPr="00254390">
              <w:rPr>
                <w:b/>
              </w:rPr>
              <w:t>5. Slovensko (158-159 mil. €)</w:t>
            </w:r>
          </w:p>
        </w:tc>
        <w:tc>
          <w:tcPr>
            <w:tcW w:w="1369" w:type="pct"/>
          </w:tcPr>
          <w:p w:rsidR="00AA59D2" w:rsidRDefault="00AA59D2" w:rsidP="00AB6DA4">
            <w:pPr>
              <w:pStyle w:val="tabbielystyl"/>
              <w:jc w:val="left"/>
            </w:pPr>
            <w:r>
              <w:t>1. Nemecko (4414 mil. €)</w:t>
            </w:r>
          </w:p>
          <w:p w:rsidR="00AA59D2" w:rsidRDefault="00AA59D2" w:rsidP="00AB6DA4">
            <w:pPr>
              <w:pStyle w:val="tabbielystyl"/>
              <w:jc w:val="left"/>
            </w:pPr>
            <w:r>
              <w:t>2. Rakúsko (1037mil. €)</w:t>
            </w:r>
          </w:p>
          <w:p w:rsidR="00AA59D2" w:rsidRDefault="00AA59D2" w:rsidP="00AB6DA4">
            <w:pPr>
              <w:pStyle w:val="tabbielystyl"/>
              <w:jc w:val="left"/>
            </w:pPr>
            <w:r>
              <w:t>3. Poľsko (370 mil. €)</w:t>
            </w:r>
          </w:p>
          <w:p w:rsidR="00AA59D2" w:rsidRDefault="00AA59D2" w:rsidP="00AB6DA4">
            <w:pPr>
              <w:pStyle w:val="tabbielystyl"/>
              <w:jc w:val="left"/>
            </w:pPr>
            <w:r>
              <w:t>4. Česká republika (336 mil. €)</w:t>
            </w:r>
          </w:p>
          <w:p w:rsidR="00AA59D2" w:rsidRPr="00254390" w:rsidRDefault="00AA59D2" w:rsidP="00AB6DA4">
            <w:pPr>
              <w:pStyle w:val="tabbielystyl"/>
              <w:jc w:val="left"/>
              <w:rPr>
                <w:b/>
              </w:rPr>
            </w:pPr>
            <w:r w:rsidRPr="00254390">
              <w:rPr>
                <w:b/>
              </w:rPr>
              <w:t>5. Slovensko (194-196 mil. €)</w:t>
            </w:r>
          </w:p>
        </w:tc>
      </w:tr>
      <w:tr w:rsidR="00AA59D2" w:rsidTr="00AD4C75">
        <w:tc>
          <w:tcPr>
            <w:tcW w:w="920" w:type="pct"/>
            <w:shd w:val="clear" w:color="auto" w:fill="7F7F7F" w:themeFill="text1" w:themeFillTint="80"/>
          </w:tcPr>
          <w:p w:rsidR="00AA59D2" w:rsidRPr="00AB6DA4" w:rsidRDefault="00AA59D2" w:rsidP="009B2509">
            <w:pPr>
              <w:pStyle w:val="tabbielystyl"/>
              <w:jc w:val="left"/>
              <w:rPr>
                <w:b/>
                <w:color w:val="FFFFFF" w:themeColor="background1"/>
              </w:rPr>
            </w:pPr>
            <w:r>
              <w:rPr>
                <w:b/>
                <w:color w:val="FFFFFF" w:themeColor="background1"/>
              </w:rPr>
              <w:t>Indexácia</w:t>
            </w:r>
          </w:p>
        </w:tc>
        <w:tc>
          <w:tcPr>
            <w:tcW w:w="1356" w:type="pct"/>
          </w:tcPr>
          <w:p w:rsidR="00AA59D2" w:rsidRDefault="00AA59D2" w:rsidP="009B2509">
            <w:pPr>
              <w:pStyle w:val="tabbielystyl"/>
              <w:jc w:val="left"/>
            </w:pPr>
            <w:r>
              <w:t>DE: 21,72-21,89</w:t>
            </w:r>
          </w:p>
          <w:p w:rsidR="00AA59D2" w:rsidRDefault="00AA59D2" w:rsidP="009B2509">
            <w:pPr>
              <w:pStyle w:val="tabbielystyl"/>
              <w:jc w:val="left"/>
            </w:pPr>
            <w:r>
              <w:t>ČR: 1,63-1,65</w:t>
            </w:r>
          </w:p>
          <w:p w:rsidR="00AA59D2" w:rsidRDefault="00AA59D2" w:rsidP="009B2509">
            <w:pPr>
              <w:pStyle w:val="tabbielystyl"/>
              <w:jc w:val="left"/>
            </w:pPr>
            <w:r>
              <w:t xml:space="preserve"> AT:</w:t>
            </w:r>
            <w:r w:rsidRPr="00AB6DA4">
              <w:t xml:space="preserve"> </w:t>
            </w:r>
            <w:r>
              <w:t>5,40-5,45</w:t>
            </w:r>
          </w:p>
          <w:p w:rsidR="00AA59D2" w:rsidRDefault="00AA59D2" w:rsidP="00AB6DA4">
            <w:pPr>
              <w:pStyle w:val="tabbielystyl"/>
              <w:jc w:val="left"/>
            </w:pPr>
            <w:r>
              <w:t xml:space="preserve"> PL:</w:t>
            </w:r>
            <w:r w:rsidRPr="00AB6DA4">
              <w:t xml:space="preserve"> </w:t>
            </w:r>
            <w:r>
              <w:t>1,62-1,63</w:t>
            </w:r>
          </w:p>
        </w:tc>
        <w:tc>
          <w:tcPr>
            <w:tcW w:w="1355" w:type="pct"/>
          </w:tcPr>
          <w:p w:rsidR="00AA59D2" w:rsidRDefault="00AA59D2" w:rsidP="009B2509">
            <w:pPr>
              <w:pStyle w:val="tabbielystyl"/>
              <w:jc w:val="left"/>
            </w:pPr>
            <w:r>
              <w:t>DE: 21,13-21,21</w:t>
            </w:r>
          </w:p>
          <w:p w:rsidR="00AA59D2" w:rsidRDefault="00AA59D2" w:rsidP="009B2509">
            <w:pPr>
              <w:pStyle w:val="tabbielystyl"/>
              <w:jc w:val="left"/>
            </w:pPr>
            <w:r>
              <w:t>ČR: 1,57-1,58</w:t>
            </w:r>
          </w:p>
          <w:p w:rsidR="00AA59D2" w:rsidRDefault="00AA59D2" w:rsidP="009B2509">
            <w:pPr>
              <w:pStyle w:val="tabbielystyl"/>
              <w:jc w:val="left"/>
            </w:pPr>
            <w:r>
              <w:t xml:space="preserve"> AT:</w:t>
            </w:r>
            <w:r w:rsidRPr="00AB6DA4">
              <w:t xml:space="preserve"> </w:t>
            </w:r>
            <w:r>
              <w:t>5,62-5,65</w:t>
            </w:r>
          </w:p>
          <w:p w:rsidR="00AA59D2" w:rsidRDefault="00AA59D2" w:rsidP="00AB6DA4">
            <w:pPr>
              <w:pStyle w:val="tabbielystyl"/>
              <w:jc w:val="left"/>
            </w:pPr>
            <w:r>
              <w:t xml:space="preserve"> PL:</w:t>
            </w:r>
            <w:r w:rsidRPr="00AB6DA4">
              <w:t xml:space="preserve"> </w:t>
            </w:r>
            <w:r>
              <w:t>1,43-1,44</w:t>
            </w:r>
          </w:p>
        </w:tc>
        <w:tc>
          <w:tcPr>
            <w:tcW w:w="1369" w:type="pct"/>
          </w:tcPr>
          <w:p w:rsidR="00AA59D2" w:rsidRDefault="00AA59D2" w:rsidP="009B2509">
            <w:pPr>
              <w:pStyle w:val="tabbielystyl"/>
              <w:jc w:val="left"/>
            </w:pPr>
            <w:r>
              <w:t>DE: 22,55-22,81</w:t>
            </w:r>
          </w:p>
          <w:p w:rsidR="00AA59D2" w:rsidRDefault="00AA59D2" w:rsidP="009B2509">
            <w:pPr>
              <w:pStyle w:val="tabbielystyl"/>
              <w:jc w:val="left"/>
            </w:pPr>
            <w:r>
              <w:t>ČR: 1,72-1,74</w:t>
            </w:r>
          </w:p>
          <w:p w:rsidR="00AA59D2" w:rsidRDefault="00AA59D2" w:rsidP="009B2509">
            <w:pPr>
              <w:pStyle w:val="tabbielystyl"/>
              <w:jc w:val="left"/>
            </w:pPr>
            <w:r>
              <w:t xml:space="preserve"> AT:</w:t>
            </w:r>
            <w:r w:rsidRPr="00AB6DA4">
              <w:t xml:space="preserve"> </w:t>
            </w:r>
            <w:r>
              <w:t>5,30-5,36</w:t>
            </w:r>
          </w:p>
          <w:p w:rsidR="00AA59D2" w:rsidRDefault="00AA59D2" w:rsidP="00AB6DA4">
            <w:pPr>
              <w:pStyle w:val="tabbielystyl"/>
              <w:jc w:val="left"/>
            </w:pPr>
            <w:r>
              <w:t xml:space="preserve"> PL: 1,89-1,91</w:t>
            </w:r>
          </w:p>
        </w:tc>
      </w:tr>
    </w:tbl>
    <w:p w:rsidR="00B013D9" w:rsidRPr="00B013D9" w:rsidRDefault="00792AAE" w:rsidP="003D0983">
      <w:pPr>
        <w:pStyle w:val="Nadpis4"/>
      </w:pPr>
      <w:bookmarkStart w:id="205" w:name="_Toc36664395"/>
      <w:r>
        <w:t>Náklady</w:t>
      </w:r>
      <w:r w:rsidR="00B013D9">
        <w:t xml:space="preserve"> systémov ETC</w:t>
      </w:r>
      <w:bookmarkEnd w:id="205"/>
    </w:p>
    <w:p w:rsidR="006A0C71" w:rsidRDefault="003758A1" w:rsidP="003758A1">
      <w:pPr>
        <w:pStyle w:val="Normaltext"/>
        <w:spacing w:line="276" w:lineRule="auto"/>
      </w:pPr>
      <w:r>
        <w:t xml:space="preserve">Obdobne ako v prípade komparácie výnosov systémov ETC je v rámci porovnania nákladov systémov uvažovaná ich nominálna úroveň vyčíslená v prvej kapitole predmetnej štúdie. Problematika neurčitosti vyčíslenia nákladov jednotlivými spoločnosťami prevádzkujúcimi a spravujúcimi systém ETC vyplývajúca z rôznorodosti zahrnutých nákladových položiek je zhrnutá v záverečnej časti analýzy základných charakteristických ukazovateľov systémov ETC. </w:t>
      </w:r>
    </w:p>
    <w:p w:rsidR="003758A1" w:rsidRDefault="003758A1" w:rsidP="003758A1">
      <w:pPr>
        <w:pStyle w:val="Normaltext"/>
        <w:spacing w:line="276" w:lineRule="auto"/>
      </w:pPr>
      <w:r>
        <w:t xml:space="preserve">Pre porovnanie nákladov systémov ETC sú pre Slovenskú republiku uvádzané údaje prevádzkovateľa aj správcu systému, ktoré sa v jednotlivých časových scenároch obdobia prevádzky systému navzájom rozlišujú (najmä z dôvodu </w:t>
      </w:r>
      <w:r w:rsidR="00CC79F9">
        <w:t xml:space="preserve">uvádzaného odlišného </w:t>
      </w:r>
      <w:r>
        <w:t xml:space="preserve">rozloženia splátok systému). </w:t>
      </w:r>
      <w:r w:rsidR="00CC79F9">
        <w:t>T</w:t>
      </w:r>
      <w:r>
        <w:t xml:space="preserve">ento rozdiel predstavuje v priemere </w:t>
      </w:r>
      <w:r w:rsidR="00CC79F9">
        <w:t>za deväť rokov prevádzky (základný scenár) 5,5 mil. €, v rámci subscenára A 14,5 mil. € a v rámci subscenára B 26 mil. €. Z uvedeného dôvodu je rozlíšenie uvádzaných údajov nákladov opodstatnené</w:t>
      </w:r>
      <w:r w:rsidR="0032353B">
        <w:t xml:space="preserve"> (</w:t>
      </w:r>
      <w:r w:rsidR="00AE5B8A">
        <w:fldChar w:fldCharType="begin"/>
      </w:r>
      <w:r w:rsidR="00802A51">
        <w:instrText xml:space="preserve"> REF _Ref21710419 \h </w:instrText>
      </w:r>
      <w:r w:rsidR="00AE5B8A">
        <w:fldChar w:fldCharType="separate"/>
      </w:r>
      <w:r w:rsidR="001E4C1C" w:rsidRPr="004C1013">
        <w:t xml:space="preserve">Obr. </w:t>
      </w:r>
      <w:r w:rsidR="001E4C1C">
        <w:rPr>
          <w:noProof/>
        </w:rPr>
        <w:t>2</w:t>
      </w:r>
      <w:r w:rsidR="001E4C1C">
        <w:noBreakHyphen/>
      </w:r>
      <w:r w:rsidR="001E4C1C">
        <w:rPr>
          <w:noProof/>
        </w:rPr>
        <w:t>9</w:t>
      </w:r>
      <w:r w:rsidR="00AE5B8A">
        <w:fldChar w:fldCharType="end"/>
      </w:r>
      <w:r w:rsidR="0032353B">
        <w:t xml:space="preserve">, </w:t>
      </w:r>
      <w:r w:rsidR="00AE5B8A">
        <w:fldChar w:fldCharType="begin"/>
      </w:r>
      <w:r w:rsidR="00802A51">
        <w:instrText xml:space="preserve"> REF _Ref21710426 \h </w:instrText>
      </w:r>
      <w:r w:rsidR="00AE5B8A">
        <w:fldChar w:fldCharType="separate"/>
      </w:r>
      <w:r w:rsidR="001E4C1C" w:rsidRPr="004C1013">
        <w:t xml:space="preserve">Obr. </w:t>
      </w:r>
      <w:r w:rsidR="001E4C1C">
        <w:rPr>
          <w:noProof/>
        </w:rPr>
        <w:t>2</w:t>
      </w:r>
      <w:r w:rsidR="001E4C1C">
        <w:noBreakHyphen/>
      </w:r>
      <w:r w:rsidR="001E4C1C">
        <w:rPr>
          <w:noProof/>
        </w:rPr>
        <w:t>10</w:t>
      </w:r>
      <w:r w:rsidR="00AE5B8A">
        <w:fldChar w:fldCharType="end"/>
      </w:r>
      <w:r w:rsidR="0032353B">
        <w:t xml:space="preserve">). </w:t>
      </w:r>
      <w:r w:rsidR="00CC79F9">
        <w:t xml:space="preserve"> </w:t>
      </w:r>
    </w:p>
    <w:p w:rsidR="002C58B3" w:rsidRDefault="006B1C25" w:rsidP="002C58B3">
      <w:pPr>
        <w:pStyle w:val="Normaltext"/>
        <w:spacing w:line="276" w:lineRule="auto"/>
      </w:pPr>
      <w:r>
        <w:t xml:space="preserve">Na základe vzájomného porovnania nákladov systémov ETC možno konštatovať, </w:t>
      </w:r>
      <w:r w:rsidRPr="00CC79F9">
        <w:t>že</w:t>
      </w:r>
      <w:r w:rsidRPr="00CC79F9">
        <w:rPr>
          <w:b/>
        </w:rPr>
        <w:t xml:space="preserve"> v Slovenskej republike je nominálna úroveň nákladov </w:t>
      </w:r>
      <w:r>
        <w:rPr>
          <w:b/>
        </w:rPr>
        <w:t xml:space="preserve">systémov ETC </w:t>
      </w:r>
      <w:r w:rsidRPr="00CC79F9">
        <w:rPr>
          <w:b/>
        </w:rPr>
        <w:t>najnižšia</w:t>
      </w:r>
      <w:r>
        <w:rPr>
          <w:b/>
        </w:rPr>
        <w:t xml:space="preserve">, </w:t>
      </w:r>
      <w:r>
        <w:t xml:space="preserve">čo platí pre údaje SkyToll, a.s. aj NDS, a.s. za časové obdobie prevádzky systému podľa základného scenára a subscenára A. V období 5. až 9. roku (subscenár B) prevádzky systému ETC v SR je podľa údajov prevádzkovateľa systému úroveň nákladov najnižšia, avšak podľa údajov správcu systému 3. najnižšia (za Českou republikou a Poľskom). </w:t>
      </w:r>
    </w:p>
    <w:p w:rsidR="00792AAE" w:rsidRDefault="00A11D92" w:rsidP="006D40C6">
      <w:pPr>
        <w:pStyle w:val="Normaltext"/>
        <w:jc w:val="center"/>
        <w:rPr>
          <w:rFonts w:asciiTheme="minorHAnsi" w:hAnsiTheme="minorHAnsi" w:cstheme="minorHAnsi"/>
        </w:rPr>
      </w:pPr>
      <w:r w:rsidRPr="00A11D92">
        <w:rPr>
          <w:rFonts w:asciiTheme="minorHAnsi" w:hAnsiTheme="minorHAnsi" w:cstheme="minorHAnsi"/>
          <w:noProof/>
          <w:lang w:eastAsia="sk-SK"/>
        </w:rPr>
        <w:drawing>
          <wp:inline distT="0" distB="0" distL="0" distR="0">
            <wp:extent cx="5934075" cy="2199600"/>
            <wp:effectExtent l="0" t="0" r="0" b="0"/>
            <wp:docPr id="29"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247910" w:rsidRDefault="00247910" w:rsidP="006B1C25">
      <w:pPr>
        <w:pStyle w:val="Popis"/>
      </w:pPr>
      <w:bookmarkStart w:id="206" w:name="_Ref21710419"/>
      <w:bookmarkStart w:id="207" w:name="_Toc36664518"/>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9</w:t>
      </w:r>
      <w:r w:rsidR="00C40D3F">
        <w:rPr>
          <w:noProof/>
        </w:rPr>
        <w:fldChar w:fldCharType="end"/>
      </w:r>
      <w:bookmarkEnd w:id="206"/>
      <w:r w:rsidRPr="004C1013">
        <w:tab/>
      </w:r>
      <w:r>
        <w:t xml:space="preserve">Ročné výnosy systémov ETC </w:t>
      </w:r>
      <w:r w:rsidR="00F40E79">
        <w:t xml:space="preserve">v prevádzkových rokoch </w:t>
      </w:r>
      <w:r>
        <w:t>(základný scenár: 1. -  9. rok)</w:t>
      </w:r>
      <w:bookmarkEnd w:id="207"/>
    </w:p>
    <w:p w:rsidR="000E1653" w:rsidRDefault="000E1653">
      <w:pPr>
        <w:pStyle w:val="Normaltext"/>
      </w:pPr>
    </w:p>
    <w:p w:rsidR="006D40C6" w:rsidRPr="005C150D" w:rsidRDefault="00247910" w:rsidP="006D40C6">
      <w:pPr>
        <w:pStyle w:val="Normaltext"/>
        <w:jc w:val="center"/>
        <w:rPr>
          <w:rFonts w:asciiTheme="minorHAnsi" w:hAnsiTheme="minorHAnsi" w:cstheme="minorHAnsi"/>
        </w:rPr>
      </w:pPr>
      <w:r>
        <w:rPr>
          <w:noProof/>
          <w:lang w:eastAsia="sk-SK"/>
        </w:rPr>
        <w:drawing>
          <wp:inline distT="0" distB="0" distL="0" distR="0">
            <wp:extent cx="5938285" cy="1620000"/>
            <wp:effectExtent l="0" t="0" r="5715" b="0"/>
            <wp:docPr id="30"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Pr>
          <w:noProof/>
          <w:lang w:eastAsia="sk-SK"/>
        </w:rPr>
        <w:drawing>
          <wp:inline distT="0" distB="0" distL="0" distR="0">
            <wp:extent cx="5938285" cy="1620000"/>
            <wp:effectExtent l="0" t="0" r="5715" b="0"/>
            <wp:docPr id="31"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Pr>
          <w:noProof/>
          <w:lang w:eastAsia="sk-SK"/>
        </w:rPr>
        <w:drawing>
          <wp:inline distT="0" distB="0" distL="0" distR="0">
            <wp:extent cx="5938284" cy="1620000"/>
            <wp:effectExtent l="0" t="0" r="5715" b="0"/>
            <wp:docPr id="32"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247910" w:rsidRDefault="00247910" w:rsidP="006B1C25">
      <w:pPr>
        <w:pStyle w:val="Popis"/>
      </w:pPr>
      <w:bookmarkStart w:id="208" w:name="_Ref21710426"/>
      <w:bookmarkStart w:id="209" w:name="_Toc36664519"/>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10</w:t>
      </w:r>
      <w:r w:rsidR="00C40D3F">
        <w:rPr>
          <w:noProof/>
        </w:rPr>
        <w:fldChar w:fldCharType="end"/>
      </w:r>
      <w:bookmarkEnd w:id="208"/>
      <w:r w:rsidRPr="004C1013">
        <w:tab/>
      </w:r>
      <w:r>
        <w:t>Priemerné ročné náklady systémov ETC (základný scenár, subscenár A, subscenár B)</w:t>
      </w:r>
      <w:bookmarkEnd w:id="209"/>
    </w:p>
    <w:p w:rsidR="000E1653" w:rsidRDefault="006F7C1D">
      <w:pPr>
        <w:pStyle w:val="Normaltext"/>
        <w:spacing w:line="276" w:lineRule="auto"/>
      </w:pPr>
      <w:r>
        <w:t xml:space="preserve">Trend vývoja nákladov systémov ETC v jednotlivých štátoch je počas prevádzkového obdobia rôznorodý. V prípade SR (SkyToll, a.s.), ČR a PL je zrejmé splatenie investičných nákladov systému súvisiacich s jeho vybudovaním v prvých rokoch prevádzky. V Nemecku je tento trend tiež </w:t>
      </w:r>
      <w:r w:rsidRPr="00F25694">
        <w:t>evidentný</w:t>
      </w:r>
      <w:r>
        <w:t xml:space="preserve">, pričom nárast nákladov v 8. a 9. roku prevádzky súvisel predovšetkým s rozšírením siete o takmer 1000 km. </w:t>
      </w:r>
    </w:p>
    <w:p w:rsidR="0068094D" w:rsidRDefault="006B1C25" w:rsidP="0068094D">
      <w:r>
        <w:t xml:space="preserve">Poradie štátov podľa preferovanej minimálnej hodnoty priemerných ročných nákladov je znázornené v nasledujúcej tabuľke </w:t>
      </w:r>
      <w:r w:rsidR="00FC227B">
        <w:t>(</w:t>
      </w:r>
      <w:r w:rsidR="00AE5B8A">
        <w:fldChar w:fldCharType="begin"/>
      </w:r>
      <w:r w:rsidR="00FC227B">
        <w:instrText xml:space="preserve"> REF _Ref23785741 \h </w:instrText>
      </w:r>
      <w:r w:rsidR="00AE5B8A">
        <w:fldChar w:fldCharType="separate"/>
      </w:r>
      <w:r w:rsidR="001E4C1C">
        <w:t xml:space="preserve">Tab.  </w:t>
      </w:r>
      <w:r w:rsidR="001E4C1C">
        <w:rPr>
          <w:noProof/>
        </w:rPr>
        <w:t>2</w:t>
      </w:r>
      <w:r w:rsidR="001E4C1C">
        <w:noBreakHyphen/>
      </w:r>
      <w:r w:rsidR="001E4C1C">
        <w:rPr>
          <w:noProof/>
        </w:rPr>
        <w:t>5</w:t>
      </w:r>
      <w:r w:rsidR="00AE5B8A">
        <w:fldChar w:fldCharType="end"/>
      </w:r>
      <w:r w:rsidR="00FC227B">
        <w:t xml:space="preserve">). </w:t>
      </w:r>
      <w:r w:rsidR="0032353B">
        <w:t>Za sledované deväťročné obdobie prevádzky systémov ETC sú priemerné ročné náklady slovenského systému takmer 6,5-násobne nižšie ako v</w:t>
      </w:r>
      <w:r w:rsidR="00AA533C">
        <w:t> </w:t>
      </w:r>
      <w:r w:rsidR="0032353B">
        <w:t>Nemecku</w:t>
      </w:r>
      <w:r w:rsidR="00AA533C">
        <w:t xml:space="preserve"> a </w:t>
      </w:r>
      <w:r w:rsidR="0032353B">
        <w:t xml:space="preserve">približne 1,3-násobne nižšie ako v Českej republike, Rakúsku a Poľsku </w:t>
      </w:r>
      <w:bookmarkStart w:id="210" w:name="_Ref21710450"/>
      <w:r w:rsidR="00FC227B">
        <w:t>(</w:t>
      </w:r>
      <w:r w:rsidR="00AE5B8A">
        <w:fldChar w:fldCharType="begin"/>
      </w:r>
      <w:r w:rsidR="00FC227B">
        <w:instrText xml:space="preserve"> REF _Ref23785741 \h </w:instrText>
      </w:r>
      <w:r w:rsidR="00AE5B8A">
        <w:fldChar w:fldCharType="separate"/>
      </w:r>
      <w:r w:rsidR="001E4C1C">
        <w:t xml:space="preserve">Tab.  </w:t>
      </w:r>
      <w:r w:rsidR="001E4C1C">
        <w:rPr>
          <w:noProof/>
        </w:rPr>
        <w:t>2</w:t>
      </w:r>
      <w:r w:rsidR="001E4C1C">
        <w:noBreakHyphen/>
      </w:r>
      <w:r w:rsidR="001E4C1C">
        <w:rPr>
          <w:noProof/>
        </w:rPr>
        <w:t>5</w:t>
      </w:r>
      <w:r w:rsidR="00AE5B8A">
        <w:fldChar w:fldCharType="end"/>
      </w:r>
      <w:r w:rsidR="00FC227B">
        <w:t xml:space="preserve">). </w:t>
      </w:r>
    </w:p>
    <w:p w:rsidR="00AB6DA4" w:rsidRDefault="00AB6DA4" w:rsidP="006B1C25">
      <w:pPr>
        <w:pStyle w:val="tabstyl"/>
      </w:pPr>
      <w:bookmarkStart w:id="211" w:name="_Ref23785741"/>
      <w:bookmarkStart w:id="212" w:name="_Toc36664488"/>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5</w:t>
      </w:r>
      <w:r w:rsidR="00C40D3F">
        <w:rPr>
          <w:noProof/>
        </w:rPr>
        <w:fldChar w:fldCharType="end"/>
      </w:r>
      <w:bookmarkEnd w:id="210"/>
      <w:bookmarkEnd w:id="211"/>
      <w:r>
        <w:tab/>
        <w:t>Sumarizácia výsledkov komparácie nominálnej priemernej ročnej výšky nákladov systémov ETC</w:t>
      </w:r>
      <w:bookmarkEnd w:id="212"/>
      <w:r>
        <w:t xml:space="preserve"> </w:t>
      </w:r>
    </w:p>
    <w:tbl>
      <w:tblPr>
        <w:tblStyle w:val="tabulkaVUD"/>
        <w:tblW w:w="5000" w:type="pct"/>
        <w:tblLook w:val="04A0" w:firstRow="1" w:lastRow="0" w:firstColumn="1" w:lastColumn="0" w:noHBand="0" w:noVBand="1"/>
      </w:tblPr>
      <w:tblGrid>
        <w:gridCol w:w="1732"/>
        <w:gridCol w:w="2407"/>
        <w:gridCol w:w="2552"/>
        <w:gridCol w:w="2720"/>
      </w:tblGrid>
      <w:tr w:rsidR="00AB6DA4" w:rsidTr="009505B2">
        <w:trPr>
          <w:cnfStyle w:val="100000000000" w:firstRow="1" w:lastRow="0" w:firstColumn="0" w:lastColumn="0" w:oddVBand="0" w:evenVBand="0" w:oddHBand="0" w:evenHBand="0" w:firstRowFirstColumn="0" w:firstRowLastColumn="0" w:lastRowFirstColumn="0" w:lastRowLastColumn="0"/>
          <w:trHeight w:val="440"/>
        </w:trPr>
        <w:tc>
          <w:tcPr>
            <w:tcW w:w="920" w:type="pct"/>
          </w:tcPr>
          <w:p w:rsidR="00AB6DA4" w:rsidRDefault="00AB6DA4" w:rsidP="009B2509"/>
        </w:tc>
        <w:tc>
          <w:tcPr>
            <w:tcW w:w="1279" w:type="pct"/>
          </w:tcPr>
          <w:p w:rsidR="00AB6DA4" w:rsidRDefault="00AB6DA4" w:rsidP="009D58D5">
            <w:pPr>
              <w:pStyle w:val="zahltab"/>
            </w:pPr>
            <w:r>
              <w:t>Základný scenár</w:t>
            </w:r>
          </w:p>
        </w:tc>
        <w:tc>
          <w:tcPr>
            <w:tcW w:w="1356" w:type="pct"/>
          </w:tcPr>
          <w:p w:rsidR="00AB6DA4" w:rsidRDefault="00AB6DA4" w:rsidP="009D58D5">
            <w:pPr>
              <w:pStyle w:val="zahltab"/>
            </w:pPr>
            <w:r>
              <w:t>Subscenár A</w:t>
            </w:r>
          </w:p>
        </w:tc>
        <w:tc>
          <w:tcPr>
            <w:tcW w:w="1445" w:type="pct"/>
          </w:tcPr>
          <w:p w:rsidR="00AB6DA4" w:rsidRDefault="00AB6DA4" w:rsidP="009D58D5">
            <w:pPr>
              <w:pStyle w:val="zahltab"/>
            </w:pPr>
            <w:r>
              <w:t>Subscenár B</w:t>
            </w:r>
          </w:p>
        </w:tc>
      </w:tr>
      <w:tr w:rsidR="00AB6DA4" w:rsidTr="00AB6DA4">
        <w:tc>
          <w:tcPr>
            <w:tcW w:w="920" w:type="pct"/>
            <w:shd w:val="clear" w:color="auto" w:fill="7F7F7F" w:themeFill="text1" w:themeFillTint="80"/>
          </w:tcPr>
          <w:p w:rsidR="00AB6DA4" w:rsidRPr="00AB6DA4" w:rsidRDefault="00AA59D2" w:rsidP="009B2509">
            <w:pPr>
              <w:pStyle w:val="tabbielystyl"/>
              <w:jc w:val="left"/>
              <w:rPr>
                <w:b/>
                <w:color w:val="FFFFFF" w:themeColor="background1"/>
              </w:rPr>
            </w:pPr>
            <w:r>
              <w:rPr>
                <w:b/>
                <w:color w:val="FFFFFF" w:themeColor="background1"/>
              </w:rPr>
              <w:t>Požiadavka</w:t>
            </w:r>
          </w:p>
        </w:tc>
        <w:tc>
          <w:tcPr>
            <w:tcW w:w="4080" w:type="pct"/>
            <w:gridSpan w:val="3"/>
          </w:tcPr>
          <w:p w:rsidR="00AB6DA4" w:rsidRPr="00254390" w:rsidRDefault="00AB6DA4" w:rsidP="009B2509">
            <w:pPr>
              <w:pStyle w:val="tabbielystyl"/>
              <w:jc w:val="center"/>
              <w:rPr>
                <w:b/>
              </w:rPr>
            </w:pPr>
            <w:r w:rsidRPr="00254390">
              <w:rPr>
                <w:b/>
              </w:rPr>
              <w:t>min. hodnota ukazovateľa</w:t>
            </w:r>
          </w:p>
        </w:tc>
      </w:tr>
      <w:tr w:rsidR="00AB6DA4" w:rsidTr="009505B2">
        <w:tc>
          <w:tcPr>
            <w:tcW w:w="920" w:type="pct"/>
            <w:shd w:val="clear" w:color="auto" w:fill="7F7F7F" w:themeFill="text1" w:themeFillTint="80"/>
          </w:tcPr>
          <w:p w:rsidR="00AB6DA4" w:rsidRPr="00AB6DA4" w:rsidRDefault="00AB6DA4" w:rsidP="009B2509">
            <w:pPr>
              <w:pStyle w:val="tabbielystyl"/>
              <w:jc w:val="left"/>
              <w:rPr>
                <w:b/>
                <w:color w:val="FFFFFF" w:themeColor="background1"/>
              </w:rPr>
            </w:pPr>
            <w:r w:rsidRPr="00AB6DA4">
              <w:rPr>
                <w:b/>
                <w:color w:val="FFFFFF" w:themeColor="background1"/>
              </w:rPr>
              <w:t xml:space="preserve">Najnižšia hodnota ukazovateľa   </w:t>
            </w:r>
          </w:p>
        </w:tc>
        <w:tc>
          <w:tcPr>
            <w:tcW w:w="1279" w:type="pct"/>
          </w:tcPr>
          <w:p w:rsidR="00AB6DA4" w:rsidRPr="00254390" w:rsidRDefault="00AB6DA4" w:rsidP="00AB6DA4">
            <w:pPr>
              <w:pStyle w:val="tabbielystyl"/>
              <w:jc w:val="left"/>
              <w:rPr>
                <w:b/>
              </w:rPr>
            </w:pPr>
            <w:r w:rsidRPr="00254390">
              <w:rPr>
                <w:b/>
              </w:rPr>
              <w:t xml:space="preserve">Slovensko </w:t>
            </w:r>
          </w:p>
          <w:p w:rsidR="00AB6DA4" w:rsidRPr="00254390" w:rsidRDefault="00AB6DA4" w:rsidP="00AB6DA4">
            <w:pPr>
              <w:pStyle w:val="tabbielystyl"/>
              <w:jc w:val="left"/>
              <w:rPr>
                <w:b/>
              </w:rPr>
            </w:pPr>
            <w:r w:rsidRPr="00254390">
              <w:rPr>
                <w:b/>
              </w:rPr>
              <w:t>(SkyToll: 88 mil. €)</w:t>
            </w:r>
          </w:p>
          <w:p w:rsidR="00AB6DA4" w:rsidRPr="00254390" w:rsidRDefault="00AB6DA4" w:rsidP="00AB6DA4">
            <w:pPr>
              <w:pStyle w:val="tabbielystyl"/>
              <w:jc w:val="left"/>
              <w:rPr>
                <w:b/>
              </w:rPr>
            </w:pPr>
            <w:r w:rsidRPr="00254390">
              <w:rPr>
                <w:b/>
              </w:rPr>
              <w:t>(NDS: 93 mil. €)</w:t>
            </w:r>
          </w:p>
        </w:tc>
        <w:tc>
          <w:tcPr>
            <w:tcW w:w="1356" w:type="pct"/>
          </w:tcPr>
          <w:p w:rsidR="00AB6DA4" w:rsidRPr="00254390" w:rsidRDefault="00AB6DA4" w:rsidP="00AB6DA4">
            <w:pPr>
              <w:pStyle w:val="tabbielystyl"/>
              <w:jc w:val="left"/>
              <w:rPr>
                <w:b/>
              </w:rPr>
            </w:pPr>
            <w:r w:rsidRPr="00254390">
              <w:rPr>
                <w:b/>
              </w:rPr>
              <w:t xml:space="preserve">Slovensko </w:t>
            </w:r>
          </w:p>
          <w:p w:rsidR="00AB6DA4" w:rsidRPr="00254390" w:rsidRDefault="00AB6DA4" w:rsidP="00AB6DA4">
            <w:pPr>
              <w:pStyle w:val="tabbielystyl"/>
              <w:jc w:val="left"/>
              <w:rPr>
                <w:b/>
              </w:rPr>
            </w:pPr>
            <w:r w:rsidRPr="00254390">
              <w:rPr>
                <w:b/>
              </w:rPr>
              <w:t>(SkyToll: 101 mil. €)</w:t>
            </w:r>
          </w:p>
          <w:p w:rsidR="00AB6DA4" w:rsidRPr="00254390" w:rsidRDefault="00AB6DA4" w:rsidP="00AB6DA4">
            <w:pPr>
              <w:pStyle w:val="tabbielystyl"/>
              <w:jc w:val="left"/>
              <w:rPr>
                <w:b/>
              </w:rPr>
            </w:pPr>
            <w:r w:rsidRPr="00254390">
              <w:rPr>
                <w:b/>
              </w:rPr>
              <w:t>(NDS: 87 mil. €)</w:t>
            </w:r>
          </w:p>
        </w:tc>
        <w:tc>
          <w:tcPr>
            <w:tcW w:w="1445" w:type="pct"/>
          </w:tcPr>
          <w:p w:rsidR="00AB6DA4" w:rsidRPr="00254390" w:rsidRDefault="00AB6DA4" w:rsidP="00AB6DA4">
            <w:pPr>
              <w:pStyle w:val="tabbielystyl"/>
              <w:jc w:val="left"/>
              <w:rPr>
                <w:b/>
              </w:rPr>
            </w:pPr>
            <w:r w:rsidRPr="00254390">
              <w:rPr>
                <w:b/>
              </w:rPr>
              <w:t>Slovensko (SkyToll: 71mil. €)</w:t>
            </w:r>
          </w:p>
        </w:tc>
      </w:tr>
      <w:tr w:rsidR="00AB6DA4" w:rsidTr="009505B2">
        <w:tc>
          <w:tcPr>
            <w:tcW w:w="920" w:type="pct"/>
            <w:shd w:val="clear" w:color="auto" w:fill="7F7F7F" w:themeFill="text1" w:themeFillTint="80"/>
          </w:tcPr>
          <w:p w:rsidR="00AB6DA4" w:rsidRPr="00AB6DA4" w:rsidRDefault="00AB6DA4" w:rsidP="009B2509">
            <w:pPr>
              <w:pStyle w:val="tabbielystyl"/>
              <w:jc w:val="left"/>
              <w:rPr>
                <w:b/>
                <w:color w:val="FFFFFF" w:themeColor="background1"/>
              </w:rPr>
            </w:pPr>
            <w:r w:rsidRPr="00AB6DA4">
              <w:rPr>
                <w:b/>
                <w:color w:val="FFFFFF" w:themeColor="background1"/>
              </w:rPr>
              <w:t>Najvyššia hodnota ukazovateľa</w:t>
            </w:r>
          </w:p>
        </w:tc>
        <w:tc>
          <w:tcPr>
            <w:tcW w:w="1279" w:type="pct"/>
          </w:tcPr>
          <w:p w:rsidR="00AB6DA4" w:rsidRDefault="00AB6DA4" w:rsidP="00AB6DA4">
            <w:pPr>
              <w:pStyle w:val="tabbielystyl"/>
              <w:jc w:val="left"/>
            </w:pPr>
            <w:r>
              <w:t xml:space="preserve">Nemecko (553 mil. €) </w:t>
            </w:r>
          </w:p>
        </w:tc>
        <w:tc>
          <w:tcPr>
            <w:tcW w:w="1356" w:type="pct"/>
          </w:tcPr>
          <w:p w:rsidR="00AB6DA4" w:rsidRDefault="00AB6DA4" w:rsidP="00AB6DA4">
            <w:pPr>
              <w:pStyle w:val="tabbielystyl"/>
              <w:jc w:val="left"/>
            </w:pPr>
            <w:r>
              <w:t>Nemecko (568 mil. €)</w:t>
            </w:r>
          </w:p>
        </w:tc>
        <w:tc>
          <w:tcPr>
            <w:tcW w:w="1445" w:type="pct"/>
          </w:tcPr>
          <w:p w:rsidR="00AB6DA4" w:rsidRDefault="00AB6DA4" w:rsidP="00AB6DA4">
            <w:pPr>
              <w:pStyle w:val="tabbielystyl"/>
              <w:jc w:val="left"/>
            </w:pPr>
            <w:r>
              <w:t>Nemecko (536 mil. €)</w:t>
            </w:r>
          </w:p>
        </w:tc>
      </w:tr>
      <w:tr w:rsidR="00AA59D2" w:rsidTr="009505B2">
        <w:trPr>
          <w:trHeight w:val="1692"/>
        </w:trPr>
        <w:tc>
          <w:tcPr>
            <w:tcW w:w="920" w:type="pct"/>
            <w:shd w:val="clear" w:color="auto" w:fill="7F7F7F" w:themeFill="text1" w:themeFillTint="80"/>
          </w:tcPr>
          <w:p w:rsidR="00AA59D2" w:rsidRPr="00AB6DA4" w:rsidRDefault="00AA59D2" w:rsidP="0074425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279" w:type="pct"/>
          </w:tcPr>
          <w:p w:rsidR="00AA59D2" w:rsidRPr="00254390" w:rsidRDefault="00AA59D2" w:rsidP="009B2509">
            <w:pPr>
              <w:pStyle w:val="tabbielystyl"/>
              <w:jc w:val="left"/>
              <w:rPr>
                <w:b/>
              </w:rPr>
            </w:pPr>
            <w:r w:rsidRPr="00254390">
              <w:rPr>
                <w:b/>
              </w:rPr>
              <w:t>1. Slovensko (88-93 mil. €)</w:t>
            </w:r>
          </w:p>
          <w:p w:rsidR="00AA59D2" w:rsidRDefault="00AA59D2" w:rsidP="009B2509">
            <w:pPr>
              <w:pStyle w:val="tabbielystyl"/>
              <w:jc w:val="left"/>
            </w:pPr>
            <w:r>
              <w:t>2. Česká republika (96 mil. €)</w:t>
            </w:r>
          </w:p>
          <w:p w:rsidR="00AA59D2" w:rsidRDefault="00AA59D2" w:rsidP="009B2509">
            <w:pPr>
              <w:pStyle w:val="tabbielystyl"/>
              <w:jc w:val="left"/>
            </w:pPr>
            <w:r>
              <w:t>3. Rakúsko (114 mil. €)</w:t>
            </w:r>
          </w:p>
          <w:p w:rsidR="00AA59D2" w:rsidRDefault="00AA59D2" w:rsidP="009B2509">
            <w:pPr>
              <w:pStyle w:val="tabbielystyl"/>
              <w:jc w:val="left"/>
            </w:pPr>
            <w:r>
              <w:t>4. Poľsko (117 mil. €)</w:t>
            </w:r>
          </w:p>
          <w:p w:rsidR="00AA59D2" w:rsidRDefault="00AA59D2" w:rsidP="009B2509">
            <w:pPr>
              <w:pStyle w:val="tabbielystyl"/>
              <w:jc w:val="left"/>
            </w:pPr>
            <w:r>
              <w:t>5. Nemecko (553 mil. €)</w:t>
            </w:r>
          </w:p>
        </w:tc>
        <w:tc>
          <w:tcPr>
            <w:tcW w:w="1356" w:type="pct"/>
          </w:tcPr>
          <w:p w:rsidR="00AA59D2" w:rsidRPr="00254390" w:rsidRDefault="00AA59D2" w:rsidP="00AB6DA4">
            <w:pPr>
              <w:pStyle w:val="tabbielystyl"/>
              <w:jc w:val="left"/>
              <w:rPr>
                <w:b/>
              </w:rPr>
            </w:pPr>
            <w:r w:rsidRPr="00254390">
              <w:rPr>
                <w:b/>
              </w:rPr>
              <w:t>1. Slovensko (87-101 mil. €)</w:t>
            </w:r>
          </w:p>
          <w:p w:rsidR="00AA59D2" w:rsidRDefault="00AA59D2" w:rsidP="00AB6DA4">
            <w:pPr>
              <w:pStyle w:val="tabbielystyl"/>
              <w:jc w:val="left"/>
            </w:pPr>
            <w:r>
              <w:t>2. Rakúsko (107 mil. €)</w:t>
            </w:r>
          </w:p>
          <w:p w:rsidR="00AA59D2" w:rsidRDefault="00AA59D2" w:rsidP="00AB6DA4">
            <w:pPr>
              <w:pStyle w:val="tabbielystyl"/>
              <w:jc w:val="left"/>
            </w:pPr>
            <w:r>
              <w:t>3. Česká republika (120 mil. €)</w:t>
            </w:r>
          </w:p>
          <w:p w:rsidR="00AA59D2" w:rsidRDefault="00AA59D2" w:rsidP="00AB6DA4">
            <w:pPr>
              <w:pStyle w:val="tabbielystyl"/>
              <w:jc w:val="left"/>
            </w:pPr>
            <w:r>
              <w:t>4. Poľsko (131 mil. €)</w:t>
            </w:r>
          </w:p>
          <w:p w:rsidR="00AA59D2" w:rsidRDefault="00AA59D2" w:rsidP="00AB6DA4">
            <w:pPr>
              <w:pStyle w:val="tabbielystyl"/>
              <w:jc w:val="left"/>
            </w:pPr>
            <w:r>
              <w:t>5. Nemecko (568 mil. €)</w:t>
            </w:r>
          </w:p>
        </w:tc>
        <w:tc>
          <w:tcPr>
            <w:tcW w:w="1445" w:type="pct"/>
          </w:tcPr>
          <w:p w:rsidR="00AA59D2" w:rsidRPr="00254390" w:rsidRDefault="00AA59D2" w:rsidP="00AB6DA4">
            <w:pPr>
              <w:pStyle w:val="tabbielystyl"/>
              <w:jc w:val="left"/>
              <w:rPr>
                <w:b/>
              </w:rPr>
            </w:pPr>
            <w:r w:rsidRPr="00254390">
              <w:rPr>
                <w:b/>
              </w:rPr>
              <w:t>1. Slovensko (SkyToll: 71mil. €)</w:t>
            </w:r>
          </w:p>
          <w:p w:rsidR="00AA59D2" w:rsidRDefault="00AA59D2" w:rsidP="00AB6DA4">
            <w:pPr>
              <w:pStyle w:val="tabbielystyl"/>
              <w:jc w:val="left"/>
            </w:pPr>
            <w:r>
              <w:t>2. Česká republika (74 mil. €)</w:t>
            </w:r>
          </w:p>
          <w:p w:rsidR="00AA59D2" w:rsidRDefault="00AA59D2" w:rsidP="00AB6DA4">
            <w:pPr>
              <w:pStyle w:val="tabbielystyl"/>
              <w:jc w:val="left"/>
            </w:pPr>
            <w:r>
              <w:t>3. Poľsko (92mil. €)</w:t>
            </w:r>
          </w:p>
          <w:p w:rsidR="00AA59D2" w:rsidRPr="00254390" w:rsidRDefault="00AA59D2" w:rsidP="00AB6DA4">
            <w:pPr>
              <w:pStyle w:val="tabbielystyl"/>
              <w:jc w:val="left"/>
              <w:rPr>
                <w:b/>
              </w:rPr>
            </w:pPr>
            <w:r w:rsidRPr="00254390">
              <w:rPr>
                <w:b/>
              </w:rPr>
              <w:t>4. Slovensko (NDS: 97 mil. €)</w:t>
            </w:r>
          </w:p>
          <w:p w:rsidR="00AA59D2" w:rsidRDefault="00AA59D2" w:rsidP="00AB6DA4">
            <w:pPr>
              <w:pStyle w:val="tabbielystyl"/>
              <w:jc w:val="left"/>
            </w:pPr>
            <w:r>
              <w:t>5. Rakúsko (124 mil. €)</w:t>
            </w:r>
          </w:p>
          <w:p w:rsidR="00AA59D2" w:rsidRDefault="00AA59D2" w:rsidP="00AB6DA4">
            <w:pPr>
              <w:pStyle w:val="tabbielystyl"/>
              <w:jc w:val="left"/>
            </w:pPr>
            <w:r>
              <w:t>6. Nemecko (553 mil. €)</w:t>
            </w:r>
          </w:p>
        </w:tc>
      </w:tr>
      <w:tr w:rsidR="00AA59D2" w:rsidTr="009505B2">
        <w:tc>
          <w:tcPr>
            <w:tcW w:w="920" w:type="pct"/>
            <w:shd w:val="clear" w:color="auto" w:fill="7F7F7F" w:themeFill="text1" w:themeFillTint="80"/>
          </w:tcPr>
          <w:p w:rsidR="00AA59D2" w:rsidRPr="00AB6DA4" w:rsidRDefault="00AA59D2" w:rsidP="009B2509">
            <w:pPr>
              <w:pStyle w:val="tabbielystyl"/>
              <w:jc w:val="left"/>
              <w:rPr>
                <w:b/>
                <w:color w:val="FFFFFF" w:themeColor="background1"/>
              </w:rPr>
            </w:pPr>
            <w:r>
              <w:rPr>
                <w:b/>
                <w:color w:val="FFFFFF" w:themeColor="background1"/>
              </w:rPr>
              <w:t>Indexácia</w:t>
            </w:r>
          </w:p>
        </w:tc>
        <w:tc>
          <w:tcPr>
            <w:tcW w:w="1279" w:type="pct"/>
          </w:tcPr>
          <w:p w:rsidR="00AA59D2" w:rsidRDefault="00AA59D2" w:rsidP="009B2509">
            <w:pPr>
              <w:pStyle w:val="tabbielystyl"/>
              <w:jc w:val="left"/>
            </w:pPr>
            <w:r>
              <w:t>DE: 5,92- 6,29</w:t>
            </w:r>
          </w:p>
          <w:p w:rsidR="00AA59D2" w:rsidRDefault="00AA59D2" w:rsidP="009B2509">
            <w:pPr>
              <w:pStyle w:val="tabbielystyl"/>
              <w:jc w:val="left"/>
            </w:pPr>
            <w:r>
              <w:t>ČR: 1,03-1,06</w:t>
            </w:r>
          </w:p>
          <w:p w:rsidR="00AA59D2" w:rsidRDefault="00AA59D2" w:rsidP="009B2509">
            <w:pPr>
              <w:pStyle w:val="tabbielystyl"/>
              <w:jc w:val="left"/>
            </w:pPr>
            <w:r>
              <w:t xml:space="preserve"> AT:</w:t>
            </w:r>
            <w:r w:rsidRPr="00AB6DA4">
              <w:t xml:space="preserve"> </w:t>
            </w:r>
            <w:r>
              <w:t>1,22-1,30</w:t>
            </w:r>
          </w:p>
          <w:p w:rsidR="00AA59D2" w:rsidRDefault="00AA59D2" w:rsidP="00AB6DA4">
            <w:pPr>
              <w:pStyle w:val="tabbielystyl"/>
              <w:jc w:val="left"/>
            </w:pPr>
            <w:r>
              <w:t xml:space="preserve"> PL:</w:t>
            </w:r>
            <w:r w:rsidRPr="00AB6DA4">
              <w:t xml:space="preserve"> </w:t>
            </w:r>
            <w:r>
              <w:t>1,25-1,33</w:t>
            </w:r>
          </w:p>
        </w:tc>
        <w:tc>
          <w:tcPr>
            <w:tcW w:w="1356" w:type="pct"/>
          </w:tcPr>
          <w:p w:rsidR="00AA59D2" w:rsidRDefault="00AA59D2" w:rsidP="009B2509">
            <w:pPr>
              <w:pStyle w:val="tabbielystyl"/>
              <w:jc w:val="left"/>
            </w:pPr>
            <w:r>
              <w:t>DE: 5,6-6,54</w:t>
            </w:r>
          </w:p>
          <w:p w:rsidR="00AA59D2" w:rsidRDefault="00AA59D2" w:rsidP="009B2509">
            <w:pPr>
              <w:pStyle w:val="tabbielystyl"/>
              <w:jc w:val="left"/>
            </w:pPr>
            <w:r>
              <w:t>ČR: 1,19-1,39</w:t>
            </w:r>
          </w:p>
          <w:p w:rsidR="00AA59D2" w:rsidRDefault="00AA59D2" w:rsidP="009B2509">
            <w:pPr>
              <w:pStyle w:val="tabbielystyl"/>
              <w:jc w:val="left"/>
            </w:pPr>
            <w:r>
              <w:t xml:space="preserve"> AT:</w:t>
            </w:r>
            <w:r w:rsidRPr="00AB6DA4">
              <w:t xml:space="preserve"> </w:t>
            </w:r>
            <w:r>
              <w:t>1,06-1,23</w:t>
            </w:r>
          </w:p>
          <w:p w:rsidR="00AA59D2" w:rsidRDefault="00AA59D2" w:rsidP="0032353B">
            <w:pPr>
              <w:pStyle w:val="tabbielystyl"/>
              <w:jc w:val="left"/>
            </w:pPr>
            <w:r>
              <w:t xml:space="preserve"> PL:</w:t>
            </w:r>
            <w:r w:rsidRPr="00AB6DA4">
              <w:t xml:space="preserve"> </w:t>
            </w:r>
            <w:r>
              <w:t>1,29-1,25</w:t>
            </w:r>
          </w:p>
        </w:tc>
        <w:tc>
          <w:tcPr>
            <w:tcW w:w="1445" w:type="pct"/>
          </w:tcPr>
          <w:p w:rsidR="00AA59D2" w:rsidRDefault="00AA59D2" w:rsidP="009B2509">
            <w:pPr>
              <w:pStyle w:val="tabbielystyl"/>
              <w:jc w:val="left"/>
            </w:pPr>
            <w:r>
              <w:t>DE: 5,51-7,54</w:t>
            </w:r>
          </w:p>
          <w:p w:rsidR="00AA59D2" w:rsidRDefault="00AA59D2" w:rsidP="009B2509">
            <w:pPr>
              <w:pStyle w:val="tabbielystyl"/>
              <w:jc w:val="left"/>
            </w:pPr>
            <w:r>
              <w:t>ČR: 0,76-1,04</w:t>
            </w:r>
          </w:p>
          <w:p w:rsidR="00AA59D2" w:rsidRDefault="00AA59D2" w:rsidP="009B2509">
            <w:pPr>
              <w:pStyle w:val="tabbielystyl"/>
              <w:jc w:val="left"/>
            </w:pPr>
            <w:r>
              <w:t xml:space="preserve"> AT:</w:t>
            </w:r>
            <w:r w:rsidRPr="00AB6DA4">
              <w:t xml:space="preserve"> </w:t>
            </w:r>
            <w:r>
              <w:t>1,28-1,75</w:t>
            </w:r>
          </w:p>
          <w:p w:rsidR="00AA59D2" w:rsidRDefault="00AA59D2" w:rsidP="00AB6DA4">
            <w:pPr>
              <w:pStyle w:val="tabbielystyl"/>
              <w:jc w:val="left"/>
            </w:pPr>
            <w:r>
              <w:t xml:space="preserve"> PL: 0,95-1,29</w:t>
            </w:r>
          </w:p>
        </w:tc>
      </w:tr>
    </w:tbl>
    <w:p w:rsidR="006703FB" w:rsidRDefault="00792AAE" w:rsidP="006703FB">
      <w:pPr>
        <w:pStyle w:val="Nadpis2"/>
        <w:rPr>
          <w:rFonts w:asciiTheme="minorHAnsi" w:hAnsiTheme="minorHAnsi" w:cstheme="minorHAnsi"/>
        </w:rPr>
      </w:pPr>
      <w:bookmarkStart w:id="213" w:name="_Toc36664396"/>
      <w:bookmarkStart w:id="214" w:name="_Toc20687948"/>
      <w:r>
        <w:rPr>
          <w:rFonts w:asciiTheme="minorHAnsi" w:hAnsiTheme="minorHAnsi" w:cstheme="minorHAnsi"/>
        </w:rPr>
        <w:t>Základné</w:t>
      </w:r>
      <w:r w:rsidR="004054DF">
        <w:rPr>
          <w:rFonts w:asciiTheme="minorHAnsi" w:hAnsiTheme="minorHAnsi" w:cstheme="minorHAnsi"/>
        </w:rPr>
        <w:t xml:space="preserve"> </w:t>
      </w:r>
      <w:r w:rsidR="006703FB" w:rsidRPr="005C150D">
        <w:rPr>
          <w:rFonts w:asciiTheme="minorHAnsi" w:hAnsiTheme="minorHAnsi" w:cstheme="minorHAnsi"/>
        </w:rPr>
        <w:t>indikátor</w:t>
      </w:r>
      <w:r w:rsidR="0056221C">
        <w:rPr>
          <w:rFonts w:asciiTheme="minorHAnsi" w:hAnsiTheme="minorHAnsi" w:cstheme="minorHAnsi"/>
        </w:rPr>
        <w:t xml:space="preserve">y </w:t>
      </w:r>
      <w:r w:rsidR="006703FB" w:rsidRPr="005C150D">
        <w:rPr>
          <w:rFonts w:asciiTheme="minorHAnsi" w:hAnsiTheme="minorHAnsi" w:cstheme="minorHAnsi"/>
        </w:rPr>
        <w:t>efektívnosti systémov ETC</w:t>
      </w:r>
      <w:bookmarkEnd w:id="213"/>
      <w:r w:rsidR="006703FB" w:rsidRPr="005C150D">
        <w:rPr>
          <w:rFonts w:asciiTheme="minorHAnsi" w:hAnsiTheme="minorHAnsi" w:cstheme="minorHAnsi"/>
        </w:rPr>
        <w:t xml:space="preserve"> </w:t>
      </w:r>
      <w:bookmarkEnd w:id="214"/>
    </w:p>
    <w:p w:rsidR="001220A9" w:rsidRDefault="006D40C6" w:rsidP="000D5D13">
      <w:pPr>
        <w:pStyle w:val="Normaltext"/>
        <w:spacing w:line="276" w:lineRule="auto"/>
        <w:rPr>
          <w:rFonts w:asciiTheme="minorHAnsi" w:hAnsiTheme="minorHAnsi" w:cstheme="minorHAnsi"/>
        </w:rPr>
      </w:pPr>
      <w:r>
        <w:rPr>
          <w:rFonts w:asciiTheme="minorHAnsi" w:hAnsiTheme="minorHAnsi" w:cstheme="minorHAnsi"/>
        </w:rPr>
        <w:t xml:space="preserve">Pre hodnotenie efektívnosti akéhokoľvek systému alebo podniku sa v praxi využívajú dva základné ukazovatele – nákladová výnosnosť a nákladová efektívnosť. Ide o navzájom obrátené pomerové ukazovatele nákladov a výnosov. </w:t>
      </w:r>
    </w:p>
    <w:p w:rsidR="004054DF" w:rsidRDefault="00422F9F" w:rsidP="004054DF">
      <w:pPr>
        <w:pStyle w:val="Nadpis3"/>
      </w:pPr>
      <w:bookmarkStart w:id="215" w:name="_Toc36664397"/>
      <w:r>
        <w:t>N</w:t>
      </w:r>
      <w:r w:rsidR="002B66B5">
        <w:t>á</w:t>
      </w:r>
      <w:r w:rsidR="004054DF">
        <w:t>kladová výnosnosť systémov ETC</w:t>
      </w:r>
      <w:bookmarkEnd w:id="215"/>
    </w:p>
    <w:p w:rsidR="00A43068" w:rsidRDefault="00A43068" w:rsidP="009505B2">
      <w:pPr>
        <w:pStyle w:val="Normaltext"/>
        <w:spacing w:line="276" w:lineRule="auto"/>
        <w:rPr>
          <w:rFonts w:asciiTheme="minorHAnsi" w:hAnsiTheme="minorHAnsi" w:cstheme="minorHAnsi"/>
        </w:rPr>
      </w:pPr>
      <w:r>
        <w:rPr>
          <w:rFonts w:asciiTheme="minorHAnsi" w:hAnsiTheme="minorHAnsi" w:cstheme="minorHAnsi"/>
        </w:rPr>
        <w:t>Nákladová výnosnosť, resp. nákladovosť systému predstavuje</w:t>
      </w:r>
      <w:r w:rsidRPr="008B1002">
        <w:rPr>
          <w:rFonts w:asciiTheme="minorHAnsi" w:hAnsiTheme="minorHAnsi" w:cstheme="minorHAnsi"/>
        </w:rPr>
        <w:t xml:space="preserve"> </w:t>
      </w:r>
      <w:r>
        <w:rPr>
          <w:rFonts w:asciiTheme="minorHAnsi" w:hAnsiTheme="minorHAnsi" w:cstheme="minorHAnsi"/>
        </w:rPr>
        <w:t>podiel nákladov a výnosov (x 100% v percentuálnom vyjadrení) a stanovuje, koľko monetizovaných nákladov pripadá na jednotku výnosov:</w:t>
      </w:r>
    </w:p>
    <w:p w:rsidR="006F7C1D" w:rsidRPr="006F7C1D" w:rsidRDefault="006F7C1D" w:rsidP="009505B2">
      <w:pPr>
        <w:pStyle w:val="Normaltext"/>
        <w:spacing w:line="276" w:lineRule="auto"/>
        <w:rPr>
          <w:rFonts w:asciiTheme="minorHAnsi" w:hAnsiTheme="minorHAnsi" w:cstheme="minorHAnsi"/>
          <w:sz w:val="6"/>
          <w:szCs w:val="6"/>
        </w:rPr>
      </w:pPr>
    </w:p>
    <w:p w:rsidR="009505B2" w:rsidRDefault="00C40D3F" w:rsidP="00A43068">
      <w:pPr>
        <w:pStyle w:val="Normaltext"/>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nákladová výnosnosť</m:t>
              </m:r>
            </m:e>
            <m:sub>
              <m:r>
                <w:rPr>
                  <w:rFonts w:ascii="Cambria Math" w:hAnsi="Cambria Math" w:cstheme="minorHAnsi"/>
                </w:rPr>
                <m:t>r</m:t>
              </m:r>
            </m:sub>
          </m:sSub>
          <m:r>
            <w:rPr>
              <w:rFonts w:ascii="Cambria Math" w:hAnsi="Cambria Math" w:cstheme="minorHAnsi"/>
            </w:rPr>
            <m:t xml:space="preserve">= </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náklady</m:t>
                  </m:r>
                </m:e>
                <m:sub>
                  <m:r>
                    <w:rPr>
                      <w:rFonts w:ascii="Cambria Math" w:hAnsi="Cambria Math" w:cstheme="minorHAnsi"/>
                    </w:rPr>
                    <m:t>r</m:t>
                  </m:r>
                </m:sub>
              </m:sSub>
            </m:num>
            <m:den>
              <m:sSub>
                <m:sSubPr>
                  <m:ctrlPr>
                    <w:rPr>
                      <w:rFonts w:ascii="Cambria Math" w:hAnsi="Cambria Math" w:cstheme="minorHAnsi"/>
                      <w:i/>
                    </w:rPr>
                  </m:ctrlPr>
                </m:sSubPr>
                <m:e>
                  <m:r>
                    <w:rPr>
                      <w:rFonts w:ascii="Cambria Math" w:hAnsi="Cambria Math" w:cstheme="minorHAnsi"/>
                    </w:rPr>
                    <m:t>výnosy</m:t>
                  </m:r>
                </m:e>
                <m:sub>
                  <m:r>
                    <w:rPr>
                      <w:rFonts w:ascii="Cambria Math" w:hAnsi="Cambria Math" w:cstheme="minorHAnsi"/>
                    </w:rPr>
                    <m:t>r</m:t>
                  </m:r>
                </m:sub>
              </m:sSub>
            </m:den>
          </m:f>
          <m:r>
            <w:rPr>
              <w:rFonts w:ascii="Cambria Math" w:hAnsi="Cambria Math" w:cstheme="minorHAnsi"/>
            </w:rPr>
            <m:t xml:space="preserve"> ×100 (%)</m:t>
          </m:r>
        </m:oMath>
      </m:oMathPara>
    </w:p>
    <w:p w:rsidR="006F7C1D" w:rsidRPr="006F7C1D" w:rsidRDefault="006F7C1D" w:rsidP="006B1C25">
      <w:pPr>
        <w:rPr>
          <w:sz w:val="6"/>
          <w:szCs w:val="6"/>
        </w:rPr>
      </w:pPr>
    </w:p>
    <w:p w:rsidR="006B1C25" w:rsidRDefault="006B1C25" w:rsidP="006B1C25">
      <w:r>
        <w:t xml:space="preserve">V prípade nákladovej výnosnosti platí, čím sú náklady vyššie a výnosy nižšie, tým je nákladovosť systému vyššia a jeho efektívnosť nižšia a naopak. Základnou požiadavkou je teda minimálna hodnota indikátora.   </w:t>
      </w:r>
    </w:p>
    <w:p w:rsidR="00014AD2" w:rsidRDefault="00014AD2" w:rsidP="00014AD2">
      <w:pPr>
        <w:pStyle w:val="Normaltext"/>
      </w:pPr>
      <w:r w:rsidRPr="00014AD2">
        <w:rPr>
          <w:noProof/>
          <w:lang w:eastAsia="sk-SK"/>
        </w:rPr>
        <w:drawing>
          <wp:inline distT="0" distB="0" distL="0" distR="0">
            <wp:extent cx="5938284" cy="2199600"/>
            <wp:effectExtent l="0" t="0" r="5715" b="0"/>
            <wp:docPr id="34"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D35A61" w:rsidRDefault="00F40E79">
      <w:pPr>
        <w:pStyle w:val="Popis"/>
      </w:pPr>
      <w:bookmarkStart w:id="216" w:name="_Ref21710495"/>
      <w:bookmarkStart w:id="217" w:name="_Toc36664520"/>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11</w:t>
      </w:r>
      <w:r w:rsidR="00C40D3F">
        <w:rPr>
          <w:noProof/>
        </w:rPr>
        <w:fldChar w:fldCharType="end"/>
      </w:r>
      <w:bookmarkEnd w:id="216"/>
      <w:r w:rsidRPr="004C1013">
        <w:tab/>
      </w:r>
      <w:r>
        <w:t>Nákladová výnosnosť systémov ETC v prevádzkových rokoch (základný scenár: 1. -  9. rok)</w:t>
      </w:r>
      <w:bookmarkEnd w:id="217"/>
    </w:p>
    <w:p w:rsidR="006B1C25" w:rsidRPr="005C150D" w:rsidRDefault="006B1C25" w:rsidP="006B1C25">
      <w:pPr>
        <w:pStyle w:val="Normaltext"/>
        <w:keepNext/>
        <w:rPr>
          <w:rFonts w:asciiTheme="minorHAnsi" w:hAnsiTheme="minorHAnsi" w:cstheme="minorHAnsi"/>
        </w:rPr>
      </w:pPr>
      <w:r>
        <w:rPr>
          <w:noProof/>
          <w:lang w:eastAsia="sk-SK"/>
        </w:rPr>
        <w:drawing>
          <wp:inline distT="0" distB="0" distL="0" distR="0">
            <wp:extent cx="5938285" cy="1620000"/>
            <wp:effectExtent l="0" t="0" r="5715" b="0"/>
            <wp:docPr id="4"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Pr>
          <w:noProof/>
          <w:lang w:eastAsia="sk-SK"/>
        </w:rPr>
        <w:drawing>
          <wp:inline distT="0" distB="0" distL="0" distR="0">
            <wp:extent cx="5938285" cy="1620000"/>
            <wp:effectExtent l="0" t="0" r="5715" b="0"/>
            <wp:docPr id="5"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Pr>
          <w:noProof/>
          <w:lang w:eastAsia="sk-SK"/>
        </w:rPr>
        <w:drawing>
          <wp:inline distT="0" distB="0" distL="0" distR="0">
            <wp:extent cx="5938285" cy="1620000"/>
            <wp:effectExtent l="0" t="0" r="5715" b="0"/>
            <wp:docPr id="8"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6B1C25" w:rsidRPr="004C1013" w:rsidRDefault="006B1C25" w:rsidP="006B1C25">
      <w:pPr>
        <w:pStyle w:val="Popis"/>
      </w:pPr>
      <w:bookmarkStart w:id="218" w:name="_Ref21710571"/>
      <w:bookmarkStart w:id="219" w:name="_Toc36664521"/>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12</w:t>
      </w:r>
      <w:r w:rsidR="00C40D3F">
        <w:rPr>
          <w:noProof/>
        </w:rPr>
        <w:fldChar w:fldCharType="end"/>
      </w:r>
      <w:bookmarkEnd w:id="218"/>
      <w:r w:rsidRPr="004C1013">
        <w:tab/>
      </w:r>
      <w:r>
        <w:t>Priemerná ročná nákladová výnosnosť systémov ETC (základný scenár, subscenár A, subscenár B)</w:t>
      </w:r>
      <w:bookmarkEnd w:id="219"/>
    </w:p>
    <w:p w:rsidR="009261EF" w:rsidRDefault="009261EF" w:rsidP="009261EF">
      <w:pPr>
        <w:pStyle w:val="Normaltext"/>
        <w:spacing w:line="276" w:lineRule="auto"/>
      </w:pPr>
      <w:r>
        <w:t>Prehľad vývoja priemernej ročnej nákladovej výnosnosti systémov ETC počas deviatich rokov prevádzky systémov ETC znázorňuje nasledujúci obrázok (</w:t>
      </w:r>
      <w:r w:rsidR="00AE5B8A">
        <w:fldChar w:fldCharType="begin"/>
      </w:r>
      <w:r>
        <w:instrText xml:space="preserve"> REF _Ref21710495 \h </w:instrText>
      </w:r>
      <w:r w:rsidR="00AE5B8A">
        <w:fldChar w:fldCharType="separate"/>
      </w:r>
      <w:r w:rsidR="001E4C1C" w:rsidRPr="004C1013">
        <w:t xml:space="preserve">Obr. </w:t>
      </w:r>
      <w:r w:rsidR="001E4C1C">
        <w:rPr>
          <w:noProof/>
        </w:rPr>
        <w:t>2</w:t>
      </w:r>
      <w:r w:rsidR="001E4C1C">
        <w:noBreakHyphen/>
      </w:r>
      <w:r w:rsidR="001E4C1C">
        <w:rPr>
          <w:noProof/>
        </w:rPr>
        <w:t>11</w:t>
      </w:r>
      <w:r w:rsidR="00AE5B8A">
        <w:fldChar w:fldCharType="end"/>
      </w:r>
      <w:r>
        <w:t>). Priemerné hodnoty indikátora vyčíslené pre jednotlivé časové scenáre obdobia prevádzky zobrazuje obrázok (</w:t>
      </w:r>
      <w:r w:rsidR="00AE5B8A">
        <w:fldChar w:fldCharType="begin"/>
      </w:r>
      <w:r>
        <w:instrText xml:space="preserve"> REF _Ref21710571 \h </w:instrText>
      </w:r>
      <w:r w:rsidR="00AE5B8A">
        <w:fldChar w:fldCharType="separate"/>
      </w:r>
      <w:r w:rsidR="001E4C1C" w:rsidRPr="004C1013">
        <w:t xml:space="preserve">Obr. </w:t>
      </w:r>
      <w:r w:rsidR="001E4C1C">
        <w:rPr>
          <w:noProof/>
        </w:rPr>
        <w:t>2</w:t>
      </w:r>
      <w:r w:rsidR="001E4C1C">
        <w:noBreakHyphen/>
      </w:r>
      <w:r w:rsidR="001E4C1C">
        <w:rPr>
          <w:noProof/>
        </w:rPr>
        <w:t>12</w:t>
      </w:r>
      <w:r w:rsidR="00AE5B8A">
        <w:fldChar w:fldCharType="end"/>
      </w:r>
      <w:r>
        <w:t xml:space="preserve">). </w:t>
      </w:r>
    </w:p>
    <w:p w:rsidR="00AA064D" w:rsidRPr="00AA064D" w:rsidRDefault="006F7C1D" w:rsidP="00AB6DA4">
      <w:r>
        <w:t>V súvislosti so zvýšenými nákladmi systémov v prvých rokoch prevádzkového obdobia (splácanie prvotných investícií na vybudovanie systému) možno konštatovať postupné znižovanie nákladovosti systémov. Nákladová výnosnosť systému v Poľsku v prvých dvoch rokoch prevádzky prevyšujúca úroveň 100% zohľadňuje skutočnosť, že náklady systému v týchto rokoch prevádzky boli vyššie ako jeho výnosy.</w:t>
      </w:r>
      <w:r w:rsidR="00AB0A8C">
        <w:t xml:space="preserve"> </w:t>
      </w:r>
      <w:r w:rsidR="009719DB" w:rsidRPr="00AA064D">
        <w:t xml:space="preserve">Z porovnania nákladovosti systémov vyplýva </w:t>
      </w:r>
      <w:r w:rsidR="00AA064D" w:rsidRPr="00AA064D">
        <w:rPr>
          <w:b/>
        </w:rPr>
        <w:t>najnižšia efektívnosť poľského systému ETC</w:t>
      </w:r>
      <w:r w:rsidR="00AA064D">
        <w:rPr>
          <w:b/>
        </w:rPr>
        <w:t xml:space="preserve"> </w:t>
      </w:r>
      <w:r w:rsidR="00AA064D" w:rsidRPr="00AA064D">
        <w:rPr>
          <w:b/>
        </w:rPr>
        <w:t xml:space="preserve">v uvažovanom základnom scenári a subscenári A prevádzkového obdobia systému a najnižšia efektívnosť slovenského systému ETC v 5. až 9. roku prevádzky (subscenár B). </w:t>
      </w:r>
      <w:r w:rsidR="00AA064D" w:rsidRPr="00AA064D">
        <w:t xml:space="preserve">Naopak najvyššiu efektívnosť z hľadiska </w:t>
      </w:r>
      <w:r w:rsidR="00AA064D">
        <w:t>nákladovosti dosahuje rakúsky systém, poprípade systém ETC v Nemecku (vzhľadom na uvažované paušálne náklady rakúskeho systému vo výške 12% z výnosov).</w:t>
      </w:r>
      <w:r w:rsidR="00AD2C92">
        <w:t xml:space="preserve"> P</w:t>
      </w:r>
      <w:r w:rsidR="00A741C0">
        <w:t>oradie štáto</w:t>
      </w:r>
      <w:r w:rsidR="00AD2C92">
        <w:t xml:space="preserve">v z hľadiska efektívnosti a indexácia na báze SR je </w:t>
      </w:r>
      <w:r w:rsidR="00A741C0">
        <w:t xml:space="preserve">pre jednotlivé časové scenáre </w:t>
      </w:r>
      <w:r w:rsidR="00AD2C92">
        <w:t>uveden</w:t>
      </w:r>
      <w:r w:rsidR="00A741C0">
        <w:t>é</w:t>
      </w:r>
      <w:r w:rsidR="00AD2C92">
        <w:t xml:space="preserve"> v nasledujúcej tabuľke</w:t>
      </w:r>
      <w:r w:rsidR="00A97FA1">
        <w:t xml:space="preserve">. </w:t>
      </w:r>
      <w:r w:rsidR="00AD2C92">
        <w:t xml:space="preserve"> </w:t>
      </w:r>
    </w:p>
    <w:p w:rsidR="00AB6DA4" w:rsidRDefault="00AB6DA4" w:rsidP="00A97FA1">
      <w:pPr>
        <w:pStyle w:val="tabstyl"/>
        <w:spacing w:before="180"/>
      </w:pPr>
      <w:bookmarkStart w:id="220" w:name="_Ref21710544"/>
      <w:bookmarkStart w:id="221" w:name="_Toc36664489"/>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6</w:t>
      </w:r>
      <w:r w:rsidR="00C40D3F">
        <w:rPr>
          <w:noProof/>
        </w:rPr>
        <w:fldChar w:fldCharType="end"/>
      </w:r>
      <w:bookmarkEnd w:id="220"/>
      <w:r>
        <w:tab/>
        <w:t xml:space="preserve">Sumarizácia výsledkov komparácie </w:t>
      </w:r>
      <w:r w:rsidR="00405DB2">
        <w:t xml:space="preserve">priemernej ročnej </w:t>
      </w:r>
      <w:r>
        <w:t>nákladovej výnosnosti systémov ETC</w:t>
      </w:r>
      <w:bookmarkEnd w:id="221"/>
      <w:r>
        <w:t xml:space="preserve"> </w:t>
      </w:r>
    </w:p>
    <w:tbl>
      <w:tblPr>
        <w:tblStyle w:val="tabulkaVUD"/>
        <w:tblW w:w="5000" w:type="pct"/>
        <w:tblLook w:val="04A0" w:firstRow="1" w:lastRow="0" w:firstColumn="1" w:lastColumn="0" w:noHBand="0" w:noVBand="1"/>
      </w:tblPr>
      <w:tblGrid>
        <w:gridCol w:w="2350"/>
        <w:gridCol w:w="2351"/>
        <w:gridCol w:w="2355"/>
        <w:gridCol w:w="2355"/>
      </w:tblGrid>
      <w:tr w:rsidR="00AB6DA4" w:rsidTr="000D5D13">
        <w:trPr>
          <w:cnfStyle w:val="100000000000" w:firstRow="1" w:lastRow="0" w:firstColumn="0" w:lastColumn="0" w:oddVBand="0" w:evenVBand="0" w:oddHBand="0" w:evenHBand="0" w:firstRowFirstColumn="0" w:firstRowLastColumn="0" w:lastRowFirstColumn="0" w:lastRowLastColumn="0"/>
          <w:tblHeader/>
        </w:trPr>
        <w:tc>
          <w:tcPr>
            <w:tcW w:w="1249" w:type="pct"/>
          </w:tcPr>
          <w:p w:rsidR="00AB6DA4" w:rsidRDefault="00AB6DA4" w:rsidP="00AB6DA4"/>
        </w:tc>
        <w:tc>
          <w:tcPr>
            <w:tcW w:w="1249" w:type="pct"/>
          </w:tcPr>
          <w:p w:rsidR="00AB6DA4" w:rsidRDefault="00AB6DA4" w:rsidP="009D58D5">
            <w:pPr>
              <w:pStyle w:val="zahltab"/>
            </w:pPr>
            <w:r>
              <w:t>Základný scenár</w:t>
            </w:r>
          </w:p>
        </w:tc>
        <w:tc>
          <w:tcPr>
            <w:tcW w:w="1251" w:type="pct"/>
          </w:tcPr>
          <w:p w:rsidR="00AB6DA4" w:rsidRDefault="00AB6DA4" w:rsidP="009D58D5">
            <w:pPr>
              <w:pStyle w:val="zahltab"/>
            </w:pPr>
            <w:r>
              <w:t>Subscenár A</w:t>
            </w:r>
          </w:p>
        </w:tc>
        <w:tc>
          <w:tcPr>
            <w:tcW w:w="1251" w:type="pct"/>
          </w:tcPr>
          <w:p w:rsidR="00AB6DA4" w:rsidRDefault="00AB6DA4" w:rsidP="009D58D5">
            <w:pPr>
              <w:pStyle w:val="zahltab"/>
            </w:pPr>
            <w:r>
              <w:t>Subscenár B</w:t>
            </w:r>
          </w:p>
        </w:tc>
      </w:tr>
      <w:tr w:rsidR="00AB6DA4" w:rsidTr="009719DB">
        <w:trPr>
          <w:trHeight w:val="431"/>
        </w:trPr>
        <w:tc>
          <w:tcPr>
            <w:tcW w:w="1249" w:type="pct"/>
            <w:shd w:val="clear" w:color="auto" w:fill="7F7F7F" w:themeFill="text1" w:themeFillTint="80"/>
          </w:tcPr>
          <w:p w:rsidR="00AB6DA4" w:rsidRPr="00AB6DA4" w:rsidRDefault="00AA59D2" w:rsidP="00AB6DA4">
            <w:pPr>
              <w:pStyle w:val="tabbielystyl"/>
              <w:jc w:val="left"/>
              <w:rPr>
                <w:b/>
                <w:color w:val="FFFFFF" w:themeColor="background1"/>
              </w:rPr>
            </w:pPr>
            <w:r>
              <w:rPr>
                <w:b/>
                <w:color w:val="FFFFFF" w:themeColor="background1"/>
              </w:rPr>
              <w:t>Požiadavka</w:t>
            </w:r>
          </w:p>
        </w:tc>
        <w:tc>
          <w:tcPr>
            <w:tcW w:w="3751" w:type="pct"/>
            <w:gridSpan w:val="3"/>
          </w:tcPr>
          <w:p w:rsidR="00AB6DA4" w:rsidRPr="00254390" w:rsidRDefault="00AB6DA4" w:rsidP="00AB6DA4">
            <w:pPr>
              <w:pStyle w:val="tabbielystyl"/>
              <w:jc w:val="center"/>
              <w:rPr>
                <w:b/>
              </w:rPr>
            </w:pPr>
            <w:r w:rsidRPr="00254390">
              <w:rPr>
                <w:b/>
              </w:rPr>
              <w:t>min. hodnota ukazovateľa</w:t>
            </w:r>
          </w:p>
        </w:tc>
      </w:tr>
      <w:tr w:rsidR="00AB6DA4" w:rsidTr="00AB6DA4">
        <w:tc>
          <w:tcPr>
            <w:tcW w:w="1249" w:type="pct"/>
            <w:shd w:val="clear" w:color="auto" w:fill="7F7F7F" w:themeFill="text1" w:themeFillTint="80"/>
          </w:tcPr>
          <w:p w:rsidR="00AB6DA4" w:rsidRPr="00AB6DA4" w:rsidRDefault="00AB6DA4" w:rsidP="00AB6DA4">
            <w:pPr>
              <w:pStyle w:val="tabbielystyl"/>
              <w:jc w:val="left"/>
              <w:rPr>
                <w:b/>
                <w:color w:val="FFFFFF" w:themeColor="background1"/>
              </w:rPr>
            </w:pPr>
            <w:r w:rsidRPr="00AB6DA4">
              <w:rPr>
                <w:b/>
                <w:color w:val="FFFFFF" w:themeColor="background1"/>
              </w:rPr>
              <w:t xml:space="preserve">Najnižšia hodnota ukazovateľa   </w:t>
            </w:r>
          </w:p>
        </w:tc>
        <w:tc>
          <w:tcPr>
            <w:tcW w:w="1249" w:type="pct"/>
          </w:tcPr>
          <w:p w:rsidR="00AB6DA4" w:rsidRDefault="00AB6DA4" w:rsidP="00F71272">
            <w:pPr>
              <w:pStyle w:val="tabbielystyl"/>
              <w:jc w:val="left"/>
            </w:pPr>
            <w:r>
              <w:t>Rakúsko (12%)</w:t>
            </w:r>
          </w:p>
        </w:tc>
        <w:tc>
          <w:tcPr>
            <w:tcW w:w="1251" w:type="pct"/>
          </w:tcPr>
          <w:p w:rsidR="00AB6DA4" w:rsidRDefault="00AB6DA4" w:rsidP="00F71272">
            <w:pPr>
              <w:pStyle w:val="tabbielystyl"/>
              <w:jc w:val="left"/>
            </w:pPr>
            <w:r>
              <w:t>Rakúsko (12%)</w:t>
            </w:r>
          </w:p>
        </w:tc>
        <w:tc>
          <w:tcPr>
            <w:tcW w:w="1251" w:type="pct"/>
          </w:tcPr>
          <w:p w:rsidR="00AB6DA4" w:rsidRDefault="00AB6DA4" w:rsidP="00F71272">
            <w:pPr>
              <w:pStyle w:val="tabbielystyl"/>
              <w:jc w:val="left"/>
            </w:pPr>
            <w:r>
              <w:t>Rakúsko (12%)</w:t>
            </w:r>
          </w:p>
        </w:tc>
      </w:tr>
      <w:tr w:rsidR="00AB6DA4" w:rsidTr="00AB6DA4">
        <w:tc>
          <w:tcPr>
            <w:tcW w:w="1249" w:type="pct"/>
            <w:shd w:val="clear" w:color="auto" w:fill="7F7F7F" w:themeFill="text1" w:themeFillTint="80"/>
          </w:tcPr>
          <w:p w:rsidR="00AB6DA4" w:rsidRPr="00AB6DA4" w:rsidRDefault="00AB6DA4" w:rsidP="00AB6DA4">
            <w:pPr>
              <w:pStyle w:val="tabbielystyl"/>
              <w:jc w:val="left"/>
              <w:rPr>
                <w:b/>
                <w:color w:val="FFFFFF" w:themeColor="background1"/>
              </w:rPr>
            </w:pPr>
            <w:r w:rsidRPr="00AB6DA4">
              <w:rPr>
                <w:b/>
                <w:color w:val="FFFFFF" w:themeColor="background1"/>
              </w:rPr>
              <w:t>Najvyššia hodnota ukazovateľa</w:t>
            </w:r>
          </w:p>
        </w:tc>
        <w:tc>
          <w:tcPr>
            <w:tcW w:w="1249" w:type="pct"/>
          </w:tcPr>
          <w:p w:rsidR="00AB6DA4" w:rsidRDefault="00AB6DA4" w:rsidP="00F71272">
            <w:pPr>
              <w:pStyle w:val="tabbielystyl"/>
              <w:jc w:val="left"/>
            </w:pPr>
            <w:r>
              <w:t>Poľsko (58%)</w:t>
            </w:r>
          </w:p>
        </w:tc>
        <w:tc>
          <w:tcPr>
            <w:tcW w:w="1251" w:type="pct"/>
          </w:tcPr>
          <w:p w:rsidR="00AB6DA4" w:rsidRDefault="00AB6DA4" w:rsidP="00F71272">
            <w:pPr>
              <w:pStyle w:val="tabbielystyl"/>
              <w:jc w:val="left"/>
            </w:pPr>
            <w:r>
              <w:t>Poľsko (78%)</w:t>
            </w:r>
          </w:p>
        </w:tc>
        <w:tc>
          <w:tcPr>
            <w:tcW w:w="1251" w:type="pct"/>
          </w:tcPr>
          <w:p w:rsidR="00AB6DA4" w:rsidRPr="00020454" w:rsidRDefault="00AB6DA4" w:rsidP="00AB6DA4">
            <w:pPr>
              <w:pStyle w:val="tabbielystyl"/>
              <w:jc w:val="left"/>
              <w:rPr>
                <w:b/>
              </w:rPr>
            </w:pPr>
            <w:r w:rsidRPr="00020454">
              <w:rPr>
                <w:b/>
              </w:rPr>
              <w:t>Slovensko (36-50%)</w:t>
            </w:r>
          </w:p>
        </w:tc>
      </w:tr>
      <w:tr w:rsidR="00AA59D2" w:rsidTr="00AB6DA4">
        <w:tc>
          <w:tcPr>
            <w:tcW w:w="1249" w:type="pct"/>
            <w:shd w:val="clear" w:color="auto" w:fill="7F7F7F" w:themeFill="text1" w:themeFillTint="80"/>
          </w:tcPr>
          <w:p w:rsidR="00AA59D2" w:rsidRPr="00AB6DA4" w:rsidRDefault="00AA59D2" w:rsidP="0074425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249" w:type="pct"/>
          </w:tcPr>
          <w:p w:rsidR="00AA59D2" w:rsidRDefault="00AA59D2" w:rsidP="00AB6DA4">
            <w:pPr>
              <w:pStyle w:val="tabbielystyl"/>
              <w:jc w:val="left"/>
            </w:pPr>
            <w:r>
              <w:t>1. Rakúsko (12%)</w:t>
            </w:r>
          </w:p>
          <w:p w:rsidR="00AA59D2" w:rsidRDefault="00AA59D2" w:rsidP="00AB6DA4">
            <w:pPr>
              <w:pStyle w:val="tabbielystyl"/>
              <w:jc w:val="left"/>
            </w:pPr>
            <w:r>
              <w:t>2. Nemecko (15%)</w:t>
            </w:r>
          </w:p>
          <w:p w:rsidR="00AA59D2" w:rsidRDefault="00AA59D2" w:rsidP="00AB6DA4">
            <w:pPr>
              <w:pStyle w:val="tabbielystyl"/>
              <w:jc w:val="left"/>
            </w:pPr>
            <w:r>
              <w:t>3. Česká republika (36%)</w:t>
            </w:r>
          </w:p>
          <w:p w:rsidR="00AA59D2" w:rsidRPr="001C56AD" w:rsidRDefault="00AA59D2" w:rsidP="00AB6DA4">
            <w:pPr>
              <w:pStyle w:val="tabbielystyl"/>
              <w:jc w:val="left"/>
              <w:rPr>
                <w:b/>
              </w:rPr>
            </w:pPr>
            <w:r w:rsidRPr="001C56AD">
              <w:rPr>
                <w:b/>
              </w:rPr>
              <w:t>4. Slovensko (52-54%)</w:t>
            </w:r>
          </w:p>
          <w:p w:rsidR="00AA59D2" w:rsidRDefault="00AA59D2" w:rsidP="00AB6DA4">
            <w:pPr>
              <w:pStyle w:val="tabbielystyl"/>
              <w:jc w:val="left"/>
            </w:pPr>
            <w:r>
              <w:t>5. Poľsko (58%)</w:t>
            </w:r>
          </w:p>
        </w:tc>
        <w:tc>
          <w:tcPr>
            <w:tcW w:w="1251" w:type="pct"/>
          </w:tcPr>
          <w:p w:rsidR="00AA59D2" w:rsidRDefault="00AA59D2" w:rsidP="00AB6DA4">
            <w:pPr>
              <w:pStyle w:val="tabbielystyl"/>
              <w:jc w:val="left"/>
            </w:pPr>
            <w:r>
              <w:t>1. Rakúsko (12%)</w:t>
            </w:r>
          </w:p>
          <w:p w:rsidR="00AA59D2" w:rsidRDefault="00AA59D2" w:rsidP="00AB6DA4">
            <w:pPr>
              <w:pStyle w:val="tabbielystyl"/>
              <w:jc w:val="left"/>
            </w:pPr>
            <w:r>
              <w:t>2. Nemecko (17%)</w:t>
            </w:r>
          </w:p>
          <w:p w:rsidR="00AA59D2" w:rsidRDefault="00AA59D2" w:rsidP="00AB6DA4">
            <w:pPr>
              <w:pStyle w:val="tabbielystyl"/>
              <w:jc w:val="left"/>
            </w:pPr>
            <w:r>
              <w:t>3. Česká republika (50%)</w:t>
            </w:r>
          </w:p>
          <w:p w:rsidR="00AA59D2" w:rsidRPr="001C56AD" w:rsidRDefault="00AA59D2" w:rsidP="00AB6DA4">
            <w:pPr>
              <w:pStyle w:val="tabbielystyl"/>
              <w:jc w:val="left"/>
              <w:rPr>
                <w:b/>
              </w:rPr>
            </w:pPr>
            <w:r w:rsidRPr="001C56AD">
              <w:rPr>
                <w:b/>
              </w:rPr>
              <w:t>4. Slovensko (56-65%)</w:t>
            </w:r>
          </w:p>
          <w:p w:rsidR="00AA59D2" w:rsidRDefault="00AA59D2" w:rsidP="00AB6DA4">
            <w:pPr>
              <w:pStyle w:val="tabbielystyl"/>
              <w:jc w:val="left"/>
            </w:pPr>
            <w:r>
              <w:t>5. Poľsko (78%)</w:t>
            </w:r>
          </w:p>
        </w:tc>
        <w:tc>
          <w:tcPr>
            <w:tcW w:w="1251" w:type="pct"/>
          </w:tcPr>
          <w:p w:rsidR="00AA59D2" w:rsidRDefault="00AA59D2" w:rsidP="00AB6DA4">
            <w:pPr>
              <w:pStyle w:val="tabbielystyl"/>
              <w:jc w:val="left"/>
            </w:pPr>
            <w:r>
              <w:t>1. Rakúsko (12%)</w:t>
            </w:r>
          </w:p>
          <w:p w:rsidR="00AA59D2" w:rsidRDefault="00AA59D2" w:rsidP="00AB6DA4">
            <w:pPr>
              <w:pStyle w:val="tabbielystyl"/>
              <w:jc w:val="left"/>
            </w:pPr>
            <w:r>
              <w:t>2. Nemecko (12%)</w:t>
            </w:r>
          </w:p>
          <w:p w:rsidR="00AA59D2" w:rsidRDefault="00AA59D2" w:rsidP="00AB6DA4">
            <w:pPr>
              <w:pStyle w:val="tabbielystyl"/>
              <w:jc w:val="left"/>
            </w:pPr>
            <w:r>
              <w:t>3. Česká republika (22%)</w:t>
            </w:r>
          </w:p>
          <w:p w:rsidR="00AA59D2" w:rsidRDefault="00AA59D2" w:rsidP="00AB6DA4">
            <w:pPr>
              <w:pStyle w:val="tabbielystyl"/>
              <w:jc w:val="left"/>
            </w:pPr>
            <w:r>
              <w:t>4. Poľsko (25%)</w:t>
            </w:r>
          </w:p>
          <w:p w:rsidR="00AA59D2" w:rsidRPr="001C56AD" w:rsidRDefault="00AA59D2" w:rsidP="00AB6DA4">
            <w:pPr>
              <w:pStyle w:val="tabbielystyl"/>
              <w:jc w:val="left"/>
              <w:rPr>
                <w:b/>
              </w:rPr>
            </w:pPr>
            <w:r w:rsidRPr="001C56AD">
              <w:rPr>
                <w:b/>
              </w:rPr>
              <w:t>5. Slovensko (36-50%)</w:t>
            </w:r>
          </w:p>
        </w:tc>
      </w:tr>
      <w:tr w:rsidR="00AB6DA4" w:rsidTr="00AB6DA4">
        <w:tc>
          <w:tcPr>
            <w:tcW w:w="1249" w:type="pct"/>
            <w:shd w:val="clear" w:color="auto" w:fill="7F7F7F" w:themeFill="text1" w:themeFillTint="80"/>
          </w:tcPr>
          <w:p w:rsidR="00AB6DA4" w:rsidRPr="00AB6DA4" w:rsidRDefault="00AA59D2" w:rsidP="00AB6DA4">
            <w:pPr>
              <w:pStyle w:val="tabbielystyl"/>
              <w:jc w:val="left"/>
              <w:rPr>
                <w:b/>
                <w:color w:val="FFFFFF" w:themeColor="background1"/>
              </w:rPr>
            </w:pPr>
            <w:r>
              <w:rPr>
                <w:b/>
                <w:color w:val="FFFFFF" w:themeColor="background1"/>
              </w:rPr>
              <w:t>Indexácia</w:t>
            </w:r>
          </w:p>
        </w:tc>
        <w:tc>
          <w:tcPr>
            <w:tcW w:w="1249" w:type="pct"/>
          </w:tcPr>
          <w:p w:rsidR="00AB6DA4" w:rsidRDefault="00AB6DA4" w:rsidP="00AB6DA4">
            <w:pPr>
              <w:pStyle w:val="tabbielystyl"/>
              <w:jc w:val="left"/>
            </w:pPr>
            <w:r>
              <w:t>DE: 0,28-</w:t>
            </w:r>
            <w:r w:rsidRPr="00AB6DA4">
              <w:t>0,29</w:t>
            </w:r>
          </w:p>
          <w:p w:rsidR="00AB6DA4" w:rsidRDefault="00AB6DA4" w:rsidP="00AB6DA4">
            <w:pPr>
              <w:pStyle w:val="tabbielystyl"/>
              <w:jc w:val="left"/>
            </w:pPr>
            <w:r>
              <w:t>ČR: 0,68-</w:t>
            </w:r>
            <w:r w:rsidRPr="00AB6DA4">
              <w:t>0,70</w:t>
            </w:r>
          </w:p>
          <w:p w:rsidR="00AB6DA4" w:rsidRDefault="00AB6DA4" w:rsidP="00AB6DA4">
            <w:pPr>
              <w:pStyle w:val="tabbielystyl"/>
              <w:jc w:val="left"/>
            </w:pPr>
            <w:r>
              <w:t xml:space="preserve"> AT:</w:t>
            </w:r>
            <w:r w:rsidRPr="00AB6DA4">
              <w:t xml:space="preserve"> </w:t>
            </w:r>
            <w:r>
              <w:t>0,22-</w:t>
            </w:r>
            <w:r w:rsidRPr="00AB6DA4">
              <w:t>0,23</w:t>
            </w:r>
          </w:p>
          <w:p w:rsidR="00AB6DA4" w:rsidRDefault="00AB6DA4" w:rsidP="00AB6DA4">
            <w:pPr>
              <w:pStyle w:val="tabbielystyl"/>
              <w:jc w:val="left"/>
            </w:pPr>
            <w:r>
              <w:t xml:space="preserve"> PL:</w:t>
            </w:r>
            <w:r w:rsidRPr="00AB6DA4">
              <w:t xml:space="preserve"> </w:t>
            </w:r>
            <w:r>
              <w:t>1,08-</w:t>
            </w:r>
            <w:r w:rsidRPr="00AB6DA4">
              <w:t>1,12</w:t>
            </w:r>
          </w:p>
        </w:tc>
        <w:tc>
          <w:tcPr>
            <w:tcW w:w="1251" w:type="pct"/>
          </w:tcPr>
          <w:p w:rsidR="00AB6DA4" w:rsidRDefault="00AB6DA4" w:rsidP="009B2509">
            <w:pPr>
              <w:pStyle w:val="tabbielystyl"/>
              <w:jc w:val="left"/>
            </w:pPr>
            <w:r>
              <w:t xml:space="preserve">DE: </w:t>
            </w:r>
            <w:r w:rsidRPr="00AB6DA4">
              <w:t>0,27</w:t>
            </w:r>
            <w:r>
              <w:t>-0,31</w:t>
            </w:r>
          </w:p>
          <w:p w:rsidR="00AB6DA4" w:rsidRDefault="00AB6DA4" w:rsidP="009B2509">
            <w:pPr>
              <w:pStyle w:val="tabbielystyl"/>
              <w:jc w:val="left"/>
            </w:pPr>
            <w:r>
              <w:t xml:space="preserve">ČR: </w:t>
            </w:r>
            <w:r w:rsidRPr="00AB6DA4">
              <w:t>0,7</w:t>
            </w:r>
            <w:r>
              <w:t>7- 0,90</w:t>
            </w:r>
          </w:p>
          <w:p w:rsidR="00AB6DA4" w:rsidRDefault="00AB6DA4" w:rsidP="009B2509">
            <w:pPr>
              <w:pStyle w:val="tabbielystyl"/>
              <w:jc w:val="left"/>
            </w:pPr>
            <w:r>
              <w:t xml:space="preserve"> AT:</w:t>
            </w:r>
            <w:r w:rsidRPr="00AB6DA4">
              <w:t xml:space="preserve"> </w:t>
            </w:r>
            <w:r>
              <w:t>0,19-0,22</w:t>
            </w:r>
          </w:p>
          <w:p w:rsidR="00AB6DA4" w:rsidRDefault="00AB6DA4" w:rsidP="00AB6DA4">
            <w:pPr>
              <w:pStyle w:val="tabbielystyl"/>
              <w:jc w:val="left"/>
            </w:pPr>
            <w:r>
              <w:t xml:space="preserve"> PL:</w:t>
            </w:r>
            <w:r w:rsidRPr="00AB6DA4">
              <w:t xml:space="preserve"> </w:t>
            </w:r>
            <w:r>
              <w:t>1,21-1,40</w:t>
            </w:r>
          </w:p>
        </w:tc>
        <w:tc>
          <w:tcPr>
            <w:tcW w:w="1251" w:type="pct"/>
          </w:tcPr>
          <w:p w:rsidR="00AB6DA4" w:rsidRDefault="00AB6DA4" w:rsidP="00AB6DA4">
            <w:pPr>
              <w:pStyle w:val="tabbielystyl"/>
              <w:jc w:val="left"/>
            </w:pPr>
            <w:r>
              <w:t>DE: 0,24-0,33</w:t>
            </w:r>
          </w:p>
          <w:p w:rsidR="00AB6DA4" w:rsidRDefault="00AB6DA4" w:rsidP="00AB6DA4">
            <w:pPr>
              <w:pStyle w:val="tabbielystyl"/>
              <w:jc w:val="left"/>
            </w:pPr>
            <w:r>
              <w:t>ČR: 0,44-0,61</w:t>
            </w:r>
          </w:p>
          <w:p w:rsidR="00AB6DA4" w:rsidRDefault="00AB6DA4" w:rsidP="00AB6DA4">
            <w:pPr>
              <w:pStyle w:val="tabbielystyl"/>
              <w:jc w:val="left"/>
            </w:pPr>
            <w:r>
              <w:t xml:space="preserve"> AT:</w:t>
            </w:r>
            <w:r w:rsidRPr="00AB6DA4">
              <w:t xml:space="preserve"> </w:t>
            </w:r>
            <w:r>
              <w:t>0,24-0,33</w:t>
            </w:r>
          </w:p>
          <w:p w:rsidR="00AB6DA4" w:rsidRDefault="00AB6DA4" w:rsidP="00AB6DA4">
            <w:pPr>
              <w:pStyle w:val="tabbielystyl"/>
              <w:jc w:val="left"/>
            </w:pPr>
            <w:r>
              <w:t xml:space="preserve"> PL: 0,5</w:t>
            </w:r>
            <w:r w:rsidR="001C56AD">
              <w:t>0</w:t>
            </w:r>
            <w:r>
              <w:t>-0,69</w:t>
            </w:r>
          </w:p>
        </w:tc>
      </w:tr>
    </w:tbl>
    <w:p w:rsidR="006D40C6" w:rsidRDefault="00422F9F" w:rsidP="004054DF">
      <w:pPr>
        <w:pStyle w:val="Nadpis3"/>
      </w:pPr>
      <w:bookmarkStart w:id="222" w:name="_Toc36664398"/>
      <w:r>
        <w:t>N</w:t>
      </w:r>
      <w:r w:rsidR="002B66B5">
        <w:t>ákladová efektivnosť</w:t>
      </w:r>
      <w:r w:rsidR="006D40C6">
        <w:t xml:space="preserve"> systémov ETC</w:t>
      </w:r>
      <w:bookmarkEnd w:id="222"/>
    </w:p>
    <w:p w:rsidR="00A43068" w:rsidRDefault="00A43068" w:rsidP="00A43068">
      <w:pPr>
        <w:pStyle w:val="Normaltext"/>
        <w:spacing w:line="276" w:lineRule="auto"/>
        <w:rPr>
          <w:rFonts w:asciiTheme="minorHAnsi" w:hAnsiTheme="minorHAnsi" w:cstheme="minorHAnsi"/>
        </w:rPr>
      </w:pPr>
      <w:r>
        <w:rPr>
          <w:rFonts w:asciiTheme="minorHAnsi" w:hAnsiTheme="minorHAnsi" w:cstheme="minorHAnsi"/>
        </w:rPr>
        <w:t>Nákladová efektívnosť, resp. výnosovosť systému</w:t>
      </w:r>
      <w:r w:rsidRPr="008B1002">
        <w:rPr>
          <w:rFonts w:asciiTheme="minorHAnsi" w:hAnsiTheme="minorHAnsi" w:cstheme="minorHAnsi"/>
        </w:rPr>
        <w:t xml:space="preserve"> </w:t>
      </w:r>
      <w:r>
        <w:rPr>
          <w:rFonts w:asciiTheme="minorHAnsi" w:hAnsiTheme="minorHAnsi" w:cstheme="minorHAnsi"/>
        </w:rPr>
        <w:t>je vyjadrená</w:t>
      </w:r>
      <w:r w:rsidRPr="008B1002">
        <w:rPr>
          <w:rFonts w:asciiTheme="minorHAnsi" w:hAnsiTheme="minorHAnsi" w:cstheme="minorHAnsi"/>
        </w:rPr>
        <w:t xml:space="preserve"> </w:t>
      </w:r>
      <w:r>
        <w:rPr>
          <w:rFonts w:asciiTheme="minorHAnsi" w:hAnsiTheme="minorHAnsi" w:cstheme="minorHAnsi"/>
        </w:rPr>
        <w:t>podielom výnosov k nákladom (x 100 % v percentuálnom vyjadrení) a určuje, koľko peňažných jednotiek výnosov pripadá na jednotku nákladov. Vo výpočtoch je nákladová efektívnosť vyjadrená ako bezrozmerné číslo.</w:t>
      </w:r>
    </w:p>
    <w:p w:rsidR="006F7C1D" w:rsidRPr="006F7C1D" w:rsidRDefault="006F7C1D" w:rsidP="00A43068">
      <w:pPr>
        <w:pStyle w:val="Normaltext"/>
        <w:spacing w:line="276" w:lineRule="auto"/>
        <w:rPr>
          <w:rFonts w:asciiTheme="minorHAnsi" w:hAnsiTheme="minorHAnsi" w:cstheme="minorHAnsi"/>
          <w:sz w:val="6"/>
          <w:szCs w:val="6"/>
        </w:rPr>
      </w:pPr>
    </w:p>
    <w:p w:rsidR="009505B2" w:rsidRDefault="00C40D3F" w:rsidP="00A43068">
      <w:pPr>
        <w:pStyle w:val="Normaltext"/>
        <w:spacing w:line="276" w:lineRule="auto"/>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nákladová efektívnosť</m:t>
              </m:r>
            </m:e>
            <m:sub>
              <m:r>
                <w:rPr>
                  <w:rFonts w:ascii="Cambria Math" w:hAnsi="Cambria Math" w:cstheme="minorHAnsi"/>
                </w:rPr>
                <m:t>r</m:t>
              </m:r>
            </m:sub>
          </m:sSub>
          <m:r>
            <w:rPr>
              <w:rFonts w:ascii="Cambria Math" w:hAnsi="Cambria Math" w:cstheme="minorHAnsi"/>
            </w:rPr>
            <m:t xml:space="preserve">= </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výnosy</m:t>
                  </m:r>
                </m:e>
                <m:sub>
                  <m:r>
                    <w:rPr>
                      <w:rFonts w:ascii="Cambria Math" w:hAnsi="Cambria Math" w:cstheme="minorHAnsi"/>
                    </w:rPr>
                    <m:t>r</m:t>
                  </m:r>
                </m:sub>
              </m:sSub>
            </m:num>
            <m:den>
              <m:sSub>
                <m:sSubPr>
                  <m:ctrlPr>
                    <w:rPr>
                      <w:rFonts w:ascii="Cambria Math" w:hAnsi="Cambria Math" w:cstheme="minorHAnsi"/>
                      <w:i/>
                    </w:rPr>
                  </m:ctrlPr>
                </m:sSubPr>
                <m:e>
                  <m:r>
                    <w:rPr>
                      <w:rFonts w:ascii="Cambria Math" w:hAnsi="Cambria Math" w:cstheme="minorHAnsi"/>
                    </w:rPr>
                    <m:t>náklady</m:t>
                  </m:r>
                </m:e>
                <m:sub>
                  <m:r>
                    <w:rPr>
                      <w:rFonts w:ascii="Cambria Math" w:hAnsi="Cambria Math" w:cstheme="minorHAnsi"/>
                    </w:rPr>
                    <m:t>r</m:t>
                  </m:r>
                </m:sub>
              </m:sSub>
            </m:den>
          </m:f>
        </m:oMath>
      </m:oMathPara>
    </w:p>
    <w:p w:rsidR="006F7C1D" w:rsidRPr="006F7C1D" w:rsidRDefault="006F7C1D" w:rsidP="00A43068">
      <w:pPr>
        <w:pStyle w:val="Normaltext"/>
        <w:spacing w:line="276" w:lineRule="auto"/>
        <w:rPr>
          <w:rFonts w:asciiTheme="minorHAnsi" w:hAnsiTheme="minorHAnsi" w:cstheme="minorHAnsi"/>
          <w:sz w:val="6"/>
          <w:szCs w:val="6"/>
        </w:rPr>
      </w:pPr>
    </w:p>
    <w:p w:rsidR="00EA24EC" w:rsidRDefault="0096072A" w:rsidP="00DB4A16">
      <w:pPr>
        <w:pStyle w:val="Normaltext"/>
        <w:spacing w:line="276" w:lineRule="auto"/>
      </w:pPr>
      <w:r>
        <w:t>V prípade nákladovej efektívnosti platí, čím sú náklady systému vyššie a výnosy nižšie</w:t>
      </w:r>
      <w:r w:rsidR="00EA24EC">
        <w:t>, tým</w:t>
      </w:r>
      <w:r>
        <w:t xml:space="preserve"> je nákladová efektívnosť systému nižšia a naopak. Základnou požiadavkou</w:t>
      </w:r>
      <w:r w:rsidR="00EA24EC">
        <w:t xml:space="preserve"> </w:t>
      </w:r>
      <w:r>
        <w:t xml:space="preserve">je teda maximálna hodnota indikátora. Vývoj ročnej </w:t>
      </w:r>
      <w:r w:rsidR="00F71272">
        <w:t>výnosovosti</w:t>
      </w:r>
      <w:r>
        <w:t xml:space="preserve"> systémov ETC počas sledovaného deväťročného obdobia je znázornený na obrázku (</w:t>
      </w:r>
      <w:r w:rsidR="00AE5B8A">
        <w:fldChar w:fldCharType="begin"/>
      </w:r>
      <w:r w:rsidR="00802A51">
        <w:instrText xml:space="preserve"> REF _Ref21710607 \h </w:instrText>
      </w:r>
      <w:r w:rsidR="00AE5B8A">
        <w:fldChar w:fldCharType="separate"/>
      </w:r>
      <w:r w:rsidR="001E4C1C" w:rsidRPr="004C1013">
        <w:t xml:space="preserve">Obr. </w:t>
      </w:r>
      <w:r w:rsidR="001E4C1C">
        <w:rPr>
          <w:noProof/>
        </w:rPr>
        <w:t>2</w:t>
      </w:r>
      <w:r w:rsidR="001E4C1C">
        <w:noBreakHyphen/>
      </w:r>
      <w:r w:rsidR="001E4C1C">
        <w:rPr>
          <w:noProof/>
        </w:rPr>
        <w:t>13</w:t>
      </w:r>
      <w:r w:rsidR="00AE5B8A">
        <w:fldChar w:fldCharType="end"/>
      </w:r>
      <w:r>
        <w:t xml:space="preserve">). Priemernú ročnú nákladovú efektívnosť systémov v jednotlivých časových scenároch obdobia prevádzky </w:t>
      </w:r>
      <w:r w:rsidR="00FC682F">
        <w:t>prezentuje</w:t>
      </w:r>
      <w:r>
        <w:t xml:space="preserve"> obrázok (</w:t>
      </w:r>
      <w:r w:rsidR="00AE5B8A">
        <w:fldChar w:fldCharType="begin"/>
      </w:r>
      <w:r w:rsidR="00802A51">
        <w:instrText xml:space="preserve"> REF _Ref21710619 \h </w:instrText>
      </w:r>
      <w:r w:rsidR="00AE5B8A">
        <w:fldChar w:fldCharType="separate"/>
      </w:r>
      <w:r w:rsidR="001E4C1C" w:rsidRPr="004C1013">
        <w:t xml:space="preserve">Obr. </w:t>
      </w:r>
      <w:r w:rsidR="001E4C1C">
        <w:rPr>
          <w:noProof/>
        </w:rPr>
        <w:t>2</w:t>
      </w:r>
      <w:r w:rsidR="001E4C1C">
        <w:noBreakHyphen/>
      </w:r>
      <w:r w:rsidR="001E4C1C">
        <w:rPr>
          <w:noProof/>
        </w:rPr>
        <w:t>14</w:t>
      </w:r>
      <w:r w:rsidR="00AE5B8A">
        <w:fldChar w:fldCharType="end"/>
      </w:r>
      <w:r>
        <w:t xml:space="preserve">). </w:t>
      </w:r>
    </w:p>
    <w:p w:rsidR="004054DF" w:rsidRPr="005C150D" w:rsidRDefault="009C575D" w:rsidP="00EA24EC">
      <w:pPr>
        <w:rPr>
          <w:rFonts w:asciiTheme="minorHAnsi" w:hAnsiTheme="minorHAnsi" w:cstheme="minorHAnsi"/>
        </w:rPr>
      </w:pPr>
      <w:r w:rsidRPr="009C575D">
        <w:rPr>
          <w:rFonts w:asciiTheme="minorHAnsi" w:hAnsiTheme="minorHAnsi" w:cstheme="minorHAnsi"/>
          <w:noProof/>
          <w:lang w:eastAsia="sk-SK"/>
        </w:rPr>
        <w:drawing>
          <wp:inline distT="0" distB="0" distL="0" distR="0">
            <wp:extent cx="5943022" cy="2163600"/>
            <wp:effectExtent l="0" t="0" r="635" b="8255"/>
            <wp:docPr id="41" name="Graf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882897" w:rsidRDefault="00882897" w:rsidP="006B1C25">
      <w:pPr>
        <w:pStyle w:val="Popis"/>
      </w:pPr>
      <w:bookmarkStart w:id="223" w:name="_Ref21710607"/>
      <w:bookmarkStart w:id="224" w:name="_Toc36664522"/>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13</w:t>
      </w:r>
      <w:r w:rsidR="00C40D3F">
        <w:rPr>
          <w:noProof/>
        </w:rPr>
        <w:fldChar w:fldCharType="end"/>
      </w:r>
      <w:bookmarkEnd w:id="223"/>
      <w:r w:rsidRPr="004C1013">
        <w:tab/>
      </w:r>
      <w:r>
        <w:t>Nákladová efektívnosť systémov ETC v prevádzkových rokoch (základný scenár: 1. -  9. rok)</w:t>
      </w:r>
      <w:bookmarkEnd w:id="224"/>
    </w:p>
    <w:p w:rsidR="000E1653" w:rsidRDefault="000E1653">
      <w:pPr>
        <w:pStyle w:val="Normaltext"/>
      </w:pPr>
    </w:p>
    <w:p w:rsidR="009505B2" w:rsidRDefault="009505B2" w:rsidP="009505B2">
      <w:pPr>
        <w:pStyle w:val="Normaltext"/>
        <w:rPr>
          <w:rFonts w:asciiTheme="minorHAnsi" w:hAnsiTheme="minorHAnsi" w:cstheme="minorHAnsi"/>
          <w:noProof/>
          <w:lang w:eastAsia="sk-SK"/>
        </w:rPr>
      </w:pPr>
      <w:r>
        <w:rPr>
          <w:noProof/>
          <w:lang w:eastAsia="sk-SK"/>
        </w:rPr>
        <w:drawing>
          <wp:inline distT="0" distB="0" distL="0" distR="0">
            <wp:extent cx="5938285" cy="1620000"/>
            <wp:effectExtent l="0" t="0" r="5715" b="0"/>
            <wp:docPr id="9" name="Graf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r>
        <w:rPr>
          <w:noProof/>
          <w:lang w:eastAsia="sk-SK"/>
        </w:rPr>
        <w:drawing>
          <wp:inline distT="0" distB="0" distL="0" distR="0">
            <wp:extent cx="5936379" cy="1620000"/>
            <wp:effectExtent l="0" t="0" r="7620" b="0"/>
            <wp:docPr id="10"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Pr>
          <w:noProof/>
          <w:lang w:eastAsia="sk-SK"/>
        </w:rPr>
        <w:drawing>
          <wp:inline distT="0" distB="0" distL="0" distR="0">
            <wp:extent cx="5938284" cy="1620000"/>
            <wp:effectExtent l="0" t="0" r="5715" b="0"/>
            <wp:docPr id="11" name="Graf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9505B2" w:rsidRDefault="009505B2" w:rsidP="009505B2">
      <w:pPr>
        <w:pStyle w:val="Popis"/>
      </w:pPr>
      <w:bookmarkStart w:id="225" w:name="_Ref21710619"/>
      <w:bookmarkStart w:id="226" w:name="_Toc36664523"/>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14</w:t>
      </w:r>
      <w:r w:rsidR="00C40D3F">
        <w:rPr>
          <w:noProof/>
        </w:rPr>
        <w:fldChar w:fldCharType="end"/>
      </w:r>
      <w:bookmarkEnd w:id="225"/>
      <w:r w:rsidRPr="004C1013">
        <w:tab/>
      </w:r>
      <w:r>
        <w:t>Priemerná ročná nákladová efektívnosť systémov ETC (základný scenár, subscenár A, subscenár B)</w:t>
      </w:r>
      <w:bookmarkEnd w:id="226"/>
    </w:p>
    <w:p w:rsidR="002C58B3" w:rsidRDefault="002C58B3">
      <w:pPr>
        <w:spacing w:before="0" w:after="0" w:line="240" w:lineRule="auto"/>
        <w:jc w:val="left"/>
      </w:pPr>
      <w:r>
        <w:br w:type="page"/>
      </w:r>
    </w:p>
    <w:p w:rsidR="006F7C1D" w:rsidRDefault="006F7C1D" w:rsidP="006F7C1D">
      <w:r>
        <w:t>Na rozdiel od trendu znižovania nákladovosti systému, je vzhľadom na obrátený pomer výnosov a nákladov základným trendom zvyšovanie výnosovosti, t.j. minimalizácia nákladov a maximalizácia výnosov. Podľa obrázka nižšie (Obr. 2-13) je tento vývoj nákladovej efektívnosti systému ETC evidentný najmä v Poľsku a čiastočne tiež v ostatných krajinách. V Rakúsku vzhľadom na uvažované paušálne náklady systému vo výške 12% z výnosov je nákladová efektívnosť konštantná na úrovni 8,33 (</w:t>
      </w:r>
      <w:r w:rsidR="00AE5B8A">
        <w:fldChar w:fldCharType="begin"/>
      </w:r>
      <w:r>
        <w:instrText xml:space="preserve"> REF _Ref21710619 \h </w:instrText>
      </w:r>
      <w:r w:rsidR="00AE5B8A">
        <w:fldChar w:fldCharType="separate"/>
      </w:r>
      <w:r w:rsidR="001E4C1C" w:rsidRPr="004C1013">
        <w:t xml:space="preserve">Obr. </w:t>
      </w:r>
      <w:r w:rsidR="001E4C1C">
        <w:rPr>
          <w:noProof/>
        </w:rPr>
        <w:t>2</w:t>
      </w:r>
      <w:r w:rsidR="001E4C1C">
        <w:noBreakHyphen/>
      </w:r>
      <w:r w:rsidR="001E4C1C">
        <w:rPr>
          <w:noProof/>
        </w:rPr>
        <w:t>14</w:t>
      </w:r>
      <w:r w:rsidR="00AE5B8A">
        <w:fldChar w:fldCharType="end"/>
      </w:r>
      <w:r>
        <w:t xml:space="preserve">). </w:t>
      </w:r>
    </w:p>
    <w:p w:rsidR="0096072A" w:rsidRDefault="00FC682F" w:rsidP="00F71272">
      <w:pPr>
        <w:pStyle w:val="Normaltext"/>
        <w:spacing w:line="276" w:lineRule="auto"/>
      </w:pPr>
      <w:r>
        <w:t>Porovnaním nákladovej</w:t>
      </w:r>
      <w:r w:rsidR="00F71272">
        <w:t xml:space="preserve"> efektívnosti jednotlivých systémov ETC možno konštatovať </w:t>
      </w:r>
      <w:r w:rsidR="00F71272" w:rsidRPr="00F71272">
        <w:rPr>
          <w:b/>
        </w:rPr>
        <w:t>najnižšiu výnosovosť systému ETC v Slovenskej republike</w:t>
      </w:r>
      <w:r w:rsidR="00F71272">
        <w:t xml:space="preserve"> </w:t>
      </w:r>
      <w:r w:rsidR="00015174">
        <w:t xml:space="preserve">(údaje SkyToll,a.s. a údaje NDS, a.s.) </w:t>
      </w:r>
      <w:r w:rsidR="00F71272" w:rsidRPr="00F71272">
        <w:rPr>
          <w:b/>
        </w:rPr>
        <w:t>a najvyššiu v Rakúsku, resp. Nemecku</w:t>
      </w:r>
      <w:r w:rsidR="00F71272">
        <w:t xml:space="preserve">. V poradí za Nemeckom a Rakúskom nasleduje z hľadiska nákladovej efektívnosti systém ETC v Českej republike a Poľsku. Uvedené poradie platí </w:t>
      </w:r>
      <w:r w:rsidR="00F71272" w:rsidRPr="00F71272">
        <w:t>pre všetky sledované časové scenáre obdobia prevádzky (základný scenár, subscenár A, subscenár B)</w:t>
      </w:r>
      <w:r w:rsidR="00F71272">
        <w:t>, (</w:t>
      </w:r>
      <w:r w:rsidR="00AE5B8A">
        <w:fldChar w:fldCharType="begin"/>
      </w:r>
      <w:r w:rsidR="00802A51">
        <w:instrText xml:space="preserve"> REF _Ref21710677 \h </w:instrText>
      </w:r>
      <w:r w:rsidR="00AE5B8A">
        <w:fldChar w:fldCharType="separate"/>
      </w:r>
      <w:r w:rsidR="001E4C1C">
        <w:t xml:space="preserve">Tab.  </w:t>
      </w:r>
      <w:r w:rsidR="001E4C1C">
        <w:rPr>
          <w:noProof/>
        </w:rPr>
        <w:t>2</w:t>
      </w:r>
      <w:r w:rsidR="001E4C1C">
        <w:noBreakHyphen/>
      </w:r>
      <w:r w:rsidR="001E4C1C">
        <w:rPr>
          <w:noProof/>
        </w:rPr>
        <w:t>7</w:t>
      </w:r>
      <w:r w:rsidR="00AE5B8A">
        <w:fldChar w:fldCharType="end"/>
      </w:r>
      <w:r w:rsidR="00F71272">
        <w:t xml:space="preserve">). </w:t>
      </w:r>
    </w:p>
    <w:p w:rsidR="00F71272" w:rsidRDefault="00F71272" w:rsidP="00F71272">
      <w:pPr>
        <w:pStyle w:val="Normaltext"/>
        <w:spacing w:line="276" w:lineRule="auto"/>
      </w:pPr>
      <w:r>
        <w:t>Z hľadiska indexácie možno hovoriť o </w:t>
      </w:r>
      <w:r w:rsidR="00471F6D">
        <w:t>približne</w:t>
      </w:r>
      <w:r>
        <w:t xml:space="preserve"> 4-násobne vyššej výnosovosti nemeckého </w:t>
      </w:r>
      <w:r w:rsidR="00471F6D">
        <w:t xml:space="preserve">a rakúskeho </w:t>
      </w:r>
      <w:r>
        <w:t>systému</w:t>
      </w:r>
      <w:r w:rsidR="00471F6D">
        <w:t xml:space="preserve"> ETC oproti </w:t>
      </w:r>
      <w:r w:rsidR="00015174">
        <w:t xml:space="preserve">systému ETC v </w:t>
      </w:r>
      <w:r w:rsidR="00471F6D">
        <w:t>SR. V prípade ČR a Poľska je nákladová efektívnosť systémov v priemere približne 1,34 až 1,86-násobne vyššia</w:t>
      </w:r>
      <w:r w:rsidR="00015174">
        <w:t xml:space="preserve"> (</w:t>
      </w:r>
      <w:r w:rsidR="00AE5B8A">
        <w:fldChar w:fldCharType="begin"/>
      </w:r>
      <w:r w:rsidR="00802A51">
        <w:instrText xml:space="preserve"> REF _Ref21710677 \h </w:instrText>
      </w:r>
      <w:r w:rsidR="00AE5B8A">
        <w:fldChar w:fldCharType="separate"/>
      </w:r>
      <w:r w:rsidR="001E4C1C">
        <w:t xml:space="preserve">Tab.  </w:t>
      </w:r>
      <w:r w:rsidR="001E4C1C">
        <w:rPr>
          <w:noProof/>
        </w:rPr>
        <w:t>2</w:t>
      </w:r>
      <w:r w:rsidR="001E4C1C">
        <w:noBreakHyphen/>
      </w:r>
      <w:r w:rsidR="001E4C1C">
        <w:rPr>
          <w:noProof/>
        </w:rPr>
        <w:t>7</w:t>
      </w:r>
      <w:r w:rsidR="00AE5B8A">
        <w:fldChar w:fldCharType="end"/>
      </w:r>
      <w:r w:rsidR="00015174">
        <w:t>).</w:t>
      </w:r>
      <w:r w:rsidR="00471F6D">
        <w:t xml:space="preserve"> </w:t>
      </w:r>
    </w:p>
    <w:p w:rsidR="00015174" w:rsidRDefault="00015174" w:rsidP="006B1C25">
      <w:pPr>
        <w:pStyle w:val="tabstyl"/>
      </w:pPr>
      <w:bookmarkStart w:id="227" w:name="_Ref21710677"/>
      <w:bookmarkStart w:id="228" w:name="_Toc36664490"/>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7</w:t>
      </w:r>
      <w:r w:rsidR="00C40D3F">
        <w:rPr>
          <w:noProof/>
        </w:rPr>
        <w:fldChar w:fldCharType="end"/>
      </w:r>
      <w:bookmarkEnd w:id="227"/>
      <w:r>
        <w:tab/>
        <w:t>Sumarizácia výsledkov komparácie priemernej ročnej nákladovej efektívnosti systémov ETC</w:t>
      </w:r>
      <w:bookmarkEnd w:id="228"/>
      <w:r>
        <w:t xml:space="preserve"> </w:t>
      </w:r>
    </w:p>
    <w:tbl>
      <w:tblPr>
        <w:tblStyle w:val="tabulkaVUD"/>
        <w:tblW w:w="5000" w:type="pct"/>
        <w:tblLook w:val="04A0" w:firstRow="1" w:lastRow="0" w:firstColumn="1" w:lastColumn="0" w:noHBand="0" w:noVBand="1"/>
      </w:tblPr>
      <w:tblGrid>
        <w:gridCol w:w="2350"/>
        <w:gridCol w:w="2351"/>
        <w:gridCol w:w="2355"/>
        <w:gridCol w:w="2355"/>
      </w:tblGrid>
      <w:tr w:rsidR="00015174" w:rsidTr="00015174">
        <w:trPr>
          <w:cnfStyle w:val="100000000000" w:firstRow="1" w:lastRow="0" w:firstColumn="0" w:lastColumn="0" w:oddVBand="0" w:evenVBand="0" w:oddHBand="0" w:evenHBand="0" w:firstRowFirstColumn="0" w:firstRowLastColumn="0" w:lastRowFirstColumn="0" w:lastRowLastColumn="0"/>
          <w:tblHeader/>
        </w:trPr>
        <w:tc>
          <w:tcPr>
            <w:tcW w:w="1249" w:type="pct"/>
          </w:tcPr>
          <w:p w:rsidR="00015174" w:rsidRDefault="00015174" w:rsidP="00744258"/>
        </w:tc>
        <w:tc>
          <w:tcPr>
            <w:tcW w:w="1249" w:type="pct"/>
          </w:tcPr>
          <w:p w:rsidR="00015174" w:rsidRDefault="00015174" w:rsidP="009D58D5">
            <w:pPr>
              <w:pStyle w:val="zahltab"/>
            </w:pPr>
            <w:r>
              <w:t>Základný scenár</w:t>
            </w:r>
          </w:p>
        </w:tc>
        <w:tc>
          <w:tcPr>
            <w:tcW w:w="1251" w:type="pct"/>
          </w:tcPr>
          <w:p w:rsidR="00015174" w:rsidRDefault="00015174" w:rsidP="009D58D5">
            <w:pPr>
              <w:pStyle w:val="zahltab"/>
            </w:pPr>
            <w:r>
              <w:t>Subscenár A</w:t>
            </w:r>
          </w:p>
        </w:tc>
        <w:tc>
          <w:tcPr>
            <w:tcW w:w="1251" w:type="pct"/>
          </w:tcPr>
          <w:p w:rsidR="00015174" w:rsidRDefault="00015174" w:rsidP="009D58D5">
            <w:pPr>
              <w:pStyle w:val="zahltab"/>
            </w:pPr>
            <w:r>
              <w:t>Subscenár B</w:t>
            </w:r>
          </w:p>
        </w:tc>
      </w:tr>
      <w:tr w:rsidR="00015174" w:rsidTr="00020454">
        <w:trPr>
          <w:trHeight w:val="341"/>
        </w:trPr>
        <w:tc>
          <w:tcPr>
            <w:tcW w:w="1249" w:type="pct"/>
            <w:shd w:val="clear" w:color="auto" w:fill="7F7F7F" w:themeFill="text1" w:themeFillTint="80"/>
          </w:tcPr>
          <w:p w:rsidR="00015174" w:rsidRPr="00AB6DA4" w:rsidRDefault="00015174" w:rsidP="00744258">
            <w:pPr>
              <w:pStyle w:val="tabbielystyl"/>
              <w:jc w:val="left"/>
              <w:rPr>
                <w:b/>
                <w:color w:val="FFFFFF" w:themeColor="background1"/>
              </w:rPr>
            </w:pPr>
            <w:r>
              <w:rPr>
                <w:b/>
                <w:color w:val="FFFFFF" w:themeColor="background1"/>
              </w:rPr>
              <w:t>Požiadavka</w:t>
            </w:r>
          </w:p>
        </w:tc>
        <w:tc>
          <w:tcPr>
            <w:tcW w:w="3751" w:type="pct"/>
            <w:gridSpan w:val="3"/>
          </w:tcPr>
          <w:p w:rsidR="00015174" w:rsidRPr="00254390" w:rsidRDefault="00015174" w:rsidP="00744258">
            <w:pPr>
              <w:pStyle w:val="tabbielystyl"/>
              <w:jc w:val="center"/>
              <w:rPr>
                <w:b/>
              </w:rPr>
            </w:pPr>
            <w:r w:rsidRPr="00254390">
              <w:rPr>
                <w:b/>
              </w:rPr>
              <w:t>max. hodnota ukazovateľa</w:t>
            </w:r>
          </w:p>
        </w:tc>
      </w:tr>
      <w:tr w:rsidR="00015174" w:rsidTr="00744258">
        <w:tc>
          <w:tcPr>
            <w:tcW w:w="1249" w:type="pct"/>
            <w:shd w:val="clear" w:color="auto" w:fill="7F7F7F" w:themeFill="text1" w:themeFillTint="80"/>
          </w:tcPr>
          <w:p w:rsidR="00015174" w:rsidRPr="00AB6DA4" w:rsidRDefault="00015174" w:rsidP="00744258">
            <w:pPr>
              <w:pStyle w:val="tabbielystyl"/>
              <w:jc w:val="left"/>
              <w:rPr>
                <w:b/>
                <w:color w:val="FFFFFF" w:themeColor="background1"/>
              </w:rPr>
            </w:pPr>
            <w:r w:rsidRPr="00AB6DA4">
              <w:rPr>
                <w:b/>
                <w:color w:val="FFFFFF" w:themeColor="background1"/>
              </w:rPr>
              <w:t xml:space="preserve">Najvyššia hodnota ukazovateľa   </w:t>
            </w:r>
          </w:p>
        </w:tc>
        <w:tc>
          <w:tcPr>
            <w:tcW w:w="1249" w:type="pct"/>
          </w:tcPr>
          <w:p w:rsidR="00015174" w:rsidRDefault="00015174" w:rsidP="00744258">
            <w:pPr>
              <w:pStyle w:val="tabbielystyl"/>
              <w:jc w:val="left"/>
            </w:pPr>
            <w:r>
              <w:t>Rakúsko (8,3)</w:t>
            </w:r>
          </w:p>
        </w:tc>
        <w:tc>
          <w:tcPr>
            <w:tcW w:w="1251" w:type="pct"/>
          </w:tcPr>
          <w:p w:rsidR="00015174" w:rsidRDefault="00015174" w:rsidP="00744258">
            <w:pPr>
              <w:pStyle w:val="tabbielystyl"/>
              <w:jc w:val="left"/>
            </w:pPr>
            <w:r>
              <w:t>Rakúsko (8,3)</w:t>
            </w:r>
          </w:p>
        </w:tc>
        <w:tc>
          <w:tcPr>
            <w:tcW w:w="1251" w:type="pct"/>
          </w:tcPr>
          <w:p w:rsidR="00015174" w:rsidRDefault="00015174" w:rsidP="00744258">
            <w:pPr>
              <w:pStyle w:val="tabbielystyl"/>
              <w:jc w:val="left"/>
            </w:pPr>
            <w:r>
              <w:t>Rakúsko (8,3)</w:t>
            </w:r>
          </w:p>
        </w:tc>
      </w:tr>
      <w:tr w:rsidR="00015174" w:rsidTr="00744258">
        <w:tc>
          <w:tcPr>
            <w:tcW w:w="1249" w:type="pct"/>
            <w:shd w:val="clear" w:color="auto" w:fill="7F7F7F" w:themeFill="text1" w:themeFillTint="80"/>
          </w:tcPr>
          <w:p w:rsidR="00015174" w:rsidRPr="00AB6DA4" w:rsidRDefault="00015174" w:rsidP="00744258">
            <w:pPr>
              <w:pStyle w:val="tabbielystyl"/>
              <w:jc w:val="left"/>
              <w:rPr>
                <w:b/>
                <w:color w:val="FFFFFF" w:themeColor="background1"/>
              </w:rPr>
            </w:pPr>
            <w:r w:rsidRPr="00AB6DA4">
              <w:rPr>
                <w:b/>
                <w:color w:val="FFFFFF" w:themeColor="background1"/>
              </w:rPr>
              <w:t>Najnižšia hodnota ukazovateľa</w:t>
            </w:r>
          </w:p>
        </w:tc>
        <w:tc>
          <w:tcPr>
            <w:tcW w:w="1249" w:type="pct"/>
          </w:tcPr>
          <w:p w:rsidR="00015174" w:rsidRPr="00405DB2" w:rsidRDefault="00015174" w:rsidP="00744258">
            <w:pPr>
              <w:pStyle w:val="tabbielystyl"/>
              <w:jc w:val="left"/>
              <w:rPr>
                <w:b/>
              </w:rPr>
            </w:pPr>
            <w:r w:rsidRPr="00405DB2">
              <w:rPr>
                <w:b/>
              </w:rPr>
              <w:t>Slovensko</w:t>
            </w:r>
          </w:p>
          <w:p w:rsidR="00015174" w:rsidRPr="00405DB2" w:rsidRDefault="00015174" w:rsidP="00744258">
            <w:pPr>
              <w:pStyle w:val="tabbielystyl"/>
              <w:jc w:val="left"/>
              <w:rPr>
                <w:b/>
              </w:rPr>
            </w:pPr>
            <w:r w:rsidRPr="00405DB2">
              <w:rPr>
                <w:b/>
              </w:rPr>
              <w:t>(SkyToll: 2,15)</w:t>
            </w:r>
          </w:p>
          <w:p w:rsidR="00015174" w:rsidRPr="00405DB2" w:rsidRDefault="00015174" w:rsidP="00744258">
            <w:pPr>
              <w:pStyle w:val="tabbielystyl"/>
              <w:jc w:val="left"/>
              <w:rPr>
                <w:b/>
              </w:rPr>
            </w:pPr>
            <w:r w:rsidRPr="00405DB2">
              <w:rPr>
                <w:b/>
              </w:rPr>
              <w:t>(NDS: 1,90)</w:t>
            </w:r>
          </w:p>
        </w:tc>
        <w:tc>
          <w:tcPr>
            <w:tcW w:w="1251" w:type="pct"/>
          </w:tcPr>
          <w:p w:rsidR="00015174" w:rsidRPr="00405DB2" w:rsidRDefault="00015174" w:rsidP="00744258">
            <w:pPr>
              <w:pStyle w:val="tabbielystyl"/>
              <w:jc w:val="left"/>
              <w:rPr>
                <w:b/>
              </w:rPr>
            </w:pPr>
            <w:r w:rsidRPr="00405DB2">
              <w:rPr>
                <w:b/>
              </w:rPr>
              <w:t>Slovensko</w:t>
            </w:r>
          </w:p>
          <w:p w:rsidR="00015174" w:rsidRPr="00405DB2" w:rsidRDefault="00015174" w:rsidP="00744258">
            <w:pPr>
              <w:pStyle w:val="tabbielystyl"/>
              <w:jc w:val="left"/>
              <w:rPr>
                <w:b/>
              </w:rPr>
            </w:pPr>
            <w:r w:rsidRPr="00405DB2">
              <w:rPr>
                <w:b/>
              </w:rPr>
              <w:t xml:space="preserve">(SkyToll: </w:t>
            </w:r>
            <w:r>
              <w:rPr>
                <w:b/>
              </w:rPr>
              <w:t>1,64</w:t>
            </w:r>
            <w:r w:rsidRPr="00405DB2">
              <w:rPr>
                <w:b/>
              </w:rPr>
              <w:t>)</w:t>
            </w:r>
          </w:p>
          <w:p w:rsidR="00015174" w:rsidRPr="00405DB2" w:rsidRDefault="00015174" w:rsidP="00744258">
            <w:pPr>
              <w:pStyle w:val="tabbielystyl"/>
              <w:jc w:val="left"/>
              <w:rPr>
                <w:b/>
              </w:rPr>
            </w:pPr>
            <w:r w:rsidRPr="00405DB2">
              <w:rPr>
                <w:b/>
              </w:rPr>
              <w:t xml:space="preserve">(NDS: </w:t>
            </w:r>
            <w:r>
              <w:rPr>
                <w:b/>
              </w:rPr>
              <w:t>1,88</w:t>
            </w:r>
            <w:r w:rsidRPr="00405DB2">
              <w:rPr>
                <w:b/>
              </w:rPr>
              <w:t>)</w:t>
            </w:r>
          </w:p>
        </w:tc>
        <w:tc>
          <w:tcPr>
            <w:tcW w:w="1251" w:type="pct"/>
          </w:tcPr>
          <w:p w:rsidR="00015174" w:rsidRPr="00405DB2" w:rsidRDefault="00015174" w:rsidP="00744258">
            <w:pPr>
              <w:pStyle w:val="tabbielystyl"/>
              <w:jc w:val="left"/>
              <w:rPr>
                <w:b/>
              </w:rPr>
            </w:pPr>
            <w:r w:rsidRPr="00405DB2">
              <w:rPr>
                <w:b/>
              </w:rPr>
              <w:t>Slovensko</w:t>
            </w:r>
          </w:p>
          <w:p w:rsidR="00015174" w:rsidRPr="00405DB2" w:rsidRDefault="00015174" w:rsidP="00744258">
            <w:pPr>
              <w:pStyle w:val="tabbielystyl"/>
              <w:jc w:val="left"/>
              <w:rPr>
                <w:b/>
              </w:rPr>
            </w:pPr>
            <w:r w:rsidRPr="00405DB2">
              <w:rPr>
                <w:b/>
              </w:rPr>
              <w:t>(SkyToll: 2,15)</w:t>
            </w:r>
          </w:p>
          <w:p w:rsidR="00015174" w:rsidRPr="00405DB2" w:rsidRDefault="00015174" w:rsidP="00744258">
            <w:pPr>
              <w:pStyle w:val="tabbielystyl"/>
              <w:jc w:val="left"/>
              <w:rPr>
                <w:b/>
              </w:rPr>
            </w:pPr>
            <w:r w:rsidRPr="00405DB2">
              <w:rPr>
                <w:b/>
              </w:rPr>
              <w:t>(NDS: 1,90)</w:t>
            </w:r>
          </w:p>
        </w:tc>
      </w:tr>
      <w:tr w:rsidR="00015174" w:rsidTr="00744258">
        <w:tc>
          <w:tcPr>
            <w:tcW w:w="1249" w:type="pct"/>
            <w:shd w:val="clear" w:color="auto" w:fill="7F7F7F" w:themeFill="text1" w:themeFillTint="80"/>
          </w:tcPr>
          <w:p w:rsidR="00015174" w:rsidRPr="00AB6DA4" w:rsidRDefault="00015174" w:rsidP="0074425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249" w:type="pct"/>
          </w:tcPr>
          <w:p w:rsidR="00015174" w:rsidRPr="00405DB2" w:rsidRDefault="00015174" w:rsidP="00744258">
            <w:pPr>
              <w:pStyle w:val="tabbielystyl"/>
              <w:jc w:val="left"/>
            </w:pPr>
            <w:r w:rsidRPr="00405DB2">
              <w:t xml:space="preserve">1. Rakúsko </w:t>
            </w:r>
            <w:r>
              <w:t>(8,33)</w:t>
            </w:r>
          </w:p>
          <w:p w:rsidR="00015174" w:rsidRPr="00405DB2" w:rsidRDefault="00015174" w:rsidP="00744258">
            <w:pPr>
              <w:pStyle w:val="tabbielystyl"/>
              <w:jc w:val="left"/>
            </w:pPr>
            <w:r w:rsidRPr="00405DB2">
              <w:t xml:space="preserve">2. Nemecko </w:t>
            </w:r>
            <w:r>
              <w:t xml:space="preserve"> (7,03)</w:t>
            </w:r>
          </w:p>
          <w:p w:rsidR="00015174" w:rsidRPr="00405DB2" w:rsidRDefault="00015174" w:rsidP="00744258">
            <w:pPr>
              <w:pStyle w:val="tabbielystyl"/>
              <w:jc w:val="left"/>
            </w:pPr>
            <w:r w:rsidRPr="00405DB2">
              <w:t>3. Česká republika</w:t>
            </w:r>
            <w:r>
              <w:t xml:space="preserve"> (3,55</w:t>
            </w:r>
            <w:r w:rsidRPr="00405DB2">
              <w:t>)</w:t>
            </w:r>
          </w:p>
          <w:p w:rsidR="00015174" w:rsidRDefault="00015174" w:rsidP="00744258">
            <w:pPr>
              <w:pStyle w:val="tabbielystyl"/>
              <w:jc w:val="left"/>
            </w:pPr>
            <w:r w:rsidRPr="00405DB2">
              <w:t xml:space="preserve">4. Poľsko </w:t>
            </w:r>
            <w:r>
              <w:t>(2,89)</w:t>
            </w:r>
          </w:p>
          <w:p w:rsidR="00015174" w:rsidRPr="00405DB2" w:rsidRDefault="00015174" w:rsidP="00744258">
            <w:pPr>
              <w:pStyle w:val="tabbielystyl"/>
              <w:jc w:val="left"/>
            </w:pPr>
            <w:r w:rsidRPr="00405DB2">
              <w:rPr>
                <w:b/>
              </w:rPr>
              <w:t>5. Slovensko (1,9-2,15</w:t>
            </w:r>
            <w:r>
              <w:t>)</w:t>
            </w:r>
          </w:p>
        </w:tc>
        <w:tc>
          <w:tcPr>
            <w:tcW w:w="1251" w:type="pct"/>
          </w:tcPr>
          <w:p w:rsidR="00015174" w:rsidRPr="00405DB2" w:rsidRDefault="00015174" w:rsidP="00744258">
            <w:pPr>
              <w:pStyle w:val="tabbielystyl"/>
              <w:jc w:val="left"/>
            </w:pPr>
            <w:r w:rsidRPr="00405DB2">
              <w:t xml:space="preserve">1. Rakúsko </w:t>
            </w:r>
            <w:r>
              <w:t>(8,33)</w:t>
            </w:r>
          </w:p>
          <w:p w:rsidR="00015174" w:rsidRPr="00405DB2" w:rsidRDefault="00015174" w:rsidP="00744258">
            <w:pPr>
              <w:pStyle w:val="tabbielystyl"/>
              <w:jc w:val="left"/>
            </w:pPr>
            <w:r w:rsidRPr="00405DB2">
              <w:t xml:space="preserve">2. Nemecko </w:t>
            </w:r>
            <w:r>
              <w:t xml:space="preserve"> (5,93)</w:t>
            </w:r>
          </w:p>
          <w:p w:rsidR="00015174" w:rsidRPr="00405DB2" w:rsidRDefault="00015174" w:rsidP="00744258">
            <w:pPr>
              <w:pStyle w:val="tabbielystyl"/>
              <w:jc w:val="left"/>
            </w:pPr>
            <w:r w:rsidRPr="00405DB2">
              <w:t>3. Česká republika</w:t>
            </w:r>
            <w:r>
              <w:t xml:space="preserve"> (2,27</w:t>
            </w:r>
            <w:r w:rsidRPr="00405DB2">
              <w:t>)</w:t>
            </w:r>
          </w:p>
          <w:p w:rsidR="00015174" w:rsidRDefault="00015174" w:rsidP="00744258">
            <w:pPr>
              <w:pStyle w:val="tabbielystyl"/>
              <w:jc w:val="left"/>
            </w:pPr>
            <w:r w:rsidRPr="00405DB2">
              <w:t xml:space="preserve">4. Poľsko </w:t>
            </w:r>
            <w:r>
              <w:t>(2,17)</w:t>
            </w:r>
          </w:p>
          <w:p w:rsidR="00015174" w:rsidRPr="00405DB2" w:rsidRDefault="00015174" w:rsidP="00744258">
            <w:pPr>
              <w:pStyle w:val="tabbielystyl"/>
              <w:jc w:val="left"/>
              <w:rPr>
                <w:b/>
              </w:rPr>
            </w:pPr>
            <w:r w:rsidRPr="00405DB2">
              <w:rPr>
                <w:b/>
              </w:rPr>
              <w:t>5. Slovensko (1,64-1,88)</w:t>
            </w:r>
          </w:p>
        </w:tc>
        <w:tc>
          <w:tcPr>
            <w:tcW w:w="1251" w:type="pct"/>
          </w:tcPr>
          <w:p w:rsidR="00015174" w:rsidRPr="00405DB2" w:rsidRDefault="00015174" w:rsidP="00744258">
            <w:pPr>
              <w:pStyle w:val="tabbielystyl"/>
              <w:jc w:val="left"/>
            </w:pPr>
            <w:r w:rsidRPr="00405DB2">
              <w:t xml:space="preserve">1. Rakúsko </w:t>
            </w:r>
            <w:r>
              <w:t>(8,33)</w:t>
            </w:r>
          </w:p>
          <w:p w:rsidR="00015174" w:rsidRPr="00405DB2" w:rsidRDefault="00015174" w:rsidP="00744258">
            <w:pPr>
              <w:pStyle w:val="tabbielystyl"/>
              <w:jc w:val="left"/>
            </w:pPr>
            <w:r w:rsidRPr="00405DB2">
              <w:t>2. Nemecko (</w:t>
            </w:r>
            <w:r>
              <w:t>8,32</w:t>
            </w:r>
            <w:r w:rsidRPr="00405DB2">
              <w:t>)</w:t>
            </w:r>
          </w:p>
          <w:p w:rsidR="00015174" w:rsidRPr="00405DB2" w:rsidRDefault="00015174" w:rsidP="00744258">
            <w:pPr>
              <w:pStyle w:val="tabbielystyl"/>
              <w:jc w:val="left"/>
            </w:pPr>
            <w:r w:rsidRPr="00405DB2">
              <w:t>3. Česká republika (</w:t>
            </w:r>
            <w:r>
              <w:t>4,74</w:t>
            </w:r>
            <w:r w:rsidRPr="00405DB2">
              <w:t>)</w:t>
            </w:r>
          </w:p>
          <w:p w:rsidR="00015174" w:rsidRPr="00405DB2" w:rsidRDefault="00015174" w:rsidP="00744258">
            <w:pPr>
              <w:pStyle w:val="tabbielystyl"/>
              <w:jc w:val="left"/>
            </w:pPr>
            <w:r w:rsidRPr="00405DB2">
              <w:t>4. Poľsko (</w:t>
            </w:r>
            <w:r>
              <w:t>4,01</w:t>
            </w:r>
            <w:r w:rsidRPr="00405DB2">
              <w:t>)</w:t>
            </w:r>
          </w:p>
          <w:p w:rsidR="00015174" w:rsidRPr="00405DB2" w:rsidRDefault="00015174" w:rsidP="00744258">
            <w:pPr>
              <w:pStyle w:val="tabbielystyl"/>
              <w:jc w:val="left"/>
              <w:rPr>
                <w:b/>
              </w:rPr>
            </w:pPr>
            <w:r>
              <w:rPr>
                <w:b/>
              </w:rPr>
              <w:t>5. Slovensko (2,0-2,75</w:t>
            </w:r>
            <w:r w:rsidRPr="00405DB2">
              <w:rPr>
                <w:b/>
              </w:rPr>
              <w:t>)</w:t>
            </w:r>
          </w:p>
        </w:tc>
      </w:tr>
      <w:tr w:rsidR="00015174" w:rsidTr="00744258">
        <w:tc>
          <w:tcPr>
            <w:tcW w:w="1249" w:type="pct"/>
            <w:shd w:val="clear" w:color="auto" w:fill="7F7F7F" w:themeFill="text1" w:themeFillTint="80"/>
          </w:tcPr>
          <w:p w:rsidR="00015174" w:rsidRPr="00AB6DA4" w:rsidRDefault="00015174" w:rsidP="00744258">
            <w:pPr>
              <w:pStyle w:val="tabbielystyl"/>
              <w:jc w:val="left"/>
              <w:rPr>
                <w:b/>
                <w:color w:val="FFFFFF" w:themeColor="background1"/>
              </w:rPr>
            </w:pPr>
            <w:r>
              <w:rPr>
                <w:b/>
                <w:color w:val="FFFFFF" w:themeColor="background1"/>
              </w:rPr>
              <w:t>Indexácia</w:t>
            </w:r>
          </w:p>
        </w:tc>
        <w:tc>
          <w:tcPr>
            <w:tcW w:w="1249" w:type="pct"/>
          </w:tcPr>
          <w:p w:rsidR="00015174" w:rsidRDefault="00015174" w:rsidP="00744258">
            <w:pPr>
              <w:pStyle w:val="tabbielystyl"/>
              <w:jc w:val="left"/>
            </w:pPr>
            <w:r>
              <w:t>DE: 3,26-3,69</w:t>
            </w:r>
          </w:p>
          <w:p w:rsidR="00015174" w:rsidRDefault="00015174" w:rsidP="00744258">
            <w:pPr>
              <w:pStyle w:val="tabbielystyl"/>
              <w:jc w:val="left"/>
            </w:pPr>
            <w:r>
              <w:t>ČR: 1,65-1,86</w:t>
            </w:r>
          </w:p>
          <w:p w:rsidR="00015174" w:rsidRDefault="00015174" w:rsidP="00744258">
            <w:pPr>
              <w:pStyle w:val="tabbielystyl"/>
              <w:jc w:val="left"/>
            </w:pPr>
            <w:r>
              <w:t xml:space="preserve"> AT:</w:t>
            </w:r>
            <w:r w:rsidRPr="00AB6DA4">
              <w:t xml:space="preserve"> </w:t>
            </w:r>
            <w:r>
              <w:t>3,87-4,38</w:t>
            </w:r>
          </w:p>
          <w:p w:rsidR="00015174" w:rsidRDefault="00015174" w:rsidP="00744258">
            <w:pPr>
              <w:pStyle w:val="tabbielystyl"/>
              <w:jc w:val="left"/>
            </w:pPr>
            <w:r>
              <w:t xml:space="preserve"> PL:</w:t>
            </w:r>
            <w:r w:rsidRPr="00AB6DA4">
              <w:t xml:space="preserve"> </w:t>
            </w:r>
            <w:r>
              <w:t>1,34-1,52</w:t>
            </w:r>
          </w:p>
        </w:tc>
        <w:tc>
          <w:tcPr>
            <w:tcW w:w="1251" w:type="pct"/>
          </w:tcPr>
          <w:p w:rsidR="00015174" w:rsidRDefault="00015174" w:rsidP="00744258">
            <w:pPr>
              <w:pStyle w:val="tabbielystyl"/>
              <w:jc w:val="left"/>
            </w:pPr>
            <w:r>
              <w:t>DE: 3,15-3,61</w:t>
            </w:r>
          </w:p>
          <w:p w:rsidR="00015174" w:rsidRDefault="00015174" w:rsidP="00744258">
            <w:pPr>
              <w:pStyle w:val="tabbielystyl"/>
              <w:jc w:val="left"/>
            </w:pPr>
            <w:r>
              <w:t>ČR: 1,2-1,38</w:t>
            </w:r>
          </w:p>
          <w:p w:rsidR="00015174" w:rsidRDefault="00015174" w:rsidP="00744258">
            <w:pPr>
              <w:pStyle w:val="tabbielystyl"/>
              <w:jc w:val="left"/>
            </w:pPr>
            <w:r>
              <w:t xml:space="preserve"> AT:</w:t>
            </w:r>
            <w:r w:rsidRPr="00AB6DA4">
              <w:t xml:space="preserve"> </w:t>
            </w:r>
            <w:r>
              <w:t>4,43-5,07</w:t>
            </w:r>
          </w:p>
          <w:p w:rsidR="00015174" w:rsidRDefault="00015174" w:rsidP="00744258">
            <w:pPr>
              <w:pStyle w:val="tabbielystyl"/>
              <w:jc w:val="left"/>
            </w:pPr>
            <w:r>
              <w:t xml:space="preserve"> PL:</w:t>
            </w:r>
            <w:r w:rsidRPr="00AB6DA4">
              <w:t xml:space="preserve"> </w:t>
            </w:r>
            <w:r>
              <w:t>1,15-1,32</w:t>
            </w:r>
          </w:p>
        </w:tc>
        <w:tc>
          <w:tcPr>
            <w:tcW w:w="1251" w:type="pct"/>
          </w:tcPr>
          <w:p w:rsidR="00015174" w:rsidRDefault="00015174" w:rsidP="00744258">
            <w:pPr>
              <w:pStyle w:val="tabbielystyl"/>
              <w:jc w:val="left"/>
            </w:pPr>
            <w:r>
              <w:t>DE: 3,02-4,15</w:t>
            </w:r>
          </w:p>
          <w:p w:rsidR="00015174" w:rsidRDefault="00015174" w:rsidP="00744258">
            <w:pPr>
              <w:pStyle w:val="tabbielystyl"/>
              <w:jc w:val="left"/>
            </w:pPr>
            <w:r>
              <w:t>ČR: 1,72-2,37</w:t>
            </w:r>
          </w:p>
          <w:p w:rsidR="00015174" w:rsidRDefault="00015174" w:rsidP="00744258">
            <w:pPr>
              <w:pStyle w:val="tabbielystyl"/>
              <w:jc w:val="left"/>
            </w:pPr>
            <w:r>
              <w:t xml:space="preserve"> AT:</w:t>
            </w:r>
            <w:r w:rsidRPr="00AB6DA4">
              <w:t xml:space="preserve"> </w:t>
            </w:r>
            <w:r>
              <w:t>3,03-4,16</w:t>
            </w:r>
          </w:p>
          <w:p w:rsidR="00015174" w:rsidRDefault="00015174" w:rsidP="00744258">
            <w:pPr>
              <w:pStyle w:val="tabbielystyl"/>
              <w:jc w:val="left"/>
            </w:pPr>
            <w:r>
              <w:t xml:space="preserve"> PL: 1,46-2,0</w:t>
            </w:r>
          </w:p>
        </w:tc>
      </w:tr>
    </w:tbl>
    <w:p w:rsidR="00F14296" w:rsidRDefault="00792AAE" w:rsidP="00F14296">
      <w:pPr>
        <w:pStyle w:val="Nadpis2"/>
        <w:rPr>
          <w:rFonts w:asciiTheme="minorHAnsi" w:hAnsiTheme="minorHAnsi" w:cstheme="minorHAnsi"/>
        </w:rPr>
      </w:pPr>
      <w:bookmarkStart w:id="229" w:name="_Toc20687953"/>
      <w:bookmarkStart w:id="230" w:name="_Toc36664399"/>
      <w:r>
        <w:rPr>
          <w:rFonts w:asciiTheme="minorHAnsi" w:hAnsiTheme="minorHAnsi" w:cstheme="minorHAnsi"/>
        </w:rPr>
        <w:t>Odvodené</w:t>
      </w:r>
      <w:r w:rsidR="0056221C">
        <w:rPr>
          <w:rFonts w:asciiTheme="minorHAnsi" w:hAnsiTheme="minorHAnsi" w:cstheme="minorHAnsi"/>
        </w:rPr>
        <w:t xml:space="preserve"> indikátor</w:t>
      </w:r>
      <w:r w:rsidR="002729D6">
        <w:rPr>
          <w:rFonts w:asciiTheme="minorHAnsi" w:hAnsiTheme="minorHAnsi" w:cstheme="minorHAnsi"/>
        </w:rPr>
        <w:t>y</w:t>
      </w:r>
      <w:r w:rsidR="004054DF" w:rsidRPr="005C150D">
        <w:rPr>
          <w:rFonts w:asciiTheme="minorHAnsi" w:hAnsiTheme="minorHAnsi" w:cstheme="minorHAnsi"/>
        </w:rPr>
        <w:t xml:space="preserve"> efektívnosti systémov </w:t>
      </w:r>
      <w:bookmarkEnd w:id="229"/>
      <w:r>
        <w:rPr>
          <w:rFonts w:asciiTheme="minorHAnsi" w:hAnsiTheme="minorHAnsi" w:cstheme="minorHAnsi"/>
        </w:rPr>
        <w:t>ETC</w:t>
      </w:r>
      <w:bookmarkEnd w:id="230"/>
    </w:p>
    <w:p w:rsidR="00A91486" w:rsidRDefault="00744258" w:rsidP="00FB22E7">
      <w:pPr>
        <w:pStyle w:val="Normaltext"/>
        <w:spacing w:line="276" w:lineRule="auto"/>
      </w:pPr>
      <w:r>
        <w:t xml:space="preserve">Vzhľadom na jedinečnosť každého z porovnávaných systémov ETC je </w:t>
      </w:r>
      <w:r w:rsidR="00A15149">
        <w:t xml:space="preserve">pre hodnotenie efektívnosti systémov </w:t>
      </w:r>
      <w:r>
        <w:t xml:space="preserve">vyjadrenie </w:t>
      </w:r>
      <w:r w:rsidR="00A15149">
        <w:t xml:space="preserve">ich </w:t>
      </w:r>
      <w:r>
        <w:t xml:space="preserve">nákladovosti a výnosovosti </w:t>
      </w:r>
      <w:r w:rsidR="00A15149">
        <w:t>síce</w:t>
      </w:r>
      <w:r>
        <w:t xml:space="preserve"> štandardným </w:t>
      </w:r>
      <w:r w:rsidR="00A15149">
        <w:t>postupom</w:t>
      </w:r>
      <w:r>
        <w:t>, avšak riešením</w:t>
      </w:r>
      <w:r w:rsidR="008C1017">
        <w:t xml:space="preserve"> nezohľadňujúcim </w:t>
      </w:r>
      <w:r w:rsidR="00A15149">
        <w:t xml:space="preserve">iné </w:t>
      </w:r>
      <w:r>
        <w:t>špecifiká konfigurácie systémov</w:t>
      </w:r>
      <w:r w:rsidR="008C1017">
        <w:t>, ktoré sú</w:t>
      </w:r>
      <w:r w:rsidR="00A15149">
        <w:t xml:space="preserve"> </w:t>
      </w:r>
      <w:r>
        <w:t xml:space="preserve">v mnohých prípadoch </w:t>
      </w:r>
      <w:r w:rsidR="00EE153E">
        <w:t xml:space="preserve">ťažko </w:t>
      </w:r>
      <w:r w:rsidR="00A15149">
        <w:t>ovplyvniteľné zo strany prevádzkovateľa</w:t>
      </w:r>
      <w:r w:rsidR="008C1017">
        <w:t xml:space="preserve"> </w:t>
      </w:r>
      <w:r w:rsidR="00A15149">
        <w:t xml:space="preserve">alebo správcu systému. </w:t>
      </w:r>
      <w:r w:rsidR="0001046D">
        <w:t>Ide najmä o dopravné parametre systémov - dĺžku spoplatnenej siete a dopravné intenzity povinných vozidiel na sieti, ktoré v základe ovplyvňujú výšku výnosov ako </w:t>
      </w:r>
      <w:r w:rsidR="009B1D73">
        <w:t xml:space="preserve">aj </w:t>
      </w:r>
      <w:r w:rsidR="0001046D">
        <w:t xml:space="preserve">nákladov systémov a tým ich celkovú efektívnosť.   </w:t>
      </w:r>
    </w:p>
    <w:p w:rsidR="00FB22E7" w:rsidRDefault="00F14296" w:rsidP="00FB22E7">
      <w:pPr>
        <w:pStyle w:val="Normaltext"/>
        <w:spacing w:line="276" w:lineRule="auto"/>
      </w:pPr>
      <w:r>
        <w:t xml:space="preserve">Odvodené </w:t>
      </w:r>
      <w:r w:rsidR="00744258">
        <w:t xml:space="preserve">indikátory </w:t>
      </w:r>
      <w:r>
        <w:t>efektívnosti systémov ETC predstavujú pomerové ukazovatele výnosov a nákladov systémov ETC k</w:t>
      </w:r>
      <w:r w:rsidR="00FB22E7">
        <w:t> </w:t>
      </w:r>
      <w:r w:rsidR="00C13E45">
        <w:t>uvedeným</w:t>
      </w:r>
      <w:r w:rsidR="00FB22E7">
        <w:t xml:space="preserve"> </w:t>
      </w:r>
      <w:r>
        <w:t>dopravným špecifikám daného štátu</w:t>
      </w:r>
      <w:r w:rsidR="00D07073">
        <w:t>:</w:t>
      </w:r>
    </w:p>
    <w:p w:rsidR="00D07073" w:rsidRDefault="00D07073" w:rsidP="00D95B44">
      <w:pPr>
        <w:pStyle w:val="Normaltext"/>
        <w:numPr>
          <w:ilvl w:val="0"/>
          <w:numId w:val="29"/>
        </w:numPr>
        <w:spacing w:line="276" w:lineRule="auto"/>
      </w:pPr>
      <w:r>
        <w:t>výnosové indikátory efektívnosti:</w:t>
      </w:r>
    </w:p>
    <w:p w:rsidR="00D07073" w:rsidRDefault="00D07073" w:rsidP="00D95B44">
      <w:pPr>
        <w:pStyle w:val="Normaltext"/>
        <w:numPr>
          <w:ilvl w:val="1"/>
          <w:numId w:val="29"/>
        </w:numPr>
        <w:spacing w:line="276" w:lineRule="auto"/>
      </w:pPr>
      <w:r>
        <w:t>kilometrické výnosy,</w:t>
      </w:r>
    </w:p>
    <w:p w:rsidR="00D07073" w:rsidRDefault="00D07073" w:rsidP="00D95B44">
      <w:pPr>
        <w:pStyle w:val="Normaltext"/>
        <w:numPr>
          <w:ilvl w:val="1"/>
          <w:numId w:val="29"/>
        </w:numPr>
        <w:spacing w:line="276" w:lineRule="auto"/>
      </w:pPr>
      <w:r>
        <w:t>vozokilometrické výnosy,</w:t>
      </w:r>
    </w:p>
    <w:p w:rsidR="00D07073" w:rsidRDefault="00D07073" w:rsidP="00D95B44">
      <w:pPr>
        <w:pStyle w:val="Normaltext"/>
        <w:numPr>
          <w:ilvl w:val="0"/>
          <w:numId w:val="29"/>
        </w:numPr>
        <w:spacing w:line="276" w:lineRule="auto"/>
      </w:pPr>
      <w:r>
        <w:t>nákladové indikátory efektívnosti:</w:t>
      </w:r>
    </w:p>
    <w:p w:rsidR="00D07073" w:rsidRDefault="00D07073" w:rsidP="00D95B44">
      <w:pPr>
        <w:pStyle w:val="Normaltext"/>
        <w:numPr>
          <w:ilvl w:val="1"/>
          <w:numId w:val="29"/>
        </w:numPr>
        <w:spacing w:line="276" w:lineRule="auto"/>
      </w:pPr>
      <w:r>
        <w:t>kilometrické náklady,</w:t>
      </w:r>
    </w:p>
    <w:p w:rsidR="00FB22E7" w:rsidRDefault="00D07073" w:rsidP="00D95B44">
      <w:pPr>
        <w:pStyle w:val="Normaltext"/>
        <w:numPr>
          <w:ilvl w:val="1"/>
          <w:numId w:val="29"/>
        </w:numPr>
        <w:spacing w:line="276" w:lineRule="auto"/>
      </w:pPr>
      <w:r>
        <w:t>vozokilometrické náklady.</w:t>
      </w:r>
      <w:r w:rsidR="00FB22E7" w:rsidRPr="00341824">
        <w:rPr>
          <w:rFonts w:asciiTheme="minorHAnsi" w:hAnsiTheme="minorHAnsi" w:cstheme="minorHAnsi"/>
        </w:rPr>
        <w:tab/>
      </w:r>
    </w:p>
    <w:p w:rsidR="006703FB" w:rsidRDefault="00422F9F" w:rsidP="006703FB">
      <w:pPr>
        <w:pStyle w:val="Nadpis3"/>
        <w:rPr>
          <w:rFonts w:asciiTheme="minorHAnsi" w:hAnsiTheme="minorHAnsi" w:cstheme="minorHAnsi"/>
        </w:rPr>
      </w:pPr>
      <w:bookmarkStart w:id="231" w:name="_Toc20687956"/>
      <w:bookmarkStart w:id="232" w:name="_Toc36664400"/>
      <w:r>
        <w:rPr>
          <w:rFonts w:asciiTheme="minorHAnsi" w:hAnsiTheme="minorHAnsi" w:cstheme="minorHAnsi"/>
        </w:rPr>
        <w:t>Výnosov</w:t>
      </w:r>
      <w:r w:rsidR="00792AAE">
        <w:rPr>
          <w:rFonts w:asciiTheme="minorHAnsi" w:hAnsiTheme="minorHAnsi" w:cstheme="minorHAnsi"/>
        </w:rPr>
        <w:t>é</w:t>
      </w:r>
      <w:r>
        <w:rPr>
          <w:rFonts w:asciiTheme="minorHAnsi" w:hAnsiTheme="minorHAnsi" w:cstheme="minorHAnsi"/>
        </w:rPr>
        <w:t xml:space="preserve"> </w:t>
      </w:r>
      <w:r w:rsidR="006703FB" w:rsidRPr="005C150D">
        <w:rPr>
          <w:rFonts w:asciiTheme="minorHAnsi" w:hAnsiTheme="minorHAnsi" w:cstheme="minorHAnsi"/>
        </w:rPr>
        <w:t>indikátory efektívnosti</w:t>
      </w:r>
      <w:bookmarkEnd w:id="231"/>
      <w:bookmarkEnd w:id="232"/>
    </w:p>
    <w:p w:rsidR="006703FB" w:rsidRPr="00377087" w:rsidRDefault="00792AAE" w:rsidP="003D0983">
      <w:pPr>
        <w:pStyle w:val="Nadpis4"/>
      </w:pPr>
      <w:bookmarkStart w:id="233" w:name="_Toc36664401"/>
      <w:r w:rsidRPr="00377087">
        <w:t>K</w:t>
      </w:r>
      <w:r w:rsidR="0056221C" w:rsidRPr="00377087">
        <w:t>ilometrické výnosy</w:t>
      </w:r>
      <w:r w:rsidR="00747A79" w:rsidRPr="00377087">
        <w:t xml:space="preserve"> systémov ETC</w:t>
      </w:r>
      <w:bookmarkEnd w:id="233"/>
    </w:p>
    <w:p w:rsidR="007B75E9" w:rsidRDefault="004E7DB3" w:rsidP="00987F7E">
      <w:pPr>
        <w:pStyle w:val="Normaltext"/>
        <w:spacing w:line="276" w:lineRule="auto"/>
      </w:pPr>
      <w:r>
        <w:t xml:space="preserve">Kilometrické výnosy </w:t>
      </w:r>
      <w:r w:rsidR="007B75E9">
        <w:t xml:space="preserve">vyjadrujú, koľko </w:t>
      </w:r>
      <w:r w:rsidR="00874EAC">
        <w:t xml:space="preserve">€ </w:t>
      </w:r>
      <w:r w:rsidR="007B75E9">
        <w:t xml:space="preserve">výnosov systému ETC pripadá na jeden kilometer spoplatnenej siete. </w:t>
      </w:r>
      <w:r w:rsidR="00A67FA3">
        <w:t>Z hľadiska hodnotenia efektívnosti systému platí, čím sú výnosy systému ETC vyššie a dĺžka spoplatnenej siete nižšia, tým je efektívnosť systému na jednotkovom kilometri siete vyššia.</w:t>
      </w:r>
      <w:r w:rsidR="00C13E45">
        <w:t xml:space="preserve"> Výpočet výnosov na priemernom jednotkovom kilometri sieti je nasledujúci:</w:t>
      </w:r>
    </w:p>
    <w:p w:rsidR="006F7C1D" w:rsidRPr="006F7C1D" w:rsidRDefault="006F7C1D" w:rsidP="00987F7E">
      <w:pPr>
        <w:pStyle w:val="Normaltext"/>
        <w:spacing w:line="276" w:lineRule="auto"/>
        <w:rPr>
          <w:sz w:val="6"/>
          <w:szCs w:val="6"/>
        </w:rPr>
      </w:pPr>
    </w:p>
    <w:p w:rsidR="00C13E45" w:rsidRDefault="00C40D3F" w:rsidP="00C13E45">
      <w:pPr>
        <w:pStyle w:val="Normaltext"/>
        <w:spacing w:line="276" w:lineRule="auto"/>
      </w:pPr>
      <m:oMathPara>
        <m:oMath>
          <m:sSub>
            <m:sSubPr>
              <m:ctrlPr>
                <w:rPr>
                  <w:rFonts w:ascii="Cambria Math" w:hAnsi="Cambria Math" w:cs="Arial"/>
                  <w:i/>
                </w:rPr>
              </m:ctrlPr>
            </m:sSubPr>
            <m:e>
              <m:r>
                <w:rPr>
                  <w:rFonts w:ascii="Cambria Math" w:hAnsi="Cambria Math" w:cs="Arial"/>
                </w:rPr>
                <m:t>kilometrické výnosy</m:t>
              </m:r>
            </m:e>
            <m:sub>
              <m:r>
                <w:rPr>
                  <w:rFonts w:ascii="Cambria Math" w:hAnsi="Cambria Math" w:cs="Arial"/>
                </w:rPr>
                <m:t>r</m:t>
              </m:r>
            </m:sub>
          </m:sSub>
          <m:r>
            <w:rPr>
              <w:rFonts w:ascii="Cambria Math" w:hAnsi="Cambria Math" w:cs="Arial"/>
            </w:rPr>
            <m:t xml:space="preserve">= </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výnosy</m:t>
                  </m:r>
                </m:e>
                <m:sub>
                  <m:r>
                    <w:rPr>
                      <w:rFonts w:ascii="Cambria Math" w:hAnsi="Cambria Math" w:cs="Arial"/>
                    </w:rPr>
                    <m:t>r</m:t>
                  </m:r>
                </m:sub>
              </m:sSub>
            </m:num>
            <m:den>
              <m:sSub>
                <m:sSubPr>
                  <m:ctrlPr>
                    <w:rPr>
                      <w:rFonts w:ascii="Cambria Math" w:hAnsi="Cambria Math" w:cs="Arial"/>
                      <w:i/>
                    </w:rPr>
                  </m:ctrlPr>
                </m:sSubPr>
                <m:e>
                  <m:r>
                    <w:rPr>
                      <w:rFonts w:ascii="Cambria Math" w:hAnsi="Cambria Math" w:cs="Arial"/>
                    </w:rPr>
                    <m:t>dĺžka spoplatnenej siete</m:t>
                  </m:r>
                </m:e>
                <m:sub>
                  <m:r>
                    <w:rPr>
                      <w:rFonts w:ascii="Cambria Math" w:hAnsi="Cambria Math" w:cs="Arial"/>
                    </w:rPr>
                    <m:t>r</m:t>
                  </m:r>
                </m:sub>
              </m:sSub>
            </m:den>
          </m:f>
          <m:r>
            <w:rPr>
              <w:rFonts w:ascii="Cambria Math" w:hAnsi="Cambria Math" w:cs="Arial"/>
            </w:rPr>
            <m:t xml:space="preserve">  </m:t>
          </m:r>
          <m:r>
            <w:rPr>
              <w:rFonts w:ascii="Cambria Math" w:hAnsi="Cambria Math" w:cstheme="minorHAnsi"/>
            </w:rPr>
            <m:t>(€/km)</m:t>
          </m:r>
        </m:oMath>
      </m:oMathPara>
    </w:p>
    <w:p w:rsidR="006F7C1D" w:rsidRPr="006F7C1D" w:rsidRDefault="006F7C1D" w:rsidP="00C13E45">
      <w:pPr>
        <w:pStyle w:val="Normaltext"/>
        <w:spacing w:line="276" w:lineRule="auto"/>
        <w:rPr>
          <w:sz w:val="6"/>
          <w:szCs w:val="6"/>
        </w:rPr>
      </w:pPr>
    </w:p>
    <w:p w:rsidR="004E7DB3" w:rsidRDefault="007B75E9" w:rsidP="00987F7E">
      <w:pPr>
        <w:pStyle w:val="Normaltext"/>
        <w:spacing w:line="276" w:lineRule="auto"/>
      </w:pPr>
      <w:r>
        <w:t>Z</w:t>
      </w:r>
      <w:r w:rsidR="00874EAC">
        <w:t> </w:t>
      </w:r>
      <w:r>
        <w:t>porovnania</w:t>
      </w:r>
      <w:r w:rsidR="00874EAC">
        <w:t xml:space="preserve"> priemerných ročných </w:t>
      </w:r>
      <w:r>
        <w:t>dĺžok siete vymedzených úsekov ciest v SR a</w:t>
      </w:r>
      <w:r w:rsidR="00874EAC">
        <w:t> </w:t>
      </w:r>
      <w:r>
        <w:t>zahraničí</w:t>
      </w:r>
      <w:r w:rsidR="00874EAC">
        <w:t xml:space="preserve"> </w:t>
      </w:r>
      <w:r w:rsidR="003D5D7B">
        <w:t>(</w:t>
      </w:r>
      <w:r w:rsidR="00AE5B8A">
        <w:fldChar w:fldCharType="begin"/>
      </w:r>
      <w:r w:rsidR="003D5D7B">
        <w:instrText xml:space="preserve"> REF _Ref23786199 \h </w:instrText>
      </w:r>
      <w:r w:rsidR="00AE5B8A">
        <w:fldChar w:fldCharType="separate"/>
      </w:r>
      <w:r w:rsidR="001E4C1C">
        <w:t xml:space="preserve">Tab.  </w:t>
      </w:r>
      <w:r w:rsidR="001E4C1C">
        <w:rPr>
          <w:noProof/>
        </w:rPr>
        <w:t>2</w:t>
      </w:r>
      <w:r w:rsidR="001E4C1C">
        <w:noBreakHyphen/>
      </w:r>
      <w:r w:rsidR="001E4C1C">
        <w:rPr>
          <w:noProof/>
        </w:rPr>
        <w:t>1</w:t>
      </w:r>
      <w:r w:rsidR="00AE5B8A">
        <w:fldChar w:fldCharType="end"/>
      </w:r>
      <w:r w:rsidR="003D5D7B">
        <w:t xml:space="preserve">) </w:t>
      </w:r>
      <w:r w:rsidR="00874EAC">
        <w:t>počas sledovaného deväťročného prevádzkového obdobia (základný scenár)</w:t>
      </w:r>
      <w:r>
        <w:t xml:space="preserve"> vyplynulo, že najd</w:t>
      </w:r>
      <w:r w:rsidR="00874EAC">
        <w:t>lhšiu spoplatnenú sieť obsluhuje</w:t>
      </w:r>
      <w:r>
        <w:t xml:space="preserve"> systém ETC v</w:t>
      </w:r>
      <w:r w:rsidR="00874EAC">
        <w:t> </w:t>
      </w:r>
      <w:r>
        <w:t>Nemecku</w:t>
      </w:r>
      <w:r w:rsidR="00874EAC">
        <w:t xml:space="preserve"> (12</w:t>
      </w:r>
      <w:r w:rsidR="00637A3E">
        <w:t> </w:t>
      </w:r>
      <w:r w:rsidR="00874EAC">
        <w:t>913 km)</w:t>
      </w:r>
      <w:r>
        <w:t xml:space="preserve">, potom v </w:t>
      </w:r>
      <w:r w:rsidR="00874EAC">
        <w:t>Poľsku</w:t>
      </w:r>
      <w:r>
        <w:t xml:space="preserve"> </w:t>
      </w:r>
      <w:r w:rsidR="00874EAC">
        <w:t>(2</w:t>
      </w:r>
      <w:r w:rsidR="00572518">
        <w:t> </w:t>
      </w:r>
      <w:r w:rsidR="00874EAC">
        <w:t>865 km), v Slovenskej republike (2</w:t>
      </w:r>
      <w:r w:rsidR="00637A3E">
        <w:t> </w:t>
      </w:r>
      <w:r w:rsidR="00874EAC">
        <w:t>190 km) a Rakúsku (2</w:t>
      </w:r>
      <w:r w:rsidR="00637A3E">
        <w:t> </w:t>
      </w:r>
      <w:r w:rsidR="00874EAC">
        <w:t>111 km) a najkratšiu sieť má systém ETC v Českej republike</w:t>
      </w:r>
      <w:r w:rsidR="00987F7E">
        <w:t xml:space="preserve"> (1</w:t>
      </w:r>
      <w:r w:rsidR="00637A3E">
        <w:t> </w:t>
      </w:r>
      <w:r w:rsidR="00987F7E">
        <w:t>321 km)</w:t>
      </w:r>
      <w:r w:rsidR="00874EAC">
        <w:t xml:space="preserve">. </w:t>
      </w:r>
    </w:p>
    <w:p w:rsidR="00987F7E" w:rsidRDefault="00874EAC" w:rsidP="0092236F">
      <w:r>
        <w:t xml:space="preserve">Na druhej strane, z porovnania priemerných ročných výnosov týchto systémov </w:t>
      </w:r>
      <w:r w:rsidR="00987F7E">
        <w:t xml:space="preserve">za deväťročné obdobie ich prevádzky </w:t>
      </w:r>
      <w:r>
        <w:t xml:space="preserve">vyplýva </w:t>
      </w:r>
      <w:r w:rsidR="00987F7E">
        <w:t>iné poradie štátov</w:t>
      </w:r>
      <w:r w:rsidR="003D5D7B">
        <w:t xml:space="preserve"> (</w:t>
      </w:r>
      <w:r w:rsidR="00AE5B8A">
        <w:fldChar w:fldCharType="begin"/>
      </w:r>
      <w:r w:rsidR="003D5D7B">
        <w:instrText xml:space="preserve"> REF _Ref23786249 \h </w:instrText>
      </w:r>
      <w:r w:rsidR="00AE5B8A">
        <w:fldChar w:fldCharType="separate"/>
      </w:r>
      <w:r w:rsidR="001E4C1C">
        <w:t xml:space="preserve">Tab.  </w:t>
      </w:r>
      <w:r w:rsidR="001E4C1C">
        <w:rPr>
          <w:noProof/>
        </w:rPr>
        <w:t>2</w:t>
      </w:r>
      <w:r w:rsidR="001E4C1C">
        <w:noBreakHyphen/>
      </w:r>
      <w:r w:rsidR="001E4C1C">
        <w:rPr>
          <w:noProof/>
        </w:rPr>
        <w:t>4</w:t>
      </w:r>
      <w:r w:rsidR="00AE5B8A">
        <w:fldChar w:fldCharType="end"/>
      </w:r>
      <w:r w:rsidR="003D5D7B">
        <w:t xml:space="preserve">). </w:t>
      </w:r>
      <w:r w:rsidR="00987F7E">
        <w:t>Najvyššie výnosy dosahuje nemecký systém ETC (3834 mil. €), ďalej rakúsky systém (954 mil. €), systém ETC v Českej republike (288 mil. €) a v Poľsk</w:t>
      </w:r>
      <w:r w:rsidR="00637A3E">
        <w:t>u</w:t>
      </w:r>
      <w:r w:rsidR="00987F7E">
        <w:t xml:space="preserve"> (286 mil. €), pričom slovenský mýtny systém dosahuje najnižšie výnosy (175 – 177 mil. €). </w:t>
      </w:r>
      <w:r w:rsidR="00987F7E" w:rsidRPr="00987F7E">
        <w:t xml:space="preserve"> </w:t>
      </w:r>
    </w:p>
    <w:p w:rsidR="009B1D73" w:rsidRDefault="009B1D73" w:rsidP="001D5869">
      <w:pPr>
        <w:pStyle w:val="Normaltext"/>
        <w:spacing w:line="276" w:lineRule="auto"/>
      </w:pPr>
      <w:r>
        <w:t xml:space="preserve">Vývoj </w:t>
      </w:r>
      <w:r w:rsidR="001D5869">
        <w:t>uvedeného</w:t>
      </w:r>
      <w:r>
        <w:t xml:space="preserve"> indikátora efektívnosti počas deviatich rok</w:t>
      </w:r>
      <w:r w:rsidR="00A67FA3">
        <w:t xml:space="preserve">ov prevádzky systému </w:t>
      </w:r>
      <w:r w:rsidR="001D5869">
        <w:t xml:space="preserve">je zobrazený na </w:t>
      </w:r>
      <w:r w:rsidR="00A67FA3">
        <w:t xml:space="preserve"> obráz</w:t>
      </w:r>
      <w:r w:rsidR="001D5869">
        <w:t>ku</w:t>
      </w:r>
      <w:r w:rsidR="00A67FA3">
        <w:t xml:space="preserve"> (</w:t>
      </w:r>
      <w:r w:rsidR="00AE5B8A">
        <w:fldChar w:fldCharType="begin"/>
      </w:r>
      <w:r w:rsidR="00FF573D">
        <w:instrText xml:space="preserve"> REF _Ref21710819 \h </w:instrText>
      </w:r>
      <w:r w:rsidR="00AE5B8A">
        <w:fldChar w:fldCharType="separate"/>
      </w:r>
      <w:r w:rsidR="001E4C1C" w:rsidRPr="004C1013">
        <w:t xml:space="preserve">Obr. </w:t>
      </w:r>
      <w:r w:rsidR="001E4C1C">
        <w:rPr>
          <w:noProof/>
        </w:rPr>
        <w:t>2</w:t>
      </w:r>
      <w:r w:rsidR="001E4C1C">
        <w:noBreakHyphen/>
      </w:r>
      <w:r w:rsidR="001E4C1C">
        <w:rPr>
          <w:noProof/>
        </w:rPr>
        <w:t>15</w:t>
      </w:r>
      <w:r w:rsidR="00AE5B8A">
        <w:fldChar w:fldCharType="end"/>
      </w:r>
      <w:r w:rsidR="00A67FA3">
        <w:t>)</w:t>
      </w:r>
      <w:r w:rsidR="001B57D3">
        <w:t>. P</w:t>
      </w:r>
      <w:r w:rsidR="001D5869">
        <w:t>riemerné ročné kilometrické výnosy systémov ETC v jednotlivých časových scenároch obdobia prevádzky systému prezentuje obrázok (</w:t>
      </w:r>
      <w:r w:rsidR="00AE5B8A">
        <w:fldChar w:fldCharType="begin"/>
      </w:r>
      <w:r w:rsidR="00FF573D">
        <w:instrText xml:space="preserve"> REF _Ref21710835 \h </w:instrText>
      </w:r>
      <w:r w:rsidR="00AE5B8A">
        <w:fldChar w:fldCharType="separate"/>
      </w:r>
      <w:r w:rsidR="001E4C1C" w:rsidRPr="004C1013">
        <w:t xml:space="preserve">Obr. </w:t>
      </w:r>
      <w:r w:rsidR="001E4C1C">
        <w:rPr>
          <w:noProof/>
        </w:rPr>
        <w:t>2</w:t>
      </w:r>
      <w:r w:rsidR="001E4C1C">
        <w:noBreakHyphen/>
      </w:r>
      <w:r w:rsidR="001E4C1C">
        <w:rPr>
          <w:noProof/>
        </w:rPr>
        <w:t>16</w:t>
      </w:r>
      <w:r w:rsidR="00AE5B8A">
        <w:fldChar w:fldCharType="end"/>
      </w:r>
      <w:r w:rsidR="001D5869">
        <w:t>)</w:t>
      </w:r>
      <w:r w:rsidR="00C57A9B">
        <w:t>.</w:t>
      </w:r>
      <w:r w:rsidR="006F7C1D">
        <w:t xml:space="preserve"> </w:t>
      </w:r>
    </w:p>
    <w:p w:rsidR="006F7C1D" w:rsidRDefault="006F7C1D" w:rsidP="006F7C1D">
      <w:pPr>
        <w:pStyle w:val="Normaltext"/>
        <w:spacing w:line="276" w:lineRule="auto"/>
      </w:pPr>
      <w:r w:rsidRPr="001D5869">
        <w:t xml:space="preserve">Na základe výsledkov analýzy možno </w:t>
      </w:r>
      <w:r w:rsidRPr="00BC7CE2">
        <w:t>konštatovať</w:t>
      </w:r>
      <w:r w:rsidRPr="00BC7CE2">
        <w:rPr>
          <w:b/>
        </w:rPr>
        <w:t xml:space="preserve"> najnižšie kilometrické výnosy systému v Slovenskej republike, naopak najvyššie v</w:t>
      </w:r>
      <w:r>
        <w:rPr>
          <w:b/>
        </w:rPr>
        <w:t> </w:t>
      </w:r>
      <w:r w:rsidRPr="00BC7CE2">
        <w:rPr>
          <w:b/>
        </w:rPr>
        <w:t>Rakúsku</w:t>
      </w:r>
      <w:r>
        <w:rPr>
          <w:b/>
        </w:rPr>
        <w:t>,</w:t>
      </w:r>
      <w:r>
        <w:t xml:space="preserve"> a to pre všetky uvažované scenáre obdobia prevádzky systému (</w:t>
      </w:r>
      <w:r w:rsidR="00AE5B8A">
        <w:fldChar w:fldCharType="begin"/>
      </w:r>
      <w:r>
        <w:instrText xml:space="preserve"> REF _Ref21710819 \h </w:instrText>
      </w:r>
      <w:r w:rsidR="00AE5B8A">
        <w:fldChar w:fldCharType="separate"/>
      </w:r>
      <w:r w:rsidR="001E4C1C" w:rsidRPr="004C1013">
        <w:t xml:space="preserve">Obr. </w:t>
      </w:r>
      <w:r w:rsidR="001E4C1C">
        <w:rPr>
          <w:noProof/>
        </w:rPr>
        <w:t>2</w:t>
      </w:r>
      <w:r w:rsidR="001E4C1C">
        <w:noBreakHyphen/>
      </w:r>
      <w:r w:rsidR="001E4C1C">
        <w:rPr>
          <w:noProof/>
        </w:rPr>
        <w:t>15</w:t>
      </w:r>
      <w:r w:rsidR="00AE5B8A">
        <w:fldChar w:fldCharType="end"/>
      </w:r>
      <w:r>
        <w:t>), (</w:t>
      </w:r>
      <w:r w:rsidR="00AE5B8A">
        <w:fldChar w:fldCharType="begin"/>
      </w:r>
      <w:r>
        <w:instrText xml:space="preserve"> REF _Ref21710835 \h </w:instrText>
      </w:r>
      <w:r w:rsidR="00AE5B8A">
        <w:fldChar w:fldCharType="separate"/>
      </w:r>
      <w:r w:rsidR="001E4C1C" w:rsidRPr="004C1013">
        <w:t xml:space="preserve">Obr. </w:t>
      </w:r>
      <w:r w:rsidR="001E4C1C">
        <w:rPr>
          <w:noProof/>
        </w:rPr>
        <w:t>2</w:t>
      </w:r>
      <w:r w:rsidR="001E4C1C">
        <w:noBreakHyphen/>
      </w:r>
      <w:r w:rsidR="001E4C1C">
        <w:rPr>
          <w:noProof/>
        </w:rPr>
        <w:t>16</w:t>
      </w:r>
      <w:r w:rsidR="00AE5B8A">
        <w:fldChar w:fldCharType="end"/>
      </w:r>
      <w:r>
        <w:t xml:space="preserve">). </w:t>
      </w:r>
    </w:p>
    <w:p w:rsidR="003F4725" w:rsidRDefault="003F4725" w:rsidP="003F4725">
      <w:pPr>
        <w:pStyle w:val="Normaltext"/>
      </w:pPr>
      <w:r w:rsidRPr="003F4725">
        <w:rPr>
          <w:noProof/>
          <w:lang w:eastAsia="sk-SK"/>
        </w:rPr>
        <w:drawing>
          <wp:inline distT="0" distB="0" distL="0" distR="0">
            <wp:extent cx="5936615" cy="2199600"/>
            <wp:effectExtent l="0" t="0" r="6985" b="0"/>
            <wp:docPr id="51" name="Graf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0E1653" w:rsidRDefault="001F026F">
      <w:pPr>
        <w:pStyle w:val="Normaltext"/>
      </w:pPr>
      <w:bookmarkStart w:id="234" w:name="_Ref21710819"/>
      <w:bookmarkStart w:id="235" w:name="_Toc36664524"/>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15</w:t>
      </w:r>
      <w:r w:rsidR="00C40D3F">
        <w:rPr>
          <w:noProof/>
        </w:rPr>
        <w:fldChar w:fldCharType="end"/>
      </w:r>
      <w:bookmarkEnd w:id="234"/>
      <w:r w:rsidRPr="004C1013">
        <w:tab/>
      </w:r>
      <w:r>
        <w:t>Ročné kilometrické výnosy systémov ETC v prevádzkových rokoch (základný scenár: 1. -  9. rok)</w:t>
      </w:r>
      <w:bookmarkEnd w:id="235"/>
    </w:p>
    <w:p w:rsidR="009505B2" w:rsidRDefault="009505B2" w:rsidP="009505B2">
      <w:pPr>
        <w:pStyle w:val="Normaltext"/>
      </w:pPr>
      <w:r>
        <w:rPr>
          <w:noProof/>
          <w:lang w:eastAsia="sk-SK"/>
        </w:rPr>
        <w:drawing>
          <wp:inline distT="0" distB="0" distL="0" distR="0">
            <wp:extent cx="5936615" cy="1620000"/>
            <wp:effectExtent l="0" t="0" r="6985" b="0"/>
            <wp:docPr id="12"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r>
        <w:rPr>
          <w:noProof/>
          <w:lang w:eastAsia="sk-SK"/>
        </w:rPr>
        <w:drawing>
          <wp:inline distT="0" distB="0" distL="0" distR="0">
            <wp:extent cx="5936615" cy="1620000"/>
            <wp:effectExtent l="0" t="0" r="6985" b="0"/>
            <wp:docPr id="13"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r>
        <w:rPr>
          <w:noProof/>
          <w:lang w:eastAsia="sk-SK"/>
        </w:rPr>
        <w:drawing>
          <wp:inline distT="0" distB="0" distL="0" distR="0">
            <wp:extent cx="5936615" cy="1620000"/>
            <wp:effectExtent l="0" t="0" r="6985" b="0"/>
            <wp:docPr id="14" name="Graf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9505B2" w:rsidRPr="004C1013" w:rsidRDefault="009505B2" w:rsidP="009505B2">
      <w:pPr>
        <w:pStyle w:val="Popis"/>
      </w:pPr>
      <w:bookmarkStart w:id="236" w:name="_Ref21710835"/>
      <w:bookmarkStart w:id="237" w:name="_Toc36664525"/>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16</w:t>
      </w:r>
      <w:r w:rsidR="00C40D3F">
        <w:rPr>
          <w:noProof/>
        </w:rPr>
        <w:fldChar w:fldCharType="end"/>
      </w:r>
      <w:bookmarkEnd w:id="236"/>
      <w:r w:rsidRPr="004C1013">
        <w:tab/>
      </w:r>
      <w:r>
        <w:t>Priemerné ročné kilometrické výnosy systémov ETC (základný scenár, subscenár A, subscenár B)</w:t>
      </w:r>
      <w:bookmarkEnd w:id="237"/>
    </w:p>
    <w:p w:rsidR="00094C82" w:rsidRDefault="00094C82">
      <w:pPr>
        <w:spacing w:before="0" w:after="0" w:line="240" w:lineRule="auto"/>
        <w:jc w:val="left"/>
      </w:pPr>
      <w:r>
        <w:br w:type="page"/>
      </w:r>
    </w:p>
    <w:p w:rsidR="00BC7CE2" w:rsidRDefault="00BC7CE2" w:rsidP="00BC7CE2">
      <w:pPr>
        <w:pStyle w:val="Normaltext"/>
        <w:spacing w:line="276" w:lineRule="auto"/>
      </w:pPr>
      <w:r>
        <w:t>Aj napriek dlhšej spoplatnenej sieti na Slovensku oproti Rakúsku a Českej republike, sú kilometrické výnosy systému v Českej republike takmer 2,7-násobne vyššie ako v SR a v Rakúsku až približne 5,6-násobne vyššie ako v SR. V Poľsku sú kilometrické výnosy systému najbližšie k hodnotám ukazovateľa v SR, a to na úrovni 1,3 násobku (</w:t>
      </w:r>
      <w:r w:rsidR="00AE5B8A">
        <w:fldChar w:fldCharType="begin"/>
      </w:r>
      <w:r w:rsidR="00FF573D">
        <w:instrText xml:space="preserve"> REF _Ref21711026 \h </w:instrText>
      </w:r>
      <w:r w:rsidR="00AE5B8A">
        <w:fldChar w:fldCharType="separate"/>
      </w:r>
      <w:r w:rsidR="001E4C1C">
        <w:t xml:space="preserve">Tab.  </w:t>
      </w:r>
      <w:r w:rsidR="001E4C1C">
        <w:rPr>
          <w:noProof/>
        </w:rPr>
        <w:t>2</w:t>
      </w:r>
      <w:r w:rsidR="001E4C1C">
        <w:noBreakHyphen/>
      </w:r>
      <w:r w:rsidR="001E4C1C">
        <w:rPr>
          <w:noProof/>
        </w:rPr>
        <w:t>8</w:t>
      </w:r>
      <w:r w:rsidR="00AE5B8A">
        <w:fldChar w:fldCharType="end"/>
      </w:r>
      <w:r>
        <w:t>). Na druhej strane, porovnaním kilometrických výnosov Nemecka a</w:t>
      </w:r>
      <w:r w:rsidR="001B57D3">
        <w:t> </w:t>
      </w:r>
      <w:r>
        <w:t>Rakúska</w:t>
      </w:r>
      <w:r w:rsidR="001B57D3">
        <w:t>,</w:t>
      </w:r>
      <w:r w:rsidRPr="00BC7CE2">
        <w:t xml:space="preserve"> </w:t>
      </w:r>
      <w:r>
        <w:t>je zrejmá vyššia e</w:t>
      </w:r>
      <w:r w:rsidR="002C7CEE">
        <w:t>fektívnosť systému ET</w:t>
      </w:r>
      <w:r>
        <w:t xml:space="preserve">C v Rakúsku. </w:t>
      </w:r>
    </w:p>
    <w:p w:rsidR="00747A79" w:rsidRDefault="00747A79" w:rsidP="00BC7CE2">
      <w:pPr>
        <w:pStyle w:val="Normaltext"/>
        <w:spacing w:line="276" w:lineRule="auto"/>
      </w:pPr>
      <w:r>
        <w:t xml:space="preserve">Na základe uvedeného možno konštatovať, že </w:t>
      </w:r>
      <w:r w:rsidRPr="00EE3F56">
        <w:rPr>
          <w:b/>
        </w:rPr>
        <w:t>úroveň kilometrických výnosov je ovplyvnená ďalšími faktormi, a to najmä dopravnou intenzitou povinných vozidiel a mýtnou sadzbou.</w:t>
      </w:r>
      <w:r>
        <w:t xml:space="preserve"> </w:t>
      </w:r>
    </w:p>
    <w:p w:rsidR="002C7CEE" w:rsidRDefault="002C7CEE" w:rsidP="006B1C25">
      <w:pPr>
        <w:pStyle w:val="tabstyl"/>
      </w:pPr>
      <w:bookmarkStart w:id="238" w:name="_Ref21711026"/>
      <w:bookmarkStart w:id="239" w:name="_Toc36664491"/>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8</w:t>
      </w:r>
      <w:r w:rsidR="00C40D3F">
        <w:rPr>
          <w:noProof/>
        </w:rPr>
        <w:fldChar w:fldCharType="end"/>
      </w:r>
      <w:bookmarkEnd w:id="238"/>
      <w:r>
        <w:tab/>
        <w:t>Sumarizácia výsledkov komparácie priemerných ročných kilometrických výnosov systémov ETC</w:t>
      </w:r>
      <w:bookmarkEnd w:id="239"/>
      <w:r>
        <w:t xml:space="preserve"> </w:t>
      </w:r>
    </w:p>
    <w:tbl>
      <w:tblPr>
        <w:tblStyle w:val="tabulkaVUD"/>
        <w:tblW w:w="5000" w:type="pct"/>
        <w:tblLook w:val="04A0" w:firstRow="1" w:lastRow="0" w:firstColumn="1" w:lastColumn="0" w:noHBand="0" w:noVBand="1"/>
      </w:tblPr>
      <w:tblGrid>
        <w:gridCol w:w="2350"/>
        <w:gridCol w:w="2351"/>
        <w:gridCol w:w="2355"/>
        <w:gridCol w:w="2355"/>
      </w:tblGrid>
      <w:tr w:rsidR="002C7CEE" w:rsidTr="00747A79">
        <w:trPr>
          <w:cnfStyle w:val="100000000000" w:firstRow="1" w:lastRow="0" w:firstColumn="0" w:lastColumn="0" w:oddVBand="0" w:evenVBand="0" w:oddHBand="0" w:evenHBand="0" w:firstRowFirstColumn="0" w:firstRowLastColumn="0" w:lastRowFirstColumn="0" w:lastRowLastColumn="0"/>
          <w:tblHeader/>
        </w:trPr>
        <w:tc>
          <w:tcPr>
            <w:tcW w:w="1249" w:type="pct"/>
          </w:tcPr>
          <w:p w:rsidR="002C7CEE" w:rsidRDefault="002C7CEE" w:rsidP="00377087"/>
        </w:tc>
        <w:tc>
          <w:tcPr>
            <w:tcW w:w="1249" w:type="pct"/>
          </w:tcPr>
          <w:p w:rsidR="002C7CEE" w:rsidRDefault="002C7CEE" w:rsidP="009D58D5">
            <w:pPr>
              <w:pStyle w:val="zahltab"/>
            </w:pPr>
            <w:r>
              <w:t>Základný scenár</w:t>
            </w:r>
          </w:p>
        </w:tc>
        <w:tc>
          <w:tcPr>
            <w:tcW w:w="1251" w:type="pct"/>
          </w:tcPr>
          <w:p w:rsidR="002C7CEE" w:rsidRDefault="002C7CEE" w:rsidP="009D58D5">
            <w:pPr>
              <w:pStyle w:val="zahltab"/>
            </w:pPr>
            <w:r>
              <w:t>Subscenár A</w:t>
            </w:r>
          </w:p>
        </w:tc>
        <w:tc>
          <w:tcPr>
            <w:tcW w:w="1251" w:type="pct"/>
          </w:tcPr>
          <w:p w:rsidR="002C7CEE" w:rsidRDefault="002C7CEE" w:rsidP="009D58D5">
            <w:pPr>
              <w:pStyle w:val="zahltab"/>
            </w:pPr>
            <w:r>
              <w:t>Subscenár B</w:t>
            </w:r>
          </w:p>
        </w:tc>
      </w:tr>
      <w:tr w:rsidR="002C7CEE" w:rsidTr="00747A79">
        <w:trPr>
          <w:trHeight w:val="465"/>
        </w:trPr>
        <w:tc>
          <w:tcPr>
            <w:tcW w:w="1249" w:type="pct"/>
            <w:shd w:val="clear" w:color="auto" w:fill="7F7F7F" w:themeFill="text1" w:themeFillTint="80"/>
          </w:tcPr>
          <w:p w:rsidR="002C7CEE" w:rsidRPr="00AB6DA4" w:rsidRDefault="002C7CEE" w:rsidP="00377087">
            <w:pPr>
              <w:pStyle w:val="tabbielystyl"/>
              <w:jc w:val="left"/>
              <w:rPr>
                <w:b/>
                <w:color w:val="FFFFFF" w:themeColor="background1"/>
              </w:rPr>
            </w:pPr>
            <w:r>
              <w:rPr>
                <w:b/>
                <w:color w:val="FFFFFF" w:themeColor="background1"/>
              </w:rPr>
              <w:t>Požiadavka</w:t>
            </w:r>
          </w:p>
        </w:tc>
        <w:tc>
          <w:tcPr>
            <w:tcW w:w="3751" w:type="pct"/>
            <w:gridSpan w:val="3"/>
          </w:tcPr>
          <w:p w:rsidR="002C7CEE" w:rsidRPr="00254390" w:rsidRDefault="002C7CEE" w:rsidP="00377087">
            <w:pPr>
              <w:pStyle w:val="tabbielystyl"/>
              <w:jc w:val="center"/>
              <w:rPr>
                <w:b/>
              </w:rPr>
            </w:pPr>
            <w:r w:rsidRPr="00254390">
              <w:rPr>
                <w:b/>
              </w:rPr>
              <w:t>max. hodnota ukazovateľa</w:t>
            </w:r>
          </w:p>
        </w:tc>
      </w:tr>
      <w:tr w:rsidR="002C7CEE" w:rsidTr="00377087">
        <w:tc>
          <w:tcPr>
            <w:tcW w:w="1249" w:type="pct"/>
            <w:shd w:val="clear" w:color="auto" w:fill="7F7F7F" w:themeFill="text1" w:themeFillTint="80"/>
          </w:tcPr>
          <w:p w:rsidR="002C7CEE" w:rsidRPr="00AB6DA4" w:rsidRDefault="002C7CEE" w:rsidP="00377087">
            <w:pPr>
              <w:pStyle w:val="tabbielystyl"/>
              <w:jc w:val="left"/>
              <w:rPr>
                <w:b/>
                <w:color w:val="FFFFFF" w:themeColor="background1"/>
              </w:rPr>
            </w:pPr>
            <w:r w:rsidRPr="00AB6DA4">
              <w:rPr>
                <w:b/>
                <w:color w:val="FFFFFF" w:themeColor="background1"/>
              </w:rPr>
              <w:t xml:space="preserve">Najvyššia hodnota ukazovateľa   </w:t>
            </w:r>
          </w:p>
        </w:tc>
        <w:tc>
          <w:tcPr>
            <w:tcW w:w="1249" w:type="pct"/>
          </w:tcPr>
          <w:p w:rsidR="002C7CEE" w:rsidRDefault="002C7CEE" w:rsidP="00377087">
            <w:pPr>
              <w:pStyle w:val="tabbielystyl"/>
              <w:jc w:val="left"/>
            </w:pPr>
            <w:r>
              <w:t>Rakúsko (451 tis. €/km)</w:t>
            </w:r>
          </w:p>
        </w:tc>
        <w:tc>
          <w:tcPr>
            <w:tcW w:w="1251" w:type="pct"/>
          </w:tcPr>
          <w:p w:rsidR="002C7CEE" w:rsidRDefault="002C7CEE" w:rsidP="00377087">
            <w:pPr>
              <w:pStyle w:val="tabbielystyl"/>
              <w:jc w:val="left"/>
            </w:pPr>
            <w:r>
              <w:t>Rakúsko (431 tis. €/km)</w:t>
            </w:r>
          </w:p>
        </w:tc>
        <w:tc>
          <w:tcPr>
            <w:tcW w:w="1251" w:type="pct"/>
          </w:tcPr>
          <w:p w:rsidR="002C7CEE" w:rsidRDefault="002C7CEE" w:rsidP="00377087">
            <w:pPr>
              <w:pStyle w:val="tabbielystyl"/>
              <w:jc w:val="left"/>
            </w:pPr>
            <w:r>
              <w:t>Rakúsko (481 tis. €/km)</w:t>
            </w:r>
          </w:p>
        </w:tc>
      </w:tr>
      <w:tr w:rsidR="002C7CEE" w:rsidTr="00377087">
        <w:tc>
          <w:tcPr>
            <w:tcW w:w="1249" w:type="pct"/>
            <w:shd w:val="clear" w:color="auto" w:fill="7F7F7F" w:themeFill="text1" w:themeFillTint="80"/>
          </w:tcPr>
          <w:p w:rsidR="002C7CEE" w:rsidRPr="00AB6DA4" w:rsidRDefault="002C7CEE" w:rsidP="00377087">
            <w:pPr>
              <w:pStyle w:val="tabbielystyl"/>
              <w:jc w:val="left"/>
              <w:rPr>
                <w:b/>
                <w:color w:val="FFFFFF" w:themeColor="background1"/>
              </w:rPr>
            </w:pPr>
            <w:r w:rsidRPr="00AB6DA4">
              <w:rPr>
                <w:b/>
                <w:color w:val="FFFFFF" w:themeColor="background1"/>
              </w:rPr>
              <w:t>Najnižšia hodnota ukazovateľa</w:t>
            </w:r>
          </w:p>
        </w:tc>
        <w:tc>
          <w:tcPr>
            <w:tcW w:w="1249" w:type="pct"/>
          </w:tcPr>
          <w:p w:rsidR="002C7CEE" w:rsidRPr="00405DB2" w:rsidRDefault="002C7CEE" w:rsidP="00377087">
            <w:pPr>
              <w:pStyle w:val="tabbielystyl"/>
              <w:jc w:val="left"/>
              <w:rPr>
                <w:b/>
              </w:rPr>
            </w:pPr>
            <w:r w:rsidRPr="00405DB2">
              <w:rPr>
                <w:b/>
              </w:rPr>
              <w:t>Slovensko</w:t>
            </w:r>
          </w:p>
          <w:p w:rsidR="002C7CEE" w:rsidRPr="00405DB2" w:rsidRDefault="002C7CEE" w:rsidP="00377087">
            <w:pPr>
              <w:pStyle w:val="tabbielystyl"/>
              <w:jc w:val="left"/>
              <w:rPr>
                <w:b/>
              </w:rPr>
            </w:pPr>
            <w:r w:rsidRPr="00405DB2">
              <w:rPr>
                <w:b/>
              </w:rPr>
              <w:t xml:space="preserve">(SkyToll: </w:t>
            </w:r>
            <w:r>
              <w:rPr>
                <w:b/>
              </w:rPr>
              <w:t>80,3 tis. €/km</w:t>
            </w:r>
            <w:r w:rsidRPr="00405DB2">
              <w:rPr>
                <w:b/>
              </w:rPr>
              <w:t>)</w:t>
            </w:r>
          </w:p>
          <w:p w:rsidR="002C7CEE" w:rsidRPr="00405DB2" w:rsidRDefault="002C7CEE" w:rsidP="00377087">
            <w:pPr>
              <w:pStyle w:val="tabbielystyl"/>
              <w:jc w:val="left"/>
              <w:rPr>
                <w:b/>
              </w:rPr>
            </w:pPr>
            <w:r w:rsidRPr="00405DB2">
              <w:rPr>
                <w:b/>
              </w:rPr>
              <w:t xml:space="preserve">(NDS: </w:t>
            </w:r>
            <w:r>
              <w:rPr>
                <w:b/>
              </w:rPr>
              <w:t>79,7 tis. €/km</w:t>
            </w:r>
            <w:r w:rsidRPr="00405DB2">
              <w:rPr>
                <w:b/>
              </w:rPr>
              <w:t>)</w:t>
            </w:r>
          </w:p>
        </w:tc>
        <w:tc>
          <w:tcPr>
            <w:tcW w:w="1251" w:type="pct"/>
          </w:tcPr>
          <w:p w:rsidR="002C7CEE" w:rsidRPr="00405DB2" w:rsidRDefault="002C7CEE" w:rsidP="00377087">
            <w:pPr>
              <w:pStyle w:val="tabbielystyl"/>
              <w:jc w:val="left"/>
              <w:rPr>
                <w:b/>
              </w:rPr>
            </w:pPr>
            <w:r w:rsidRPr="00405DB2">
              <w:rPr>
                <w:b/>
              </w:rPr>
              <w:t>Slovensko</w:t>
            </w:r>
          </w:p>
          <w:p w:rsidR="002C7CEE" w:rsidRPr="00405DB2" w:rsidRDefault="002C7CEE" w:rsidP="00377087">
            <w:pPr>
              <w:pStyle w:val="tabbielystyl"/>
              <w:jc w:val="left"/>
              <w:rPr>
                <w:b/>
              </w:rPr>
            </w:pPr>
            <w:r w:rsidRPr="00405DB2">
              <w:rPr>
                <w:b/>
              </w:rPr>
              <w:t xml:space="preserve">(SkyToll: </w:t>
            </w:r>
            <w:r>
              <w:rPr>
                <w:b/>
              </w:rPr>
              <w:t>77 tis. €/km</w:t>
            </w:r>
            <w:r w:rsidRPr="00405DB2">
              <w:rPr>
                <w:b/>
              </w:rPr>
              <w:t>)</w:t>
            </w:r>
          </w:p>
          <w:p w:rsidR="002C7CEE" w:rsidRPr="00405DB2" w:rsidRDefault="002C7CEE" w:rsidP="00377087">
            <w:pPr>
              <w:pStyle w:val="tabbielystyl"/>
              <w:jc w:val="left"/>
              <w:rPr>
                <w:b/>
              </w:rPr>
            </w:pPr>
            <w:r w:rsidRPr="00405DB2">
              <w:rPr>
                <w:b/>
              </w:rPr>
              <w:t xml:space="preserve">(NDS: </w:t>
            </w:r>
            <w:r>
              <w:rPr>
                <w:b/>
              </w:rPr>
              <w:t>76,6 tis. €/km</w:t>
            </w:r>
            <w:r w:rsidRPr="00405DB2">
              <w:rPr>
                <w:b/>
              </w:rPr>
              <w:t>)</w:t>
            </w:r>
          </w:p>
        </w:tc>
        <w:tc>
          <w:tcPr>
            <w:tcW w:w="1251" w:type="pct"/>
          </w:tcPr>
          <w:p w:rsidR="002C7CEE" w:rsidRPr="00405DB2" w:rsidRDefault="002C7CEE" w:rsidP="00377087">
            <w:pPr>
              <w:pStyle w:val="tabbielystyl"/>
              <w:jc w:val="left"/>
              <w:rPr>
                <w:b/>
              </w:rPr>
            </w:pPr>
            <w:r w:rsidRPr="00405DB2">
              <w:rPr>
                <w:b/>
              </w:rPr>
              <w:t>Slovensko</w:t>
            </w:r>
          </w:p>
          <w:p w:rsidR="002C7CEE" w:rsidRPr="00405DB2" w:rsidRDefault="002C7CEE" w:rsidP="00377087">
            <w:pPr>
              <w:pStyle w:val="tabbielystyl"/>
              <w:jc w:val="left"/>
              <w:rPr>
                <w:b/>
              </w:rPr>
            </w:pPr>
            <w:r w:rsidRPr="00405DB2">
              <w:rPr>
                <w:b/>
              </w:rPr>
              <w:t xml:space="preserve">(SkyToll: </w:t>
            </w:r>
            <w:r>
              <w:rPr>
                <w:b/>
              </w:rPr>
              <w:t>83,8 tis. €/km)</w:t>
            </w:r>
          </w:p>
          <w:p w:rsidR="002C7CEE" w:rsidRPr="00405DB2" w:rsidRDefault="002C7CEE" w:rsidP="00377087">
            <w:pPr>
              <w:pStyle w:val="tabbielystyl"/>
              <w:jc w:val="left"/>
              <w:rPr>
                <w:b/>
              </w:rPr>
            </w:pPr>
            <w:r w:rsidRPr="00405DB2">
              <w:rPr>
                <w:b/>
              </w:rPr>
              <w:t xml:space="preserve">(NDS: </w:t>
            </w:r>
            <w:r>
              <w:rPr>
                <w:b/>
              </w:rPr>
              <w:t>82,8 tis. €/km</w:t>
            </w:r>
            <w:r w:rsidRPr="00405DB2">
              <w:rPr>
                <w:b/>
              </w:rPr>
              <w:t>)</w:t>
            </w:r>
          </w:p>
        </w:tc>
      </w:tr>
      <w:tr w:rsidR="002C7CEE" w:rsidTr="00377087">
        <w:tc>
          <w:tcPr>
            <w:tcW w:w="1249" w:type="pct"/>
            <w:shd w:val="clear" w:color="auto" w:fill="7F7F7F" w:themeFill="text1" w:themeFillTint="80"/>
          </w:tcPr>
          <w:p w:rsidR="002C7CEE" w:rsidRPr="00AB6DA4" w:rsidRDefault="002C7CEE" w:rsidP="00377087">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249" w:type="pct"/>
          </w:tcPr>
          <w:p w:rsidR="002C7CEE" w:rsidRPr="00405DB2" w:rsidRDefault="002C7CEE" w:rsidP="00377087">
            <w:pPr>
              <w:pStyle w:val="tabbielystyl"/>
              <w:jc w:val="left"/>
            </w:pPr>
            <w:r w:rsidRPr="00405DB2">
              <w:t xml:space="preserve">1. Rakúsko </w:t>
            </w:r>
            <w:r>
              <w:t>(451 tis. €/km)</w:t>
            </w:r>
          </w:p>
          <w:p w:rsidR="002C7CEE" w:rsidRPr="00405DB2" w:rsidRDefault="002C7CEE" w:rsidP="00377087">
            <w:pPr>
              <w:pStyle w:val="tabbielystyl"/>
              <w:jc w:val="left"/>
            </w:pPr>
            <w:r w:rsidRPr="00405DB2">
              <w:t xml:space="preserve">2. Nemecko </w:t>
            </w:r>
            <w:r>
              <w:t xml:space="preserve"> (296 tis. €/km)</w:t>
            </w:r>
          </w:p>
          <w:p w:rsidR="002C7CEE" w:rsidRPr="00405DB2" w:rsidRDefault="002C7CEE" w:rsidP="00377087">
            <w:pPr>
              <w:pStyle w:val="tabbielystyl"/>
              <w:jc w:val="left"/>
            </w:pPr>
            <w:r w:rsidRPr="00405DB2">
              <w:t>3. Česká rep</w:t>
            </w:r>
            <w:r>
              <w:t>. (217 tis. €/km)</w:t>
            </w:r>
          </w:p>
          <w:p w:rsidR="002C7CEE" w:rsidRDefault="002C7CEE" w:rsidP="00377087">
            <w:pPr>
              <w:pStyle w:val="tabbielystyl"/>
              <w:jc w:val="left"/>
            </w:pPr>
            <w:r w:rsidRPr="00405DB2">
              <w:t xml:space="preserve">4. Poľsko </w:t>
            </w:r>
            <w:r>
              <w:t>(102,7 tis. €/km)</w:t>
            </w:r>
          </w:p>
          <w:p w:rsidR="002C7CEE" w:rsidRPr="00405DB2" w:rsidRDefault="002C7CEE" w:rsidP="00377087">
            <w:pPr>
              <w:pStyle w:val="tabbielystyl"/>
              <w:jc w:val="left"/>
            </w:pPr>
            <w:r w:rsidRPr="00405DB2">
              <w:rPr>
                <w:b/>
              </w:rPr>
              <w:t>5. Slovensko (</w:t>
            </w:r>
            <w:r>
              <w:rPr>
                <w:b/>
              </w:rPr>
              <w:t>79,7- 80,3 tis. €/km</w:t>
            </w:r>
            <w:r>
              <w:t>)</w:t>
            </w:r>
          </w:p>
        </w:tc>
        <w:tc>
          <w:tcPr>
            <w:tcW w:w="1251" w:type="pct"/>
          </w:tcPr>
          <w:p w:rsidR="002C7CEE" w:rsidRPr="00405DB2" w:rsidRDefault="002C7CEE" w:rsidP="00377087">
            <w:pPr>
              <w:pStyle w:val="tabbielystyl"/>
              <w:jc w:val="left"/>
            </w:pPr>
            <w:r w:rsidRPr="00405DB2">
              <w:t xml:space="preserve">1. Rakúsko </w:t>
            </w:r>
            <w:r>
              <w:t>(431 tis. €/km)</w:t>
            </w:r>
          </w:p>
          <w:p w:rsidR="002C7CEE" w:rsidRPr="00405DB2" w:rsidRDefault="002C7CEE" w:rsidP="00377087">
            <w:pPr>
              <w:pStyle w:val="tabbielystyl"/>
              <w:jc w:val="left"/>
            </w:pPr>
            <w:r w:rsidRPr="00405DB2">
              <w:t xml:space="preserve">2. Nemecko </w:t>
            </w:r>
            <w:r>
              <w:t xml:space="preserve"> (267 tis. €/km)</w:t>
            </w:r>
          </w:p>
          <w:p w:rsidR="002C7CEE" w:rsidRPr="00405DB2" w:rsidRDefault="002C7CEE" w:rsidP="00377087">
            <w:pPr>
              <w:pStyle w:val="tabbielystyl"/>
              <w:jc w:val="left"/>
            </w:pPr>
            <w:r w:rsidRPr="00405DB2">
              <w:t>3. Česká rep</w:t>
            </w:r>
            <w:r>
              <w:t>. (203 tis. €/km)</w:t>
            </w:r>
          </w:p>
          <w:p w:rsidR="002C7CEE" w:rsidRDefault="002C7CEE" w:rsidP="00377087">
            <w:pPr>
              <w:pStyle w:val="tabbielystyl"/>
              <w:jc w:val="left"/>
            </w:pPr>
            <w:r w:rsidRPr="00405DB2">
              <w:t xml:space="preserve">4. Poľsko </w:t>
            </w:r>
            <w:r>
              <w:t>(99 tis. €/km)</w:t>
            </w:r>
          </w:p>
          <w:p w:rsidR="002C7CEE" w:rsidRPr="00405DB2" w:rsidRDefault="002C7CEE" w:rsidP="00377087">
            <w:pPr>
              <w:pStyle w:val="tabbielystyl"/>
              <w:jc w:val="left"/>
              <w:rPr>
                <w:b/>
              </w:rPr>
            </w:pPr>
            <w:r w:rsidRPr="00405DB2">
              <w:rPr>
                <w:b/>
              </w:rPr>
              <w:t>5. Slovensko (</w:t>
            </w:r>
            <w:r>
              <w:rPr>
                <w:b/>
              </w:rPr>
              <w:t>76,6-77 tis. €/km</w:t>
            </w:r>
            <w:r>
              <w:t>)</w:t>
            </w:r>
          </w:p>
        </w:tc>
        <w:tc>
          <w:tcPr>
            <w:tcW w:w="1251" w:type="pct"/>
          </w:tcPr>
          <w:p w:rsidR="002C7CEE" w:rsidRPr="00405DB2" w:rsidRDefault="002C7CEE" w:rsidP="00377087">
            <w:pPr>
              <w:pStyle w:val="tabbielystyl"/>
              <w:jc w:val="left"/>
            </w:pPr>
            <w:r w:rsidRPr="00405DB2">
              <w:t xml:space="preserve">1. Rakúsko </w:t>
            </w:r>
            <w:r>
              <w:t>(481 tis. €/km)</w:t>
            </w:r>
          </w:p>
          <w:p w:rsidR="002C7CEE" w:rsidRPr="00405DB2" w:rsidRDefault="002C7CEE" w:rsidP="00377087">
            <w:pPr>
              <w:pStyle w:val="tabbielystyl"/>
              <w:jc w:val="left"/>
            </w:pPr>
            <w:r w:rsidRPr="00405DB2">
              <w:t xml:space="preserve">2. Nemecko </w:t>
            </w:r>
            <w:r>
              <w:t xml:space="preserve"> (333 tis. €/km)</w:t>
            </w:r>
          </w:p>
          <w:p w:rsidR="002C7CEE" w:rsidRPr="00405DB2" w:rsidRDefault="002C7CEE" w:rsidP="00377087">
            <w:pPr>
              <w:pStyle w:val="tabbielystyl"/>
              <w:jc w:val="left"/>
            </w:pPr>
            <w:r w:rsidRPr="00405DB2">
              <w:t>3. Česká rep</w:t>
            </w:r>
            <w:r>
              <w:t>. (235 tis. €/km)</w:t>
            </w:r>
          </w:p>
          <w:p w:rsidR="002C7CEE" w:rsidRDefault="002C7CEE" w:rsidP="00377087">
            <w:pPr>
              <w:pStyle w:val="tabbielystyl"/>
              <w:jc w:val="left"/>
            </w:pPr>
            <w:r w:rsidRPr="00405DB2">
              <w:t xml:space="preserve">4. Poľsko </w:t>
            </w:r>
            <w:r>
              <w:t>(106 tis. €/km)</w:t>
            </w:r>
          </w:p>
          <w:p w:rsidR="002C7CEE" w:rsidRPr="00405DB2" w:rsidRDefault="002C7CEE" w:rsidP="00377087">
            <w:pPr>
              <w:pStyle w:val="tabbielystyl"/>
              <w:jc w:val="left"/>
              <w:rPr>
                <w:b/>
              </w:rPr>
            </w:pPr>
            <w:r w:rsidRPr="00405DB2">
              <w:rPr>
                <w:b/>
              </w:rPr>
              <w:t>5. Slovensko (</w:t>
            </w:r>
            <w:r>
              <w:rPr>
                <w:b/>
              </w:rPr>
              <w:t>82,8- 83,8 tis.€/km</w:t>
            </w:r>
            <w:r>
              <w:t>)</w:t>
            </w:r>
          </w:p>
        </w:tc>
      </w:tr>
      <w:tr w:rsidR="002C7CEE" w:rsidTr="00377087">
        <w:tc>
          <w:tcPr>
            <w:tcW w:w="1249" w:type="pct"/>
            <w:shd w:val="clear" w:color="auto" w:fill="7F7F7F" w:themeFill="text1" w:themeFillTint="80"/>
          </w:tcPr>
          <w:p w:rsidR="002C7CEE" w:rsidRPr="00AB6DA4" w:rsidRDefault="002C7CEE" w:rsidP="00377087">
            <w:pPr>
              <w:pStyle w:val="tabbielystyl"/>
              <w:jc w:val="left"/>
              <w:rPr>
                <w:b/>
                <w:color w:val="FFFFFF" w:themeColor="background1"/>
              </w:rPr>
            </w:pPr>
            <w:r>
              <w:rPr>
                <w:b/>
                <w:color w:val="FFFFFF" w:themeColor="background1"/>
              </w:rPr>
              <w:t>Indexácia</w:t>
            </w:r>
          </w:p>
        </w:tc>
        <w:tc>
          <w:tcPr>
            <w:tcW w:w="1249" w:type="pct"/>
          </w:tcPr>
          <w:p w:rsidR="002C7CEE" w:rsidRDefault="002C7CEE" w:rsidP="00377087">
            <w:pPr>
              <w:pStyle w:val="tabbielystyl"/>
              <w:jc w:val="left"/>
            </w:pPr>
            <w:r>
              <w:t>DE: 3,68-3,71</w:t>
            </w:r>
          </w:p>
          <w:p w:rsidR="002C7CEE" w:rsidRDefault="002C7CEE" w:rsidP="00377087">
            <w:pPr>
              <w:pStyle w:val="tabbielystyl"/>
              <w:jc w:val="left"/>
            </w:pPr>
            <w:r>
              <w:t>ČR: 2,70-2,72</w:t>
            </w:r>
          </w:p>
          <w:p w:rsidR="002C7CEE" w:rsidRDefault="002C7CEE" w:rsidP="00377087">
            <w:pPr>
              <w:pStyle w:val="tabbielystyl"/>
              <w:jc w:val="left"/>
            </w:pPr>
            <w:r>
              <w:t xml:space="preserve"> AT:</w:t>
            </w:r>
            <w:r w:rsidRPr="00AB6DA4">
              <w:t xml:space="preserve"> </w:t>
            </w:r>
            <w:r>
              <w:t>5,61-5,66</w:t>
            </w:r>
          </w:p>
          <w:p w:rsidR="002C7CEE" w:rsidRDefault="002C7CEE" w:rsidP="00377087">
            <w:pPr>
              <w:pStyle w:val="tabbielystyl"/>
              <w:jc w:val="left"/>
            </w:pPr>
            <w:r>
              <w:t xml:space="preserve"> PL:</w:t>
            </w:r>
            <w:r w:rsidRPr="00AB6DA4">
              <w:t xml:space="preserve"> </w:t>
            </w:r>
            <w:r>
              <w:t>1,28-1,29</w:t>
            </w:r>
          </w:p>
        </w:tc>
        <w:tc>
          <w:tcPr>
            <w:tcW w:w="1251" w:type="pct"/>
          </w:tcPr>
          <w:p w:rsidR="002C7CEE" w:rsidRDefault="002C7CEE" w:rsidP="00377087">
            <w:pPr>
              <w:pStyle w:val="tabbielystyl"/>
              <w:jc w:val="left"/>
            </w:pPr>
            <w:r>
              <w:t>DE: 3,48-3,49</w:t>
            </w:r>
          </w:p>
          <w:p w:rsidR="002C7CEE" w:rsidRDefault="002C7CEE" w:rsidP="00377087">
            <w:pPr>
              <w:pStyle w:val="tabbielystyl"/>
              <w:jc w:val="left"/>
            </w:pPr>
            <w:r>
              <w:t>ČR: 2,63-2,64</w:t>
            </w:r>
          </w:p>
          <w:p w:rsidR="002C7CEE" w:rsidRDefault="002C7CEE" w:rsidP="00377087">
            <w:pPr>
              <w:pStyle w:val="tabbielystyl"/>
              <w:jc w:val="left"/>
            </w:pPr>
            <w:r>
              <w:t xml:space="preserve"> AT:</w:t>
            </w:r>
            <w:r w:rsidRPr="00AB6DA4">
              <w:t xml:space="preserve"> </w:t>
            </w:r>
            <w:r>
              <w:t>5,61-5,63</w:t>
            </w:r>
          </w:p>
          <w:p w:rsidR="002C7CEE" w:rsidRDefault="002C7CEE" w:rsidP="00377087">
            <w:pPr>
              <w:pStyle w:val="tabbielystyl"/>
              <w:jc w:val="left"/>
            </w:pPr>
            <w:r>
              <w:t xml:space="preserve"> PL:</w:t>
            </w:r>
            <w:r w:rsidRPr="00AB6DA4">
              <w:t xml:space="preserve"> </w:t>
            </w:r>
            <w:r>
              <w:t>1,29</w:t>
            </w:r>
          </w:p>
        </w:tc>
        <w:tc>
          <w:tcPr>
            <w:tcW w:w="1251" w:type="pct"/>
          </w:tcPr>
          <w:p w:rsidR="002C7CEE" w:rsidRDefault="002C7CEE" w:rsidP="00377087">
            <w:pPr>
              <w:pStyle w:val="tabbielystyl"/>
              <w:jc w:val="left"/>
            </w:pPr>
            <w:r>
              <w:t>DE: 3,97-4,02</w:t>
            </w:r>
          </w:p>
          <w:p w:rsidR="002C7CEE" w:rsidRDefault="002C7CEE" w:rsidP="00377087">
            <w:pPr>
              <w:pStyle w:val="tabbielystyl"/>
              <w:jc w:val="left"/>
            </w:pPr>
            <w:r>
              <w:t>ČR: 2,81-2,84</w:t>
            </w:r>
          </w:p>
          <w:p w:rsidR="002C7CEE" w:rsidRDefault="002C7CEE" w:rsidP="00377087">
            <w:pPr>
              <w:pStyle w:val="tabbielystyl"/>
              <w:jc w:val="left"/>
            </w:pPr>
            <w:r>
              <w:t xml:space="preserve"> AT:</w:t>
            </w:r>
            <w:r w:rsidRPr="00AB6DA4">
              <w:t xml:space="preserve"> </w:t>
            </w:r>
            <w:r>
              <w:t>5,74-5,81</w:t>
            </w:r>
          </w:p>
          <w:p w:rsidR="002C7CEE" w:rsidRDefault="002C7CEE" w:rsidP="00377087">
            <w:pPr>
              <w:pStyle w:val="tabbielystyl"/>
              <w:jc w:val="left"/>
            </w:pPr>
            <w:r>
              <w:t xml:space="preserve"> PL: 1,27-1,28</w:t>
            </w:r>
          </w:p>
        </w:tc>
      </w:tr>
    </w:tbl>
    <w:p w:rsidR="006703FB" w:rsidRDefault="00A52057" w:rsidP="003D0983">
      <w:pPr>
        <w:pStyle w:val="Nadpis4"/>
      </w:pPr>
      <w:bookmarkStart w:id="240" w:name="_Toc36664402"/>
      <w:r>
        <w:t>V</w:t>
      </w:r>
      <w:r w:rsidR="0056221C">
        <w:t>ozokilometrické výnosy</w:t>
      </w:r>
      <w:r w:rsidR="00747A79">
        <w:t xml:space="preserve"> systémov ETC</w:t>
      </w:r>
      <w:bookmarkEnd w:id="240"/>
    </w:p>
    <w:p w:rsidR="00C13E45" w:rsidRDefault="00C13E45" w:rsidP="00C13E45">
      <w:r>
        <w:t xml:space="preserve">Vozokilometrické výnosy vyjadrujú, koľko € výnosov systému ETC pripadá na jeden vozokilometer. Tento indikátor efektívnosti zohľadňuje dopravné výkony na sieti (intenzitu vozidiel a dĺžku siete) a v prenesenom význame predstavuje vypočítanú priemernú sadzbu mýta </w:t>
      </w:r>
      <w:r w:rsidR="00C64690">
        <w:t xml:space="preserve">priemerného vozidla </w:t>
      </w:r>
      <w:r>
        <w:t xml:space="preserve">v danej krajine. </w:t>
      </w:r>
    </w:p>
    <w:p w:rsidR="00C13E45" w:rsidRDefault="00C13E45" w:rsidP="00C13E45">
      <w:r>
        <w:t>Z hľadiska hodnotenia efektívnosti platí, čím sú výnosy systému ETC vyššie a intenzita povinných vozidiel na sieti nižšia, tým je efektívnosť systému vyššia a naopak. Vozokilometrické ročné výnosy sú vypočítané ako podiel ročných výnosov k ročným dopravným výkonom povinných vozidiel na celej sieti:</w:t>
      </w:r>
    </w:p>
    <w:p w:rsidR="00C13E45" w:rsidRPr="00094C82" w:rsidRDefault="00C13E45" w:rsidP="00C13E45">
      <w:pPr>
        <w:pStyle w:val="Normaltext"/>
        <w:rPr>
          <w:rFonts w:asciiTheme="minorHAnsi" w:hAnsiTheme="minorHAnsi" w:cstheme="minorHAnsi"/>
          <w:sz w:val="6"/>
          <w:szCs w:val="6"/>
        </w:rPr>
      </w:pPr>
    </w:p>
    <w:p w:rsidR="00C13E45" w:rsidRPr="00D07073" w:rsidRDefault="00C40D3F" w:rsidP="00C13E45">
      <w:pPr>
        <w:pStyle w:val="Normaltext"/>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vozokilometrické výnosy</m:t>
              </m:r>
            </m:e>
            <m:sub>
              <m:r>
                <w:rPr>
                  <w:rFonts w:ascii="Cambria Math" w:hAnsi="Cambria Math" w:cstheme="minorHAnsi"/>
                </w:rPr>
                <m:t>r</m:t>
              </m:r>
            </m:sub>
          </m:sSub>
          <m:r>
            <w:rPr>
              <w:rFonts w:ascii="Cambria Math" w:hAnsi="Cambria Math" w:cstheme="minorHAnsi"/>
            </w:rPr>
            <m:t xml:space="preserve">= </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výnosy</m:t>
                  </m:r>
                </m:e>
                <m:sub>
                  <m:r>
                    <w:rPr>
                      <w:rFonts w:ascii="Cambria Math" w:hAnsi="Cambria Math" w:cstheme="minorHAnsi"/>
                    </w:rPr>
                    <m:t>r</m:t>
                  </m:r>
                </m:sub>
              </m:sSub>
            </m:num>
            <m:den>
              <m:r>
                <w:rPr>
                  <w:rFonts w:ascii="Cambria Math" w:hAnsi="Cambria Math" w:cstheme="minorHAnsi"/>
                </w:rPr>
                <m:t xml:space="preserve">kumulované ročné dopravné výkony </m:t>
              </m:r>
            </m:den>
          </m:f>
          <m:r>
            <w:rPr>
              <w:rFonts w:ascii="Cambria Math" w:hAnsi="Cambria Math" w:cstheme="minorHAnsi"/>
            </w:rPr>
            <m:t xml:space="preserve"> (</m:t>
          </m:r>
          <m:f>
            <m:fPr>
              <m:type m:val="lin"/>
              <m:ctrlPr>
                <w:rPr>
                  <w:rFonts w:ascii="Cambria Math" w:hAnsi="Cambria Math" w:cstheme="minorHAnsi"/>
                  <w:i/>
                </w:rPr>
              </m:ctrlPr>
            </m:fPr>
            <m:num>
              <m:r>
                <w:rPr>
                  <w:rFonts w:ascii="Cambria Math" w:hAnsi="Cambria Math" w:cstheme="minorHAnsi"/>
                </w:rPr>
                <m:t>€</m:t>
              </m:r>
            </m:num>
            <m:den>
              <m:r>
                <w:rPr>
                  <w:rFonts w:ascii="Cambria Math" w:hAnsi="Cambria Math" w:cstheme="minorHAnsi"/>
                </w:rPr>
                <m:t>vkm</m:t>
              </m:r>
            </m:den>
          </m:f>
          <m:r>
            <w:rPr>
              <w:rFonts w:ascii="Cambria Math" w:hAnsi="Cambria Math" w:cstheme="minorHAnsi"/>
            </w:rPr>
            <m:t>)</m:t>
          </m:r>
        </m:oMath>
      </m:oMathPara>
    </w:p>
    <w:p w:rsidR="00C13E45" w:rsidRDefault="00C13E45" w:rsidP="00C13E45">
      <w:pPr>
        <w:pStyle w:val="Normaltext"/>
        <w:rPr>
          <w:rFonts w:asciiTheme="minorHAnsi" w:hAnsiTheme="minorHAnsi" w:cstheme="minorHAnsi"/>
        </w:rPr>
      </w:pPr>
    </w:p>
    <w:p w:rsidR="000E1653" w:rsidRDefault="00CC220E">
      <w:pPr>
        <w:pStyle w:val="Normaltext"/>
        <w:jc w:val="center"/>
      </w:pPr>
      <w:r w:rsidRPr="00CC220E">
        <w:rPr>
          <w:noProof/>
          <w:lang w:eastAsia="sk-SK"/>
        </w:rPr>
        <w:drawing>
          <wp:inline distT="0" distB="0" distL="0" distR="0">
            <wp:extent cx="5941514" cy="2199600"/>
            <wp:effectExtent l="19050" t="0" r="21136" b="0"/>
            <wp:docPr id="88" name="Graf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CC220E" w:rsidRDefault="00CC220E" w:rsidP="006B1C25">
      <w:pPr>
        <w:pStyle w:val="Popis"/>
      </w:pPr>
      <w:bookmarkStart w:id="241" w:name="_Ref21711198"/>
      <w:bookmarkStart w:id="242" w:name="_Toc36664526"/>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17</w:t>
      </w:r>
      <w:r w:rsidR="00C40D3F">
        <w:rPr>
          <w:noProof/>
        </w:rPr>
        <w:fldChar w:fldCharType="end"/>
      </w:r>
      <w:bookmarkEnd w:id="241"/>
      <w:r w:rsidRPr="004C1013">
        <w:tab/>
      </w:r>
      <w:r>
        <w:t>Ročné vozokilometrické výnosy systémov ETC v prevádzkových rokoch (základný scenár: 1. -  9. rok)</w:t>
      </w:r>
      <w:bookmarkEnd w:id="242"/>
    </w:p>
    <w:p w:rsidR="000E1653" w:rsidRDefault="000E1653">
      <w:pPr>
        <w:pStyle w:val="Normaltext"/>
      </w:pPr>
    </w:p>
    <w:p w:rsidR="00A97FA1" w:rsidRDefault="00A97FA1" w:rsidP="00A97FA1">
      <w:pPr>
        <w:pStyle w:val="Normaltext"/>
        <w:rPr>
          <w:rFonts w:asciiTheme="minorHAnsi" w:hAnsiTheme="minorHAnsi" w:cstheme="minorHAnsi"/>
        </w:rPr>
      </w:pPr>
      <w:r>
        <w:rPr>
          <w:noProof/>
          <w:lang w:eastAsia="sk-SK"/>
        </w:rPr>
        <w:drawing>
          <wp:inline distT="0" distB="0" distL="0" distR="0">
            <wp:extent cx="5936615" cy="1620000"/>
            <wp:effectExtent l="0" t="0" r="6985" b="0"/>
            <wp:docPr id="15"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Pr>
          <w:noProof/>
          <w:lang w:eastAsia="sk-SK"/>
        </w:rPr>
        <w:drawing>
          <wp:inline distT="0" distB="0" distL="0" distR="0">
            <wp:extent cx="5936615" cy="1620000"/>
            <wp:effectExtent l="0" t="0" r="6985" b="0"/>
            <wp:docPr id="16"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r>
        <w:rPr>
          <w:noProof/>
          <w:lang w:eastAsia="sk-SK"/>
        </w:rPr>
        <w:drawing>
          <wp:inline distT="0" distB="0" distL="0" distR="0">
            <wp:extent cx="5936615" cy="1620000"/>
            <wp:effectExtent l="0" t="0" r="6985" b="0"/>
            <wp:docPr id="17" name="Graf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A97FA1" w:rsidRDefault="00A97FA1" w:rsidP="00A97FA1">
      <w:pPr>
        <w:pStyle w:val="Popis"/>
      </w:pPr>
      <w:bookmarkStart w:id="243" w:name="_Ref21711237"/>
      <w:bookmarkStart w:id="244" w:name="_Toc36664527"/>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18</w:t>
      </w:r>
      <w:r w:rsidR="00C40D3F">
        <w:rPr>
          <w:noProof/>
        </w:rPr>
        <w:fldChar w:fldCharType="end"/>
      </w:r>
      <w:bookmarkEnd w:id="243"/>
      <w:r w:rsidRPr="004C1013">
        <w:tab/>
      </w:r>
      <w:r>
        <w:t>Priemerné ročné vozokilometrické výnosy systémov ETC (základný scenár, subscenár A, subscenár B)</w:t>
      </w:r>
      <w:bookmarkEnd w:id="244"/>
    </w:p>
    <w:p w:rsidR="00094C82" w:rsidRDefault="00094C82">
      <w:pPr>
        <w:spacing w:before="0" w:after="0" w:line="240" w:lineRule="auto"/>
        <w:jc w:val="left"/>
        <w:rPr>
          <w:rFonts w:asciiTheme="minorHAnsi" w:hAnsiTheme="minorHAnsi" w:cstheme="minorHAnsi"/>
        </w:rPr>
      </w:pPr>
      <w:r>
        <w:rPr>
          <w:rFonts w:asciiTheme="minorHAnsi" w:hAnsiTheme="minorHAnsi" w:cstheme="minorHAnsi"/>
        </w:rPr>
        <w:br w:type="page"/>
      </w:r>
    </w:p>
    <w:p w:rsidR="00094C82" w:rsidRDefault="00094C82" w:rsidP="00094C82">
      <w:pPr>
        <w:pStyle w:val="Normaltext"/>
        <w:spacing w:line="276" w:lineRule="auto"/>
        <w:rPr>
          <w:rFonts w:asciiTheme="minorHAnsi" w:hAnsiTheme="minorHAnsi" w:cstheme="minorHAnsi"/>
        </w:rPr>
      </w:pPr>
      <w:r>
        <w:rPr>
          <w:rFonts w:asciiTheme="minorHAnsi" w:hAnsiTheme="minorHAnsi" w:cstheme="minorHAnsi"/>
        </w:rPr>
        <w:t>Výsledky komparácie úrovne intenzity a kumulovaných dopravných výkonov na sieti v rámci jednotlivých systémov ETC sú sumarizované v tabuľkách (</w:t>
      </w:r>
      <w:r w:rsidR="00AE5B8A">
        <w:rPr>
          <w:rFonts w:asciiTheme="minorHAnsi" w:hAnsiTheme="minorHAnsi" w:cstheme="minorHAnsi"/>
        </w:rPr>
        <w:fldChar w:fldCharType="begin"/>
      </w:r>
      <w:r>
        <w:rPr>
          <w:rFonts w:asciiTheme="minorHAnsi" w:hAnsiTheme="minorHAnsi" w:cstheme="minorHAnsi"/>
        </w:rPr>
        <w:instrText xml:space="preserve"> REF _Ref21299483 \h </w:instrText>
      </w:r>
      <w:r w:rsidR="00AE5B8A">
        <w:rPr>
          <w:rFonts w:asciiTheme="minorHAnsi" w:hAnsiTheme="minorHAnsi" w:cstheme="minorHAnsi"/>
        </w:rPr>
      </w:r>
      <w:r w:rsidR="00AE5B8A">
        <w:rPr>
          <w:rFonts w:asciiTheme="minorHAnsi" w:hAnsiTheme="minorHAnsi" w:cstheme="minorHAnsi"/>
        </w:rPr>
        <w:fldChar w:fldCharType="separate"/>
      </w:r>
      <w:r w:rsidR="001E4C1C" w:rsidRPr="00904671">
        <w:t xml:space="preserve">Tab.  </w:t>
      </w:r>
      <w:r w:rsidR="001E4C1C">
        <w:rPr>
          <w:noProof/>
        </w:rPr>
        <w:t>2</w:t>
      </w:r>
      <w:r w:rsidR="001E4C1C">
        <w:noBreakHyphen/>
      </w:r>
      <w:r w:rsidR="001E4C1C">
        <w:rPr>
          <w:noProof/>
        </w:rPr>
        <w:t>2</w:t>
      </w:r>
      <w:r w:rsidR="00AE5B8A">
        <w:rPr>
          <w:rFonts w:asciiTheme="minorHAnsi" w:hAnsiTheme="minorHAnsi" w:cstheme="minorHAnsi"/>
        </w:rPr>
        <w:fldChar w:fldCharType="end"/>
      </w:r>
      <w:r>
        <w:rPr>
          <w:rFonts w:asciiTheme="minorHAnsi" w:hAnsiTheme="minorHAnsi" w:cstheme="minorHAnsi"/>
        </w:rPr>
        <w:t xml:space="preserve"> a </w:t>
      </w:r>
      <w:r w:rsidR="00AE5B8A">
        <w:rPr>
          <w:rFonts w:asciiTheme="minorHAnsi" w:hAnsiTheme="minorHAnsi" w:cstheme="minorHAnsi"/>
        </w:rPr>
        <w:fldChar w:fldCharType="begin"/>
      </w:r>
      <w:r>
        <w:rPr>
          <w:rFonts w:asciiTheme="minorHAnsi" w:hAnsiTheme="minorHAnsi" w:cstheme="minorHAnsi"/>
        </w:rPr>
        <w:instrText xml:space="preserve"> REF _Ref21710253 \h </w:instrText>
      </w:r>
      <w:r w:rsidR="00AE5B8A">
        <w:rPr>
          <w:rFonts w:asciiTheme="minorHAnsi" w:hAnsiTheme="minorHAnsi" w:cstheme="minorHAnsi"/>
        </w:rPr>
      </w:r>
      <w:r w:rsidR="00AE5B8A">
        <w:rPr>
          <w:rFonts w:asciiTheme="minorHAnsi" w:hAnsiTheme="minorHAnsi" w:cstheme="minorHAnsi"/>
        </w:rPr>
        <w:fldChar w:fldCharType="separate"/>
      </w:r>
      <w:r w:rsidR="001E4C1C">
        <w:t xml:space="preserve">Tab.  </w:t>
      </w:r>
      <w:r w:rsidR="001E4C1C">
        <w:rPr>
          <w:noProof/>
        </w:rPr>
        <w:t>2</w:t>
      </w:r>
      <w:r w:rsidR="001E4C1C">
        <w:noBreakHyphen/>
      </w:r>
      <w:r w:rsidR="001E4C1C">
        <w:rPr>
          <w:noProof/>
        </w:rPr>
        <w:t>3</w:t>
      </w:r>
      <w:r w:rsidR="00AE5B8A">
        <w:rPr>
          <w:rFonts w:asciiTheme="minorHAnsi" w:hAnsiTheme="minorHAnsi" w:cstheme="minorHAnsi"/>
        </w:rPr>
        <w:fldChar w:fldCharType="end"/>
      </w:r>
      <w:r>
        <w:rPr>
          <w:rFonts w:asciiTheme="minorHAnsi" w:hAnsiTheme="minorHAnsi" w:cstheme="minorHAnsi"/>
        </w:rPr>
        <w:t xml:space="preserve">). </w:t>
      </w:r>
      <w:r w:rsidRPr="004E7DF2">
        <w:rPr>
          <w:rFonts w:asciiTheme="minorHAnsi" w:hAnsiTheme="minorHAnsi" w:cstheme="minorHAnsi"/>
          <w:b/>
        </w:rPr>
        <w:t xml:space="preserve">Objem dopravy povinných vozidiel na spoplatnenej sieti je v Slovenskej republike v porovnaní s ostatnými krajinami najmenší, čo významným spôsobom ovplyvňuje výslednú hodnotu indikátora, </w:t>
      </w:r>
      <w:r>
        <w:rPr>
          <w:rFonts w:asciiTheme="minorHAnsi" w:hAnsiTheme="minorHAnsi" w:cstheme="minorHAnsi"/>
          <w:b/>
        </w:rPr>
        <w:t xml:space="preserve">celkovú </w:t>
      </w:r>
      <w:r w:rsidRPr="004E7DF2">
        <w:rPr>
          <w:rFonts w:asciiTheme="minorHAnsi" w:hAnsiTheme="minorHAnsi" w:cstheme="minorHAnsi"/>
          <w:b/>
        </w:rPr>
        <w:t>výnosovosť a nákladovosť systému</w:t>
      </w:r>
      <w:r>
        <w:rPr>
          <w:rFonts w:asciiTheme="minorHAnsi" w:hAnsiTheme="minorHAnsi" w:cstheme="minorHAnsi"/>
        </w:rPr>
        <w:t xml:space="preserve">. </w:t>
      </w:r>
    </w:p>
    <w:p w:rsidR="00094C82" w:rsidRDefault="00094C82" w:rsidP="00094C82">
      <w:pPr>
        <w:pStyle w:val="Normaltext"/>
        <w:spacing w:line="276" w:lineRule="auto"/>
        <w:rPr>
          <w:rFonts w:asciiTheme="minorHAnsi" w:hAnsiTheme="minorHAnsi" w:cstheme="minorHAnsi"/>
        </w:rPr>
      </w:pPr>
      <w:r>
        <w:rPr>
          <w:rFonts w:asciiTheme="minorHAnsi" w:hAnsiTheme="minorHAnsi" w:cstheme="minorHAnsi"/>
        </w:rPr>
        <w:t xml:space="preserve">V porovnaní s Nemeckom sú dopravné výkony na sieti v SR v priemere (základný scenár) 23-násobne nižšie, v porovnaní s Rakúskom 2,6-násobne nižšie, v porovnaní s Poľskom takmer 4-násobne nižšie a v porovnaní s Českou republikou 1,6-násobne nižšie.  Na strane výnosov sú indexy v prípade Nemecka (22) a Českej republiky (1,6) takmer rovnaké ako indexy dopravných výkonov, v Rakúsku (5,4) a Poľsku (1,6) sa tieto indexy navzájom nezhodujú. Z uvedeného vyplýva </w:t>
      </w:r>
      <w:r w:rsidRPr="00901D67">
        <w:rPr>
          <w:rFonts w:asciiTheme="minorHAnsi" w:hAnsiTheme="minorHAnsi" w:cstheme="minorHAnsi"/>
          <w:b/>
        </w:rPr>
        <w:t>porovnateľnosť vozokilometrických výnosov systému ETC v SR, Nemecku a Českej republike</w:t>
      </w:r>
      <w:r>
        <w:rPr>
          <w:rFonts w:asciiTheme="minorHAnsi" w:hAnsiTheme="minorHAnsi" w:cstheme="minorHAnsi"/>
        </w:rPr>
        <w:t xml:space="preserve">, ale tiež </w:t>
      </w:r>
      <w:r w:rsidRPr="00901D67">
        <w:rPr>
          <w:rFonts w:asciiTheme="minorHAnsi" w:hAnsiTheme="minorHAnsi" w:cstheme="minorHAnsi"/>
          <w:b/>
        </w:rPr>
        <w:t>najnižšie výnosy 1vkm v Poľsku a</w:t>
      </w:r>
      <w:r>
        <w:rPr>
          <w:rFonts w:asciiTheme="minorHAnsi" w:hAnsiTheme="minorHAnsi" w:cstheme="minorHAnsi"/>
          <w:b/>
        </w:rPr>
        <w:t> </w:t>
      </w:r>
      <w:r w:rsidRPr="00901D67">
        <w:rPr>
          <w:rFonts w:asciiTheme="minorHAnsi" w:hAnsiTheme="minorHAnsi" w:cstheme="minorHAnsi"/>
          <w:b/>
        </w:rPr>
        <w:t>najvyššie</w:t>
      </w:r>
      <w:r>
        <w:rPr>
          <w:rFonts w:asciiTheme="minorHAnsi" w:hAnsiTheme="minorHAnsi" w:cstheme="minorHAnsi"/>
          <w:b/>
        </w:rPr>
        <w:t xml:space="preserve"> </w:t>
      </w:r>
      <w:r w:rsidRPr="00901D67">
        <w:rPr>
          <w:rFonts w:asciiTheme="minorHAnsi" w:hAnsiTheme="minorHAnsi" w:cstheme="minorHAnsi"/>
          <w:b/>
        </w:rPr>
        <w:t>v</w:t>
      </w:r>
      <w:r>
        <w:rPr>
          <w:rFonts w:asciiTheme="minorHAnsi" w:hAnsiTheme="minorHAnsi" w:cstheme="minorHAnsi"/>
          <w:b/>
        </w:rPr>
        <w:t> </w:t>
      </w:r>
      <w:r w:rsidRPr="00901D67">
        <w:rPr>
          <w:rFonts w:asciiTheme="minorHAnsi" w:hAnsiTheme="minorHAnsi" w:cstheme="minorHAnsi"/>
          <w:b/>
        </w:rPr>
        <w:t>Rakúsku</w:t>
      </w:r>
      <w:r>
        <w:rPr>
          <w:rFonts w:asciiTheme="minorHAnsi" w:hAnsiTheme="minorHAnsi" w:cstheme="minorHAnsi"/>
          <w:b/>
        </w:rPr>
        <w:t xml:space="preserve"> </w:t>
      </w:r>
      <w:r>
        <w:rPr>
          <w:rFonts w:asciiTheme="minorHAnsi" w:hAnsiTheme="minorHAnsi" w:cstheme="minorHAnsi"/>
        </w:rPr>
        <w:t>(</w:t>
      </w:r>
      <w:r w:rsidR="00AE5B8A">
        <w:rPr>
          <w:rFonts w:asciiTheme="minorHAnsi" w:hAnsiTheme="minorHAnsi" w:cstheme="minorHAnsi"/>
        </w:rPr>
        <w:fldChar w:fldCharType="begin"/>
      </w:r>
      <w:r>
        <w:rPr>
          <w:rFonts w:asciiTheme="minorHAnsi" w:hAnsiTheme="minorHAnsi" w:cstheme="minorHAnsi"/>
        </w:rPr>
        <w:instrText xml:space="preserve"> REF _Ref21711198 \h </w:instrText>
      </w:r>
      <w:r w:rsidR="00AE5B8A">
        <w:rPr>
          <w:rFonts w:asciiTheme="minorHAnsi" w:hAnsiTheme="minorHAnsi" w:cstheme="minorHAnsi"/>
        </w:rPr>
      </w:r>
      <w:r w:rsidR="00AE5B8A">
        <w:rPr>
          <w:rFonts w:asciiTheme="minorHAnsi" w:hAnsiTheme="minorHAnsi" w:cstheme="minorHAnsi"/>
        </w:rPr>
        <w:fldChar w:fldCharType="separate"/>
      </w:r>
      <w:r w:rsidR="001E4C1C" w:rsidRPr="004C1013">
        <w:t xml:space="preserve">Obr. </w:t>
      </w:r>
      <w:r w:rsidR="001E4C1C">
        <w:rPr>
          <w:noProof/>
        </w:rPr>
        <w:t>2</w:t>
      </w:r>
      <w:r w:rsidR="001E4C1C">
        <w:noBreakHyphen/>
      </w:r>
      <w:r w:rsidR="001E4C1C">
        <w:rPr>
          <w:noProof/>
        </w:rPr>
        <w:t>17</w:t>
      </w:r>
      <w:r w:rsidR="00AE5B8A">
        <w:rPr>
          <w:rFonts w:asciiTheme="minorHAnsi" w:hAnsiTheme="minorHAnsi" w:cstheme="minorHAnsi"/>
        </w:rPr>
        <w:fldChar w:fldCharType="end"/>
      </w:r>
      <w:r>
        <w:rPr>
          <w:rFonts w:asciiTheme="minorHAnsi" w:hAnsiTheme="minorHAnsi" w:cstheme="minorHAnsi"/>
        </w:rPr>
        <w:t xml:space="preserve">). </w:t>
      </w:r>
    </w:p>
    <w:p w:rsidR="00341824" w:rsidRDefault="00341824" w:rsidP="00341824">
      <w:pPr>
        <w:pStyle w:val="Normaltext"/>
        <w:spacing w:line="276" w:lineRule="auto"/>
        <w:rPr>
          <w:rFonts w:asciiTheme="minorHAnsi" w:hAnsiTheme="minorHAnsi" w:cstheme="minorHAnsi"/>
        </w:rPr>
      </w:pPr>
      <w:r>
        <w:t xml:space="preserve">Slovenský a český systém ETC vyberie v priemere (základný scenár) 0,154 € mýta za prejazd 1km siete priemerným povinným vozidlom, nemecký systém 0,147€, poľský systém 0,067€ a rakúsky 0,317€.  </w:t>
      </w:r>
      <w:r w:rsidR="00C64690">
        <w:t>Z hľadiska priemerných hodnôt indikátora v rámci subscenára A a subscenára B je poradie krajín iné (</w:t>
      </w:r>
      <w:r w:rsidR="00AE5B8A">
        <w:fldChar w:fldCharType="begin"/>
      </w:r>
      <w:r w:rsidR="00FF573D">
        <w:instrText xml:space="preserve"> REF _Ref21711215 \h </w:instrText>
      </w:r>
      <w:r w:rsidR="00AE5B8A">
        <w:fldChar w:fldCharType="separate"/>
      </w:r>
      <w:r w:rsidR="001E4C1C">
        <w:t xml:space="preserve">Tab.  </w:t>
      </w:r>
      <w:r w:rsidR="001E4C1C">
        <w:rPr>
          <w:noProof/>
        </w:rPr>
        <w:t>2</w:t>
      </w:r>
      <w:r w:rsidR="001E4C1C">
        <w:noBreakHyphen/>
      </w:r>
      <w:r w:rsidR="001E4C1C">
        <w:rPr>
          <w:noProof/>
        </w:rPr>
        <w:t>9</w:t>
      </w:r>
      <w:r w:rsidR="00AE5B8A">
        <w:fldChar w:fldCharType="end"/>
      </w:r>
      <w:r w:rsidR="00C64690">
        <w:t xml:space="preserve">, </w:t>
      </w:r>
      <w:r w:rsidR="00AE5B8A">
        <w:fldChar w:fldCharType="begin"/>
      </w:r>
      <w:r w:rsidR="00FF573D">
        <w:instrText xml:space="preserve"> REF _Ref21711237 \h </w:instrText>
      </w:r>
      <w:r w:rsidR="00AE5B8A">
        <w:fldChar w:fldCharType="separate"/>
      </w:r>
      <w:r w:rsidR="001E4C1C" w:rsidRPr="004C1013">
        <w:t xml:space="preserve">Obr. </w:t>
      </w:r>
      <w:r w:rsidR="001E4C1C">
        <w:rPr>
          <w:noProof/>
        </w:rPr>
        <w:t>2</w:t>
      </w:r>
      <w:r w:rsidR="001E4C1C">
        <w:noBreakHyphen/>
      </w:r>
      <w:r w:rsidR="001E4C1C">
        <w:rPr>
          <w:noProof/>
        </w:rPr>
        <w:t>18</w:t>
      </w:r>
      <w:r w:rsidR="00AE5B8A">
        <w:fldChar w:fldCharType="end"/>
      </w:r>
      <w:r w:rsidR="00C64690">
        <w:t>), čo vyplýva najmä z iných pomerov indexov v týchto uvažovaných obdobiach prevádzky systému.</w:t>
      </w:r>
    </w:p>
    <w:p w:rsidR="002203F3" w:rsidRDefault="002203F3" w:rsidP="006B1C25">
      <w:pPr>
        <w:pStyle w:val="tabstyl"/>
      </w:pPr>
      <w:bookmarkStart w:id="245" w:name="_Ref21711215"/>
      <w:bookmarkStart w:id="246" w:name="_Toc36664492"/>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9</w:t>
      </w:r>
      <w:r w:rsidR="00C40D3F">
        <w:rPr>
          <w:noProof/>
        </w:rPr>
        <w:fldChar w:fldCharType="end"/>
      </w:r>
      <w:bookmarkEnd w:id="245"/>
      <w:r>
        <w:tab/>
        <w:t>Sumarizácia výsledkov komparácie priemerných ročných vozokilometrických výnosov systémov ETC</w:t>
      </w:r>
      <w:bookmarkEnd w:id="246"/>
      <w:r>
        <w:t xml:space="preserve"> </w:t>
      </w:r>
    </w:p>
    <w:tbl>
      <w:tblPr>
        <w:tblStyle w:val="tabulkaVUD"/>
        <w:tblW w:w="5000" w:type="pct"/>
        <w:tblLook w:val="04A0" w:firstRow="1" w:lastRow="0" w:firstColumn="1" w:lastColumn="0" w:noHBand="0" w:noVBand="1"/>
      </w:tblPr>
      <w:tblGrid>
        <w:gridCol w:w="2011"/>
        <w:gridCol w:w="2411"/>
        <w:gridCol w:w="2552"/>
        <w:gridCol w:w="79"/>
        <w:gridCol w:w="2358"/>
      </w:tblGrid>
      <w:tr w:rsidR="002203F3" w:rsidTr="002203F3">
        <w:trPr>
          <w:cnfStyle w:val="100000000000" w:firstRow="1" w:lastRow="0" w:firstColumn="0" w:lastColumn="0" w:oddVBand="0" w:evenVBand="0" w:oddHBand="0" w:evenHBand="0" w:firstRowFirstColumn="0" w:firstRowLastColumn="0" w:lastRowFirstColumn="0" w:lastRowLastColumn="0"/>
          <w:tblHeader/>
        </w:trPr>
        <w:tc>
          <w:tcPr>
            <w:tcW w:w="1068" w:type="pct"/>
          </w:tcPr>
          <w:p w:rsidR="002203F3" w:rsidRDefault="002203F3" w:rsidP="00087428"/>
        </w:tc>
        <w:tc>
          <w:tcPr>
            <w:tcW w:w="1281" w:type="pct"/>
          </w:tcPr>
          <w:p w:rsidR="002203F3" w:rsidRDefault="002203F3" w:rsidP="009D58D5">
            <w:pPr>
              <w:pStyle w:val="zahltab"/>
            </w:pPr>
            <w:r>
              <w:t>Základný scenár</w:t>
            </w:r>
          </w:p>
        </w:tc>
        <w:tc>
          <w:tcPr>
            <w:tcW w:w="1398" w:type="pct"/>
            <w:gridSpan w:val="2"/>
          </w:tcPr>
          <w:p w:rsidR="002203F3" w:rsidRDefault="002203F3" w:rsidP="009D58D5">
            <w:pPr>
              <w:pStyle w:val="zahltab"/>
            </w:pPr>
            <w:r>
              <w:t>Subscenár A</w:t>
            </w:r>
          </w:p>
        </w:tc>
        <w:tc>
          <w:tcPr>
            <w:tcW w:w="1253" w:type="pct"/>
          </w:tcPr>
          <w:p w:rsidR="002203F3" w:rsidRDefault="002203F3" w:rsidP="009D58D5">
            <w:pPr>
              <w:pStyle w:val="zahltab"/>
            </w:pPr>
            <w:r>
              <w:t>Subscenár B</w:t>
            </w:r>
          </w:p>
        </w:tc>
      </w:tr>
      <w:tr w:rsidR="002203F3" w:rsidTr="00D12962">
        <w:trPr>
          <w:trHeight w:val="458"/>
        </w:trPr>
        <w:tc>
          <w:tcPr>
            <w:tcW w:w="1068" w:type="pct"/>
            <w:shd w:val="clear" w:color="auto" w:fill="7F7F7F" w:themeFill="text1" w:themeFillTint="80"/>
          </w:tcPr>
          <w:p w:rsidR="002203F3" w:rsidRPr="00AB6DA4" w:rsidRDefault="002203F3" w:rsidP="00087428">
            <w:pPr>
              <w:pStyle w:val="tabbielystyl"/>
              <w:jc w:val="left"/>
              <w:rPr>
                <w:b/>
                <w:color w:val="FFFFFF" w:themeColor="background1"/>
              </w:rPr>
            </w:pPr>
            <w:r>
              <w:rPr>
                <w:b/>
                <w:color w:val="FFFFFF" w:themeColor="background1"/>
              </w:rPr>
              <w:t>Požiadavka</w:t>
            </w:r>
          </w:p>
        </w:tc>
        <w:tc>
          <w:tcPr>
            <w:tcW w:w="3932" w:type="pct"/>
            <w:gridSpan w:val="4"/>
          </w:tcPr>
          <w:p w:rsidR="002203F3" w:rsidRPr="00254390" w:rsidRDefault="002203F3" w:rsidP="00087428">
            <w:pPr>
              <w:pStyle w:val="tabbielystyl"/>
              <w:jc w:val="center"/>
              <w:rPr>
                <w:b/>
              </w:rPr>
            </w:pPr>
            <w:r w:rsidRPr="00254390">
              <w:rPr>
                <w:b/>
              </w:rPr>
              <w:t>max. hodnota ukazovateľa</w:t>
            </w:r>
          </w:p>
        </w:tc>
      </w:tr>
      <w:tr w:rsidR="002203F3" w:rsidTr="00087428">
        <w:tc>
          <w:tcPr>
            <w:tcW w:w="1068" w:type="pct"/>
            <w:shd w:val="clear" w:color="auto" w:fill="7F7F7F" w:themeFill="text1" w:themeFillTint="80"/>
          </w:tcPr>
          <w:p w:rsidR="002203F3" w:rsidRPr="00AB6DA4" w:rsidRDefault="002203F3" w:rsidP="00087428">
            <w:pPr>
              <w:pStyle w:val="tabbielystyl"/>
              <w:jc w:val="left"/>
              <w:rPr>
                <w:b/>
                <w:color w:val="FFFFFF" w:themeColor="background1"/>
              </w:rPr>
            </w:pPr>
            <w:r w:rsidRPr="00AB6DA4">
              <w:rPr>
                <w:b/>
                <w:color w:val="FFFFFF" w:themeColor="background1"/>
              </w:rPr>
              <w:t xml:space="preserve">Najvyššia hodnota ukazovateľa   </w:t>
            </w:r>
          </w:p>
        </w:tc>
        <w:tc>
          <w:tcPr>
            <w:tcW w:w="1281" w:type="pct"/>
          </w:tcPr>
          <w:p w:rsidR="002203F3" w:rsidRDefault="002203F3" w:rsidP="00087428">
            <w:pPr>
              <w:pStyle w:val="tabbielystyl"/>
              <w:jc w:val="left"/>
            </w:pPr>
            <w:r>
              <w:t>Rakúsko (0,317 €/vkm)</w:t>
            </w:r>
          </w:p>
        </w:tc>
        <w:tc>
          <w:tcPr>
            <w:tcW w:w="1356" w:type="pct"/>
          </w:tcPr>
          <w:p w:rsidR="002203F3" w:rsidRDefault="002203F3" w:rsidP="00087428">
            <w:pPr>
              <w:pStyle w:val="tabbielystyl"/>
              <w:jc w:val="left"/>
            </w:pPr>
            <w:r>
              <w:t>Rakúsko (0,299 €/vkm)</w:t>
            </w:r>
          </w:p>
        </w:tc>
        <w:tc>
          <w:tcPr>
            <w:tcW w:w="1295" w:type="pct"/>
            <w:gridSpan w:val="2"/>
          </w:tcPr>
          <w:p w:rsidR="002203F3" w:rsidRDefault="002203F3" w:rsidP="00087428">
            <w:pPr>
              <w:pStyle w:val="tabbielystyl"/>
              <w:jc w:val="left"/>
            </w:pPr>
            <w:r>
              <w:t>Rakúsko (0,337 €/vkm)</w:t>
            </w:r>
          </w:p>
        </w:tc>
      </w:tr>
      <w:tr w:rsidR="002203F3" w:rsidTr="00087428">
        <w:tc>
          <w:tcPr>
            <w:tcW w:w="1068" w:type="pct"/>
            <w:shd w:val="clear" w:color="auto" w:fill="7F7F7F" w:themeFill="text1" w:themeFillTint="80"/>
          </w:tcPr>
          <w:p w:rsidR="002203F3" w:rsidRPr="00AB6DA4" w:rsidRDefault="002203F3" w:rsidP="00087428">
            <w:pPr>
              <w:pStyle w:val="tabbielystyl"/>
              <w:jc w:val="left"/>
              <w:rPr>
                <w:b/>
                <w:color w:val="FFFFFF" w:themeColor="background1"/>
              </w:rPr>
            </w:pPr>
            <w:r w:rsidRPr="00AB6DA4">
              <w:rPr>
                <w:b/>
                <w:color w:val="FFFFFF" w:themeColor="background1"/>
              </w:rPr>
              <w:t>Najnižšia hodnota ukazovateľa</w:t>
            </w:r>
          </w:p>
        </w:tc>
        <w:tc>
          <w:tcPr>
            <w:tcW w:w="1281" w:type="pct"/>
          </w:tcPr>
          <w:p w:rsidR="002203F3" w:rsidRPr="007819C7" w:rsidRDefault="002203F3" w:rsidP="00087428">
            <w:pPr>
              <w:pStyle w:val="tabbielystyl"/>
              <w:jc w:val="left"/>
            </w:pPr>
            <w:r w:rsidRPr="007819C7">
              <w:t>Poľsko (0,067 €/vkm)</w:t>
            </w:r>
          </w:p>
        </w:tc>
        <w:tc>
          <w:tcPr>
            <w:tcW w:w="1356" w:type="pct"/>
          </w:tcPr>
          <w:p w:rsidR="002203F3" w:rsidRPr="00405DB2" w:rsidRDefault="002203F3" w:rsidP="00087428">
            <w:pPr>
              <w:pStyle w:val="tabbielystyl"/>
              <w:jc w:val="left"/>
              <w:rPr>
                <w:b/>
              </w:rPr>
            </w:pPr>
            <w:r w:rsidRPr="007819C7">
              <w:t>Poľsko (0,</w:t>
            </w:r>
            <w:r>
              <w:t>071</w:t>
            </w:r>
            <w:r w:rsidRPr="007819C7">
              <w:t xml:space="preserve"> €/vkm)</w:t>
            </w:r>
          </w:p>
        </w:tc>
        <w:tc>
          <w:tcPr>
            <w:tcW w:w="1295" w:type="pct"/>
            <w:gridSpan w:val="2"/>
          </w:tcPr>
          <w:p w:rsidR="002203F3" w:rsidRPr="00405DB2" w:rsidRDefault="002203F3" w:rsidP="00087428">
            <w:pPr>
              <w:pStyle w:val="tabbielystyl"/>
              <w:jc w:val="left"/>
              <w:rPr>
                <w:b/>
              </w:rPr>
            </w:pPr>
            <w:r w:rsidRPr="007819C7">
              <w:t>Poľsko (0,0</w:t>
            </w:r>
            <w:r>
              <w:t>63</w:t>
            </w:r>
            <w:r w:rsidRPr="007819C7">
              <w:t xml:space="preserve"> €/vkm)</w:t>
            </w:r>
          </w:p>
        </w:tc>
      </w:tr>
      <w:tr w:rsidR="002203F3" w:rsidTr="00087428">
        <w:tc>
          <w:tcPr>
            <w:tcW w:w="1068" w:type="pct"/>
            <w:shd w:val="clear" w:color="auto" w:fill="7F7F7F" w:themeFill="text1" w:themeFillTint="80"/>
          </w:tcPr>
          <w:p w:rsidR="002203F3" w:rsidRPr="00AB6DA4" w:rsidRDefault="002203F3" w:rsidP="00087428">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281" w:type="pct"/>
          </w:tcPr>
          <w:p w:rsidR="002203F3" w:rsidRPr="007819C7" w:rsidRDefault="002203F3" w:rsidP="00087428">
            <w:pPr>
              <w:pStyle w:val="tabbielystyl"/>
              <w:jc w:val="left"/>
            </w:pPr>
            <w:r w:rsidRPr="007819C7">
              <w:t>1. Rakúsko (</w:t>
            </w:r>
            <w:r>
              <w:t>0,317</w:t>
            </w:r>
            <w:r w:rsidRPr="007819C7">
              <w:t xml:space="preserve"> €/</w:t>
            </w:r>
            <w:r>
              <w:t>v</w:t>
            </w:r>
            <w:r w:rsidRPr="007819C7">
              <w:t>km)</w:t>
            </w:r>
          </w:p>
          <w:p w:rsidR="002203F3" w:rsidRPr="00E61602" w:rsidRDefault="002203F3" w:rsidP="00087428">
            <w:pPr>
              <w:pStyle w:val="tabbielystyl"/>
              <w:jc w:val="left"/>
              <w:rPr>
                <w:b/>
              </w:rPr>
            </w:pPr>
            <w:r w:rsidRPr="00E61602">
              <w:rPr>
                <w:b/>
              </w:rPr>
              <w:t>2. Slovensko (SkyToll: 0,154 €/vkm)</w:t>
            </w:r>
          </w:p>
          <w:p w:rsidR="002203F3" w:rsidRPr="007819C7" w:rsidRDefault="002203F3" w:rsidP="00087428">
            <w:pPr>
              <w:pStyle w:val="tabbielystyl"/>
              <w:jc w:val="left"/>
            </w:pPr>
            <w:r w:rsidRPr="007819C7">
              <w:t>3. Česká rep.</w:t>
            </w:r>
            <w:r>
              <w:t xml:space="preserve"> </w:t>
            </w:r>
            <w:r w:rsidRPr="007819C7">
              <w:t>(0,154 €/vkm)</w:t>
            </w:r>
          </w:p>
          <w:p w:rsidR="002203F3" w:rsidRPr="00254390" w:rsidRDefault="002203F3" w:rsidP="00087428">
            <w:pPr>
              <w:pStyle w:val="tabbielystyl"/>
              <w:jc w:val="left"/>
              <w:rPr>
                <w:b/>
              </w:rPr>
            </w:pPr>
            <w:r w:rsidRPr="00254390">
              <w:rPr>
                <w:b/>
              </w:rPr>
              <w:t>4. Slovensko (NDS: 0,153 €/vkm)</w:t>
            </w:r>
          </w:p>
          <w:p w:rsidR="002203F3" w:rsidRPr="007819C7" w:rsidRDefault="002203F3" w:rsidP="00087428">
            <w:pPr>
              <w:pStyle w:val="tabbielystyl"/>
              <w:jc w:val="left"/>
            </w:pPr>
            <w:r w:rsidRPr="007819C7">
              <w:t>5. Nemecko (0,1</w:t>
            </w:r>
            <w:r>
              <w:t>47</w:t>
            </w:r>
            <w:r w:rsidRPr="007819C7">
              <w:t xml:space="preserve"> €/vkm)</w:t>
            </w:r>
          </w:p>
          <w:p w:rsidR="002203F3" w:rsidRPr="00405DB2" w:rsidRDefault="002203F3" w:rsidP="00087428">
            <w:pPr>
              <w:pStyle w:val="tabbielystyl"/>
              <w:jc w:val="left"/>
            </w:pPr>
            <w:r>
              <w:t>6</w:t>
            </w:r>
            <w:r w:rsidRPr="007819C7">
              <w:t>. Poľsko (</w:t>
            </w:r>
            <w:r>
              <w:t>0,067</w:t>
            </w:r>
            <w:r w:rsidRPr="007819C7">
              <w:t xml:space="preserve"> €/</w:t>
            </w:r>
            <w:r>
              <w:t>v</w:t>
            </w:r>
            <w:r w:rsidRPr="007819C7">
              <w:t>km</w:t>
            </w:r>
            <w:r>
              <w:t>)</w:t>
            </w:r>
          </w:p>
        </w:tc>
        <w:tc>
          <w:tcPr>
            <w:tcW w:w="1356" w:type="pct"/>
          </w:tcPr>
          <w:p w:rsidR="002203F3" w:rsidRPr="007819C7" w:rsidRDefault="002203F3" w:rsidP="00087428">
            <w:pPr>
              <w:pStyle w:val="tabbielystyl"/>
              <w:jc w:val="left"/>
            </w:pPr>
            <w:r w:rsidRPr="007819C7">
              <w:t xml:space="preserve">1. </w:t>
            </w:r>
            <w:r>
              <w:t>Rakúsko (0,299 €/vkm)</w:t>
            </w:r>
          </w:p>
          <w:p w:rsidR="002203F3" w:rsidRDefault="002203F3" w:rsidP="00087428">
            <w:pPr>
              <w:pStyle w:val="tabbielystyl"/>
              <w:jc w:val="left"/>
              <w:rPr>
                <w:b/>
              </w:rPr>
            </w:pPr>
            <w:r w:rsidRPr="00254390">
              <w:rPr>
                <w:b/>
              </w:rPr>
              <w:t xml:space="preserve">2. Slovensko  </w:t>
            </w:r>
          </w:p>
          <w:p w:rsidR="002203F3" w:rsidRPr="00254390" w:rsidRDefault="002203F3" w:rsidP="00087428">
            <w:pPr>
              <w:pStyle w:val="tabbielystyl"/>
              <w:jc w:val="left"/>
              <w:rPr>
                <w:b/>
              </w:rPr>
            </w:pPr>
            <w:r w:rsidRPr="00254390">
              <w:rPr>
                <w:b/>
              </w:rPr>
              <w:t>(SkyToll: 0,155 €/vkm)</w:t>
            </w:r>
          </w:p>
          <w:p w:rsidR="002203F3" w:rsidRPr="00254390" w:rsidRDefault="002203F3" w:rsidP="00087428">
            <w:pPr>
              <w:pStyle w:val="tabbielystyl"/>
              <w:jc w:val="left"/>
              <w:rPr>
                <w:b/>
              </w:rPr>
            </w:pPr>
            <w:r w:rsidRPr="00254390">
              <w:rPr>
                <w:b/>
              </w:rPr>
              <w:t xml:space="preserve">(NDS: 0,154 €/vkm) </w:t>
            </w:r>
          </w:p>
          <w:p w:rsidR="002203F3" w:rsidRDefault="002203F3" w:rsidP="00087428">
            <w:pPr>
              <w:pStyle w:val="tabbielystyl"/>
              <w:jc w:val="left"/>
            </w:pPr>
            <w:r>
              <w:t xml:space="preserve">3. </w:t>
            </w:r>
            <w:r w:rsidRPr="007819C7">
              <w:t>Česká rep. (0,15</w:t>
            </w:r>
            <w:r>
              <w:t>1</w:t>
            </w:r>
            <w:r w:rsidRPr="007819C7">
              <w:t xml:space="preserve"> €/vkm)</w:t>
            </w:r>
          </w:p>
          <w:p w:rsidR="002203F3" w:rsidRPr="007819C7" w:rsidRDefault="002203F3" w:rsidP="00087428">
            <w:pPr>
              <w:pStyle w:val="tabbielystyl"/>
              <w:jc w:val="left"/>
            </w:pPr>
            <w:r>
              <w:t>4</w:t>
            </w:r>
            <w:r w:rsidRPr="007819C7">
              <w:t>. Nemecko (0,1</w:t>
            </w:r>
            <w:r>
              <w:t xml:space="preserve">3 </w:t>
            </w:r>
            <w:r w:rsidRPr="007819C7">
              <w:t>€/vkm)</w:t>
            </w:r>
          </w:p>
          <w:p w:rsidR="002203F3" w:rsidRPr="00405DB2" w:rsidRDefault="002203F3" w:rsidP="00087428">
            <w:pPr>
              <w:pStyle w:val="tabbielystyl"/>
              <w:jc w:val="left"/>
              <w:rPr>
                <w:b/>
              </w:rPr>
            </w:pPr>
            <w:r>
              <w:t>5</w:t>
            </w:r>
            <w:r w:rsidRPr="007819C7">
              <w:t>. Poľsko (</w:t>
            </w:r>
            <w:r>
              <w:t>0,071</w:t>
            </w:r>
            <w:r w:rsidRPr="007819C7">
              <w:t xml:space="preserve"> €/</w:t>
            </w:r>
            <w:r>
              <w:t>v</w:t>
            </w:r>
            <w:r w:rsidRPr="007819C7">
              <w:t>km</w:t>
            </w:r>
            <w:r>
              <w:t>)</w:t>
            </w:r>
          </w:p>
        </w:tc>
        <w:tc>
          <w:tcPr>
            <w:tcW w:w="1295" w:type="pct"/>
            <w:gridSpan w:val="2"/>
          </w:tcPr>
          <w:p w:rsidR="002203F3" w:rsidRPr="007819C7" w:rsidRDefault="002203F3" w:rsidP="00087428">
            <w:pPr>
              <w:pStyle w:val="tabbielystyl"/>
              <w:jc w:val="left"/>
            </w:pPr>
            <w:r w:rsidRPr="007819C7">
              <w:t xml:space="preserve">1. </w:t>
            </w:r>
            <w:r>
              <w:t>Rakúsko (0,337 €/vkm)</w:t>
            </w:r>
          </w:p>
          <w:p w:rsidR="002203F3" w:rsidRDefault="002203F3" w:rsidP="00087428">
            <w:pPr>
              <w:pStyle w:val="tabbielystyl"/>
              <w:jc w:val="left"/>
            </w:pPr>
            <w:r w:rsidRPr="007819C7">
              <w:t>2. Nemecko (0,1</w:t>
            </w:r>
            <w:r>
              <w:t xml:space="preserve">69 </w:t>
            </w:r>
            <w:r w:rsidRPr="007819C7">
              <w:t>€/vkm)</w:t>
            </w:r>
          </w:p>
          <w:p w:rsidR="002203F3" w:rsidRDefault="002203F3" w:rsidP="00087428">
            <w:pPr>
              <w:pStyle w:val="tabbielystyl"/>
              <w:jc w:val="left"/>
            </w:pPr>
            <w:r>
              <w:t>3. Česká rep.</w:t>
            </w:r>
            <w:r w:rsidRPr="007819C7">
              <w:t xml:space="preserve"> (0,15</w:t>
            </w:r>
            <w:r>
              <w:t>9</w:t>
            </w:r>
            <w:r w:rsidRPr="007819C7">
              <w:t xml:space="preserve"> €/vkm)</w:t>
            </w:r>
          </w:p>
          <w:p w:rsidR="002203F3" w:rsidRPr="00254390" w:rsidRDefault="002203F3" w:rsidP="00087428">
            <w:pPr>
              <w:pStyle w:val="tabbielystyl"/>
              <w:jc w:val="left"/>
              <w:rPr>
                <w:b/>
              </w:rPr>
            </w:pPr>
            <w:r w:rsidRPr="00254390">
              <w:rPr>
                <w:b/>
              </w:rPr>
              <w:t>4. Slovensko  (0,155-0,153 €/vkm)</w:t>
            </w:r>
          </w:p>
          <w:p w:rsidR="002203F3" w:rsidRPr="00405DB2" w:rsidRDefault="002203F3" w:rsidP="00087428">
            <w:pPr>
              <w:pStyle w:val="tabbielystyl"/>
              <w:jc w:val="left"/>
              <w:rPr>
                <w:b/>
              </w:rPr>
            </w:pPr>
            <w:r>
              <w:t>5</w:t>
            </w:r>
            <w:r w:rsidRPr="007819C7">
              <w:t>. Poľsko (</w:t>
            </w:r>
            <w:r>
              <w:t>0,063</w:t>
            </w:r>
            <w:r w:rsidRPr="007819C7">
              <w:t xml:space="preserve"> €/</w:t>
            </w:r>
            <w:r>
              <w:t>v</w:t>
            </w:r>
            <w:r w:rsidRPr="007819C7">
              <w:t>km</w:t>
            </w:r>
            <w:r>
              <w:t>)</w:t>
            </w:r>
          </w:p>
        </w:tc>
      </w:tr>
      <w:tr w:rsidR="002203F3" w:rsidTr="00087428">
        <w:tc>
          <w:tcPr>
            <w:tcW w:w="1068" w:type="pct"/>
            <w:shd w:val="clear" w:color="auto" w:fill="7F7F7F" w:themeFill="text1" w:themeFillTint="80"/>
          </w:tcPr>
          <w:p w:rsidR="002203F3" w:rsidRPr="00AB6DA4" w:rsidRDefault="002203F3" w:rsidP="00087428">
            <w:pPr>
              <w:pStyle w:val="tabbielystyl"/>
              <w:jc w:val="left"/>
              <w:rPr>
                <w:b/>
                <w:color w:val="FFFFFF" w:themeColor="background1"/>
              </w:rPr>
            </w:pPr>
            <w:r>
              <w:rPr>
                <w:b/>
                <w:color w:val="FFFFFF" w:themeColor="background1"/>
              </w:rPr>
              <w:t>Indexácia</w:t>
            </w:r>
          </w:p>
        </w:tc>
        <w:tc>
          <w:tcPr>
            <w:tcW w:w="1281" w:type="pct"/>
          </w:tcPr>
          <w:p w:rsidR="002203F3" w:rsidRDefault="002203F3" w:rsidP="00087428">
            <w:pPr>
              <w:pStyle w:val="tabbielystyl"/>
              <w:jc w:val="left"/>
            </w:pPr>
            <w:r>
              <w:t>DE: 0,95-0,96</w:t>
            </w:r>
          </w:p>
          <w:p w:rsidR="002203F3" w:rsidRDefault="002203F3" w:rsidP="00087428">
            <w:pPr>
              <w:pStyle w:val="tabbielystyl"/>
              <w:jc w:val="left"/>
            </w:pPr>
            <w:r>
              <w:t>ČR: 1-1,01</w:t>
            </w:r>
          </w:p>
          <w:p w:rsidR="002203F3" w:rsidRDefault="002203F3" w:rsidP="00087428">
            <w:pPr>
              <w:pStyle w:val="tabbielystyl"/>
              <w:jc w:val="left"/>
            </w:pPr>
            <w:r>
              <w:t xml:space="preserve"> AT:</w:t>
            </w:r>
            <w:r w:rsidRPr="00AB6DA4">
              <w:t xml:space="preserve"> </w:t>
            </w:r>
            <w:r>
              <w:t>2,05-2,07</w:t>
            </w:r>
          </w:p>
          <w:p w:rsidR="002203F3" w:rsidRDefault="002203F3" w:rsidP="00087428">
            <w:pPr>
              <w:pStyle w:val="tabbielystyl"/>
              <w:jc w:val="left"/>
            </w:pPr>
            <w:r>
              <w:t xml:space="preserve"> PL:</w:t>
            </w:r>
            <w:r w:rsidRPr="00AB6DA4">
              <w:t xml:space="preserve"> </w:t>
            </w:r>
            <w:r>
              <w:t>0,44</w:t>
            </w:r>
          </w:p>
        </w:tc>
        <w:tc>
          <w:tcPr>
            <w:tcW w:w="1356" w:type="pct"/>
          </w:tcPr>
          <w:p w:rsidR="002203F3" w:rsidRDefault="002203F3" w:rsidP="00087428">
            <w:pPr>
              <w:pStyle w:val="tabbielystyl"/>
              <w:jc w:val="left"/>
            </w:pPr>
            <w:r>
              <w:t>DE: 0,84</w:t>
            </w:r>
          </w:p>
          <w:p w:rsidR="002203F3" w:rsidRDefault="002203F3" w:rsidP="00087428">
            <w:pPr>
              <w:pStyle w:val="tabbielystyl"/>
              <w:jc w:val="left"/>
            </w:pPr>
            <w:r>
              <w:t>ČR: 0,97-0,98</w:t>
            </w:r>
          </w:p>
          <w:p w:rsidR="002203F3" w:rsidRDefault="002203F3" w:rsidP="00087428">
            <w:pPr>
              <w:pStyle w:val="tabbielystyl"/>
              <w:jc w:val="left"/>
            </w:pPr>
            <w:r>
              <w:t xml:space="preserve"> AT:</w:t>
            </w:r>
            <w:r w:rsidRPr="00AB6DA4">
              <w:t xml:space="preserve"> </w:t>
            </w:r>
            <w:r>
              <w:t>1,93-1,94</w:t>
            </w:r>
          </w:p>
          <w:p w:rsidR="002203F3" w:rsidRDefault="002203F3" w:rsidP="00087428">
            <w:pPr>
              <w:pStyle w:val="tabbielystyl"/>
              <w:jc w:val="left"/>
            </w:pPr>
            <w:r>
              <w:t xml:space="preserve"> PL:</w:t>
            </w:r>
            <w:r w:rsidRPr="00AB6DA4">
              <w:t xml:space="preserve"> </w:t>
            </w:r>
            <w:r>
              <w:t>0,46</w:t>
            </w:r>
          </w:p>
        </w:tc>
        <w:tc>
          <w:tcPr>
            <w:tcW w:w="1295" w:type="pct"/>
            <w:gridSpan w:val="2"/>
          </w:tcPr>
          <w:p w:rsidR="002203F3" w:rsidRDefault="002203F3" w:rsidP="00087428">
            <w:pPr>
              <w:pStyle w:val="tabbielystyl"/>
              <w:jc w:val="left"/>
            </w:pPr>
            <w:r>
              <w:t>DE: 1,09-1,11</w:t>
            </w:r>
          </w:p>
          <w:p w:rsidR="002203F3" w:rsidRDefault="002203F3" w:rsidP="00087428">
            <w:pPr>
              <w:pStyle w:val="tabbielystyl"/>
              <w:jc w:val="left"/>
            </w:pPr>
            <w:r>
              <w:t>ČR: 1,03-1,04</w:t>
            </w:r>
          </w:p>
          <w:p w:rsidR="002203F3" w:rsidRDefault="002203F3" w:rsidP="00087428">
            <w:pPr>
              <w:pStyle w:val="tabbielystyl"/>
              <w:jc w:val="left"/>
            </w:pPr>
            <w:r>
              <w:t xml:space="preserve"> AT:</w:t>
            </w:r>
            <w:r w:rsidRPr="00AB6DA4">
              <w:t xml:space="preserve"> </w:t>
            </w:r>
            <w:r>
              <w:t>2,18-2,20</w:t>
            </w:r>
          </w:p>
          <w:p w:rsidR="002203F3" w:rsidRDefault="002203F3" w:rsidP="00087428">
            <w:pPr>
              <w:pStyle w:val="tabbielystyl"/>
              <w:jc w:val="left"/>
            </w:pPr>
            <w:r>
              <w:t xml:space="preserve"> PL: 0,41</w:t>
            </w:r>
          </w:p>
        </w:tc>
      </w:tr>
    </w:tbl>
    <w:p w:rsidR="00FB28BF" w:rsidRDefault="00FB28BF" w:rsidP="00E21530">
      <w:pPr>
        <w:pStyle w:val="Normaltext"/>
        <w:spacing w:line="276" w:lineRule="auto"/>
      </w:pPr>
      <w:r>
        <w:t xml:space="preserve">Na základe matematického zápisu vzájomného vzťahu výnosov, objemu dopravy na sieti a vypočítanej priemernej sadzby možno </w:t>
      </w:r>
      <w:r w:rsidR="00314308">
        <w:t xml:space="preserve">z hľadiska </w:t>
      </w:r>
      <w:r w:rsidR="0029401B">
        <w:t xml:space="preserve">zhodnotenia </w:t>
      </w:r>
      <w:r w:rsidR="00314308">
        <w:t xml:space="preserve">efektívnosti slovenského systému ETC realizovať </w:t>
      </w:r>
      <w:r w:rsidR="0029401B">
        <w:t>vzájomné</w:t>
      </w:r>
      <w:r w:rsidR="00314308">
        <w:t xml:space="preserve"> prepočty </w:t>
      </w:r>
      <w:r w:rsidR="0029401B">
        <w:t xml:space="preserve">ukazovateľov </w:t>
      </w:r>
      <w:r w:rsidR="00314308">
        <w:t xml:space="preserve">na báze </w:t>
      </w:r>
      <w:r w:rsidR="0029401B">
        <w:t>dopravnej intenzity</w:t>
      </w:r>
      <w:r w:rsidR="00314308">
        <w:t xml:space="preserve"> napr. Českej republiky </w:t>
      </w:r>
      <w:r w:rsidR="0029401B">
        <w:t xml:space="preserve">(v poradí 2. najnižšie intenzity z porovnávaných štátov) </w:t>
      </w:r>
      <w:r w:rsidR="00314308">
        <w:t xml:space="preserve">a </w:t>
      </w:r>
      <w:r>
        <w:t xml:space="preserve">vyvodiť nasledujúce </w:t>
      </w:r>
      <w:r w:rsidR="00314308">
        <w:t>závery:</w:t>
      </w:r>
    </w:p>
    <w:p w:rsidR="00560946" w:rsidRDefault="00314308" w:rsidP="00D95B44">
      <w:pPr>
        <w:pStyle w:val="Normaltext"/>
        <w:numPr>
          <w:ilvl w:val="0"/>
          <w:numId w:val="30"/>
        </w:numPr>
        <w:spacing w:line="276" w:lineRule="auto"/>
      </w:pPr>
      <w:r>
        <w:t>pri stabilizácii priemernej sadzby 0,154 €/vkm</w:t>
      </w:r>
      <w:r w:rsidR="0029401B">
        <w:t xml:space="preserve"> (priemerné sadzby v ČR a DE)</w:t>
      </w:r>
      <w:r w:rsidR="00560946">
        <w:t>, použití </w:t>
      </w:r>
      <w:r w:rsidR="00BF4AE8">
        <w:t xml:space="preserve">priemerných intenzít </w:t>
      </w:r>
      <w:r w:rsidR="00C07205">
        <w:t>ČR</w:t>
      </w:r>
      <w:r w:rsidR="00BF4AE8">
        <w:t xml:space="preserve"> (priemer 3853 voz) na slovenskej sieti spoplatnených úsekov (priemer 2190 km), by suma priemerných ročných výnosov mýtneho systému narástla z pôvodných 175 mil. € na 476 mil. €, čo by významne ovplyvnilo celkovú efektívnosť systému, </w:t>
      </w:r>
    </w:p>
    <w:p w:rsidR="00BF4AE8" w:rsidRDefault="00BF4AE8" w:rsidP="00D95B44">
      <w:pPr>
        <w:pStyle w:val="Normaltext"/>
        <w:numPr>
          <w:ilvl w:val="0"/>
          <w:numId w:val="30"/>
        </w:numPr>
        <w:spacing w:line="276" w:lineRule="auto"/>
      </w:pPr>
      <w:r>
        <w:t>pri stabilizácii priemerných ročných výnosov (175 mil.€),</w:t>
      </w:r>
      <w:r w:rsidRPr="00BF4AE8">
        <w:t xml:space="preserve"> </w:t>
      </w:r>
      <w:r>
        <w:t xml:space="preserve">použití priemerných intenzít </w:t>
      </w:r>
      <w:r w:rsidR="00C07205">
        <w:t>ČR</w:t>
      </w:r>
      <w:r>
        <w:t xml:space="preserve"> (priemer 3853 voz) na slovenskej sieti spoplatnených úsekov (priemer 2190 km), by vypočítaná priemerná sadzba mýta bola zmenená z</w:t>
      </w:r>
      <w:r w:rsidR="00EE3F56">
        <w:t xml:space="preserve"> pôvodných </w:t>
      </w:r>
      <w:r>
        <w:t>0,154 €/vkm na 0,057 €/vkm</w:t>
      </w:r>
      <w:r w:rsidR="00C07205">
        <w:t>, a teda najnižšia z analyzovaných systémov ETC</w:t>
      </w:r>
      <w:r w:rsidR="00C64690">
        <w:t>.</w:t>
      </w:r>
      <w:r>
        <w:t xml:space="preserve">  </w:t>
      </w:r>
    </w:p>
    <w:p w:rsidR="00C64690" w:rsidRDefault="00EE3F56" w:rsidP="00E21530">
      <w:pPr>
        <w:pStyle w:val="Normaltext"/>
        <w:spacing w:line="276" w:lineRule="auto"/>
        <w:rPr>
          <w:b/>
        </w:rPr>
      </w:pPr>
      <w:r>
        <w:t xml:space="preserve">Na základe uvedeného možno konštatovať, že </w:t>
      </w:r>
      <w:r w:rsidR="00C07205">
        <w:rPr>
          <w:b/>
        </w:rPr>
        <w:t xml:space="preserve">výnosnosť systému, t.j. </w:t>
      </w:r>
      <w:r w:rsidRPr="00EE3F56">
        <w:rPr>
          <w:b/>
        </w:rPr>
        <w:t>jeho celková efektívnosť je významne ovplyvňovaná najmä intenzitou</w:t>
      </w:r>
      <w:r w:rsidR="002F523D">
        <w:rPr>
          <w:b/>
        </w:rPr>
        <w:t xml:space="preserve"> dopravy na spoplatnenej sieti</w:t>
      </w:r>
      <w:r w:rsidR="00E92E8B">
        <w:rPr>
          <w:b/>
        </w:rPr>
        <w:t xml:space="preserve">. </w:t>
      </w:r>
      <w:r w:rsidR="00C64690">
        <w:rPr>
          <w:b/>
        </w:rPr>
        <w:t xml:space="preserve">Pokiaľ by intenzita povinných vozidiel na Slovensku bola rovnaká ako napr. v ČR, výnosy systému by boli 2,7-násobne vyššie oproti súčasnosti. Na druhej strane, pri rovnakých </w:t>
      </w:r>
      <w:r w:rsidR="002E7464">
        <w:rPr>
          <w:b/>
        </w:rPr>
        <w:t xml:space="preserve">ročných </w:t>
      </w:r>
      <w:r w:rsidR="00C64690">
        <w:rPr>
          <w:b/>
        </w:rPr>
        <w:t xml:space="preserve">výnosoch </w:t>
      </w:r>
      <w:r w:rsidR="002E7464">
        <w:rPr>
          <w:b/>
        </w:rPr>
        <w:t xml:space="preserve">systému ETC v SR </w:t>
      </w:r>
      <w:r w:rsidR="00C64690">
        <w:rPr>
          <w:b/>
        </w:rPr>
        <w:t xml:space="preserve">a intenzitách povinných vozidiel rovnakých ako v ČR by sadzba mýta priemerného vozidla za prejazd priemerného 1 km na sieti systému ETC v SR predstavovala </w:t>
      </w:r>
      <w:r w:rsidR="002E7464">
        <w:rPr>
          <w:b/>
        </w:rPr>
        <w:t xml:space="preserve">najnižšiu hodnotu </w:t>
      </w:r>
      <w:r w:rsidR="00C64690">
        <w:rPr>
          <w:b/>
        </w:rPr>
        <w:t xml:space="preserve">z porovnávaných štátov. </w:t>
      </w:r>
    </w:p>
    <w:p w:rsidR="006703FB" w:rsidRPr="005C150D" w:rsidRDefault="00422F9F" w:rsidP="006703FB">
      <w:pPr>
        <w:pStyle w:val="Nadpis3"/>
        <w:rPr>
          <w:rFonts w:asciiTheme="minorHAnsi" w:hAnsiTheme="minorHAnsi" w:cstheme="minorHAnsi"/>
        </w:rPr>
      </w:pPr>
      <w:bookmarkStart w:id="247" w:name="_Toc20687960"/>
      <w:bookmarkStart w:id="248" w:name="_Toc36664403"/>
      <w:r>
        <w:rPr>
          <w:rFonts w:asciiTheme="minorHAnsi" w:hAnsiTheme="minorHAnsi" w:cstheme="minorHAnsi"/>
        </w:rPr>
        <w:t>N</w:t>
      </w:r>
      <w:r w:rsidR="006703FB" w:rsidRPr="005C150D">
        <w:rPr>
          <w:rFonts w:asciiTheme="minorHAnsi" w:hAnsiTheme="minorHAnsi" w:cstheme="minorHAnsi"/>
        </w:rPr>
        <w:t>ákladové indikátory efektívnosti</w:t>
      </w:r>
      <w:bookmarkEnd w:id="247"/>
      <w:bookmarkEnd w:id="248"/>
    </w:p>
    <w:p w:rsidR="006703FB" w:rsidRDefault="00792AAE" w:rsidP="003D0983">
      <w:pPr>
        <w:pStyle w:val="Nadpis4"/>
      </w:pPr>
      <w:bookmarkStart w:id="249" w:name="_Toc36664404"/>
      <w:r>
        <w:t>K</w:t>
      </w:r>
      <w:r w:rsidR="0056221C">
        <w:t>ilometrické náklady</w:t>
      </w:r>
      <w:bookmarkEnd w:id="249"/>
    </w:p>
    <w:p w:rsidR="00446719" w:rsidRDefault="00446719" w:rsidP="00DC45C3">
      <w:pPr>
        <w:pStyle w:val="Normaltext"/>
        <w:spacing w:line="276" w:lineRule="auto"/>
      </w:pPr>
      <w:r>
        <w:t xml:space="preserve">Kilometrické náklady systémov ETC vyjadrujú, koľko </w:t>
      </w:r>
      <w:r w:rsidR="00DC45C3">
        <w:t>€ nákladov pripadá na jeden kilometer spoplatnenej siete. Z hľadiska hodnotenia efektívnosti platí, čím sú náklady systému nižšie a dĺžka systému vyššia, efektívnosť systému je vyššia. Kilometrické náklady systému sú vypočítané podľa nasledujúceho vzťahu:</w:t>
      </w:r>
    </w:p>
    <w:p w:rsidR="009E1673" w:rsidRPr="009E1673" w:rsidRDefault="009E1673" w:rsidP="00DC45C3">
      <w:pPr>
        <w:pStyle w:val="Normaltext"/>
        <w:spacing w:line="276" w:lineRule="auto"/>
        <w:rPr>
          <w:sz w:val="12"/>
          <w:szCs w:val="12"/>
        </w:rPr>
      </w:pPr>
    </w:p>
    <w:p w:rsidR="00C13E45" w:rsidRPr="00D07073" w:rsidRDefault="00C40D3F" w:rsidP="00C13E45">
      <w:pPr>
        <w:pStyle w:val="Normaltext"/>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kilometrické náklady</m:t>
              </m:r>
            </m:e>
            <m:sub>
              <m:r>
                <w:rPr>
                  <w:rFonts w:ascii="Cambria Math" w:hAnsi="Cambria Math" w:cstheme="minorHAnsi"/>
                </w:rPr>
                <m:t>r</m:t>
              </m:r>
            </m:sub>
          </m:sSub>
          <m:r>
            <w:rPr>
              <w:rFonts w:ascii="Cambria Math" w:hAnsi="Cambria Math" w:cstheme="minorHAnsi"/>
            </w:rPr>
            <m:t xml:space="preserve">= </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 xml:space="preserve">náklady </m:t>
                  </m:r>
                </m:e>
                <m:sub>
                  <m:r>
                    <w:rPr>
                      <w:rFonts w:ascii="Cambria Math" w:hAnsi="Cambria Math" w:cstheme="minorHAnsi"/>
                    </w:rPr>
                    <m:t>r</m:t>
                  </m:r>
                </m:sub>
              </m:sSub>
            </m:num>
            <m:den>
              <m:r>
                <w:rPr>
                  <w:rFonts w:ascii="Cambria Math" w:hAnsi="Cambria Math" w:cstheme="minorHAnsi"/>
                </w:rPr>
                <m:t>dĺžka spoplatnenej siete</m:t>
              </m:r>
            </m:den>
          </m:f>
          <m:r>
            <w:rPr>
              <w:rFonts w:ascii="Cambria Math" w:hAnsi="Cambria Math" w:cstheme="minorHAnsi"/>
            </w:rPr>
            <m:t xml:space="preserve"> (€/km)</m:t>
          </m:r>
        </m:oMath>
      </m:oMathPara>
    </w:p>
    <w:p w:rsidR="009E1673" w:rsidRPr="009E1673" w:rsidRDefault="009E1673" w:rsidP="009E1673">
      <w:pPr>
        <w:pStyle w:val="Normaltext"/>
        <w:spacing w:line="276" w:lineRule="auto"/>
        <w:rPr>
          <w:sz w:val="12"/>
          <w:szCs w:val="12"/>
        </w:rPr>
      </w:pPr>
    </w:p>
    <w:p w:rsidR="00DC45C3" w:rsidRDefault="009E1673" w:rsidP="009E1673">
      <w:pPr>
        <w:pStyle w:val="Normaltext"/>
        <w:spacing w:line="276" w:lineRule="auto"/>
      </w:pPr>
      <w:r>
        <w:t xml:space="preserve">Vývoj </w:t>
      </w:r>
      <w:r w:rsidR="009A1747">
        <w:t xml:space="preserve">sledovaného </w:t>
      </w:r>
      <w:r>
        <w:t>ukazovateľa systémov ETC v jednotlivých rokoch deväťročnej prevádzky (</w:t>
      </w:r>
      <w:r w:rsidR="00AE5B8A">
        <w:fldChar w:fldCharType="begin"/>
      </w:r>
      <w:r w:rsidR="00FF573D">
        <w:instrText xml:space="preserve"> REF _Ref21711338 \h </w:instrText>
      </w:r>
      <w:r w:rsidR="00AE5B8A">
        <w:fldChar w:fldCharType="separate"/>
      </w:r>
      <w:r w:rsidR="001E4C1C" w:rsidRPr="004C1013">
        <w:t xml:space="preserve">Obr. </w:t>
      </w:r>
      <w:r w:rsidR="001E4C1C">
        <w:rPr>
          <w:noProof/>
        </w:rPr>
        <w:t>2</w:t>
      </w:r>
      <w:r w:rsidR="001E4C1C">
        <w:noBreakHyphen/>
      </w:r>
      <w:r w:rsidR="001E4C1C">
        <w:rPr>
          <w:noProof/>
        </w:rPr>
        <w:t>19</w:t>
      </w:r>
      <w:r w:rsidR="00AE5B8A">
        <w:fldChar w:fldCharType="end"/>
      </w:r>
      <w:r>
        <w:t xml:space="preserve">) najmä v prípade </w:t>
      </w:r>
      <w:r w:rsidR="009A1747">
        <w:t>SR, ČR a</w:t>
      </w:r>
      <w:r>
        <w:t xml:space="preserve"> PL a </w:t>
      </w:r>
      <w:r w:rsidR="009A1747">
        <w:t xml:space="preserve">reflektuje </w:t>
      </w:r>
      <w:r>
        <w:t>vyššie kilometrické náklady v prvých rokoch prevádzky systému</w:t>
      </w:r>
      <w:r w:rsidR="009A1747">
        <w:t xml:space="preserve"> vyplývajúce na jednej strane zo splácania prvotných investícii na systém a na strane druhej z postupného rozširovania spoplatnenej siete </w:t>
      </w:r>
      <w:r w:rsidR="002E7464">
        <w:t xml:space="preserve">daného </w:t>
      </w:r>
      <w:r w:rsidR="009A1747">
        <w:t xml:space="preserve">systému. </w:t>
      </w:r>
      <w:r w:rsidR="00C83AE8">
        <w:t xml:space="preserve">V prípade Nemecka a Rakúska ide o prevažne rovnomerné rozloženie </w:t>
      </w:r>
      <w:r w:rsidR="009A1747">
        <w:t xml:space="preserve">investičných a prevádzkových </w:t>
      </w:r>
      <w:r w:rsidR="00C83AE8">
        <w:t xml:space="preserve">nákladov na dĺžku siete. </w:t>
      </w:r>
    </w:p>
    <w:p w:rsidR="009261EF" w:rsidRDefault="00153293" w:rsidP="009261EF">
      <w:pPr>
        <w:pStyle w:val="Normaltext"/>
        <w:spacing w:line="276" w:lineRule="auto"/>
      </w:pPr>
      <w:r>
        <w:t xml:space="preserve">Priemerné ročné náklady na systém v nominálnej úrovni sú najnižšie na Slovensku a najvyššie v Nemecku (Tab. 2-5), dĺžka siete na Slovensku je v poradí 3. najdlhšia z porovnávaných štátov. </w:t>
      </w:r>
    </w:p>
    <w:p w:rsidR="009261EF" w:rsidRDefault="009261EF" w:rsidP="009261EF">
      <w:pPr>
        <w:pStyle w:val="Normaltext"/>
        <w:spacing w:line="276" w:lineRule="auto"/>
      </w:pPr>
      <w:r w:rsidRPr="009A1747">
        <w:rPr>
          <w:b/>
        </w:rPr>
        <w:t xml:space="preserve">Priemerné ročné kilometrické náklady systému ETC v Slovenskej republike (platí pre údaje prevádzkovateľa aj správcu systému) sú za prvých deväť rokov prevádzky (základný scenár) a za prvých päť rokov prevádzky (subscenár A) najnižšie zo všetkých porovnávaných </w:t>
      </w:r>
      <w:r>
        <w:rPr>
          <w:b/>
        </w:rPr>
        <w:t>systémov</w:t>
      </w:r>
      <w:r w:rsidRPr="009A1747">
        <w:rPr>
          <w:b/>
        </w:rPr>
        <w:t xml:space="preserve">. </w:t>
      </w:r>
      <w:r>
        <w:t xml:space="preserve">Počas 5. až 9. roku prevádzky systému (subscenár B) vykazuje slovenský systém podľa údajov prevádzkovateľa vyššie náklady na 1km spoplatnenej siete len v porovnaní s Poľskom a podľa údajov správcu systému aj s Nemeckom. </w:t>
      </w:r>
      <w:r w:rsidRPr="002E7464">
        <w:rPr>
          <w:b/>
        </w:rPr>
        <w:t xml:space="preserve">Najvyššie </w:t>
      </w:r>
      <w:r>
        <w:rPr>
          <w:b/>
        </w:rPr>
        <w:t xml:space="preserve">priemerné ročné </w:t>
      </w:r>
      <w:r w:rsidRPr="002E7464">
        <w:rPr>
          <w:b/>
        </w:rPr>
        <w:t>kilometrické náklady za prvých deväť rokov prevádzky vykazuje český systém, a to takmer dvojnásobn</w:t>
      </w:r>
      <w:r>
        <w:rPr>
          <w:b/>
        </w:rPr>
        <w:t xml:space="preserve">é </w:t>
      </w:r>
      <w:r w:rsidRPr="002E7464">
        <w:rPr>
          <w:b/>
        </w:rPr>
        <w:t>ako v</w:t>
      </w:r>
      <w:r>
        <w:rPr>
          <w:b/>
        </w:rPr>
        <w:t> </w:t>
      </w:r>
      <w:r w:rsidRPr="002E7464">
        <w:rPr>
          <w:b/>
        </w:rPr>
        <w:t>SR</w:t>
      </w:r>
      <w:r>
        <w:rPr>
          <w:b/>
        </w:rPr>
        <w:t xml:space="preserve"> </w:t>
      </w:r>
      <w:r>
        <w:t>(</w:t>
      </w:r>
      <w:r w:rsidR="00AE5B8A">
        <w:fldChar w:fldCharType="begin"/>
      </w:r>
      <w:r>
        <w:instrText xml:space="preserve"> REF _Ref21711570 \h </w:instrText>
      </w:r>
      <w:r w:rsidR="00AE5B8A">
        <w:fldChar w:fldCharType="separate"/>
      </w:r>
      <w:r w:rsidR="001E4C1C">
        <w:t xml:space="preserve">Tab.  </w:t>
      </w:r>
      <w:r w:rsidR="001E4C1C">
        <w:rPr>
          <w:noProof/>
        </w:rPr>
        <w:t>2</w:t>
      </w:r>
      <w:r w:rsidR="001E4C1C">
        <w:noBreakHyphen/>
      </w:r>
      <w:r w:rsidR="001E4C1C">
        <w:rPr>
          <w:noProof/>
        </w:rPr>
        <w:t>10</w:t>
      </w:r>
      <w:r w:rsidR="00AE5B8A">
        <w:fldChar w:fldCharType="end"/>
      </w:r>
      <w:r>
        <w:t xml:space="preserve">, </w:t>
      </w:r>
      <w:r w:rsidR="00AE5B8A">
        <w:fldChar w:fldCharType="begin"/>
      </w:r>
      <w:r>
        <w:instrText xml:space="preserve"> REF _Ref21711586 \h </w:instrText>
      </w:r>
      <w:r w:rsidR="00AE5B8A">
        <w:fldChar w:fldCharType="separate"/>
      </w:r>
      <w:r w:rsidR="001E4C1C" w:rsidRPr="004C1013">
        <w:t xml:space="preserve">Obr. </w:t>
      </w:r>
      <w:r w:rsidR="001E4C1C">
        <w:rPr>
          <w:noProof/>
        </w:rPr>
        <w:t>2</w:t>
      </w:r>
      <w:r w:rsidR="001E4C1C">
        <w:noBreakHyphen/>
      </w:r>
      <w:r w:rsidR="001E4C1C">
        <w:rPr>
          <w:noProof/>
        </w:rPr>
        <w:t>20</w:t>
      </w:r>
      <w:r w:rsidR="00AE5B8A">
        <w:fldChar w:fldCharType="end"/>
      </w:r>
      <w:r>
        <w:t xml:space="preserve">).  </w:t>
      </w:r>
    </w:p>
    <w:p w:rsidR="00265449" w:rsidRDefault="00265449" w:rsidP="00265449">
      <w:pPr>
        <w:pStyle w:val="Normaltext"/>
      </w:pPr>
      <w:r w:rsidRPr="00265449">
        <w:rPr>
          <w:noProof/>
          <w:lang w:eastAsia="sk-SK"/>
        </w:rPr>
        <w:drawing>
          <wp:inline distT="0" distB="0" distL="0" distR="0">
            <wp:extent cx="5941514" cy="2199600"/>
            <wp:effectExtent l="0" t="0" r="2540" b="0"/>
            <wp:docPr id="56" name="Graf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9D7567" w:rsidRDefault="009D7567" w:rsidP="006B1C25">
      <w:pPr>
        <w:pStyle w:val="Popis"/>
      </w:pPr>
      <w:bookmarkStart w:id="250" w:name="_Ref21711338"/>
      <w:bookmarkStart w:id="251" w:name="_Toc36664528"/>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19</w:t>
      </w:r>
      <w:r w:rsidR="00C40D3F">
        <w:rPr>
          <w:noProof/>
        </w:rPr>
        <w:fldChar w:fldCharType="end"/>
      </w:r>
      <w:bookmarkEnd w:id="250"/>
      <w:r w:rsidRPr="004C1013">
        <w:tab/>
      </w:r>
      <w:r>
        <w:t>Ročné kilometrické náklady systémov ETC v prevádzkových rokoch (základný scenár: 1. -  9. rok)</w:t>
      </w:r>
      <w:bookmarkEnd w:id="251"/>
    </w:p>
    <w:p w:rsidR="000E1653" w:rsidRDefault="000E1653">
      <w:pPr>
        <w:pStyle w:val="Normaltext"/>
      </w:pPr>
    </w:p>
    <w:p w:rsidR="00A97FA1" w:rsidRPr="005C150D" w:rsidRDefault="00A97FA1" w:rsidP="00A97FA1">
      <w:pPr>
        <w:pStyle w:val="Normaltext"/>
        <w:rPr>
          <w:rFonts w:asciiTheme="minorHAnsi" w:hAnsiTheme="minorHAnsi" w:cstheme="minorHAnsi"/>
        </w:rPr>
      </w:pPr>
      <w:r>
        <w:rPr>
          <w:noProof/>
          <w:lang w:eastAsia="sk-SK"/>
        </w:rPr>
        <w:drawing>
          <wp:inline distT="0" distB="0" distL="0" distR="0">
            <wp:extent cx="5941514" cy="1620000"/>
            <wp:effectExtent l="0" t="0" r="2540" b="0"/>
            <wp:docPr id="18" name="Graf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r>
        <w:rPr>
          <w:noProof/>
          <w:lang w:eastAsia="sk-SK"/>
        </w:rPr>
        <w:drawing>
          <wp:inline distT="0" distB="0" distL="0" distR="0">
            <wp:extent cx="5941514" cy="1620000"/>
            <wp:effectExtent l="0" t="0" r="2540" b="0"/>
            <wp:docPr id="19"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r>
        <w:rPr>
          <w:noProof/>
          <w:lang w:eastAsia="sk-SK"/>
        </w:rPr>
        <w:drawing>
          <wp:inline distT="0" distB="0" distL="0" distR="0">
            <wp:extent cx="5941514" cy="1620000"/>
            <wp:effectExtent l="0" t="0" r="2540" b="0"/>
            <wp:docPr id="20" name="Graf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97FA1" w:rsidRDefault="00A97FA1" w:rsidP="00A97FA1">
      <w:pPr>
        <w:pStyle w:val="Popis"/>
      </w:pPr>
      <w:bookmarkStart w:id="252" w:name="_Ref21711586"/>
      <w:bookmarkStart w:id="253" w:name="_Toc36664529"/>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20</w:t>
      </w:r>
      <w:r w:rsidR="00C40D3F">
        <w:rPr>
          <w:noProof/>
        </w:rPr>
        <w:fldChar w:fldCharType="end"/>
      </w:r>
      <w:bookmarkEnd w:id="252"/>
      <w:r w:rsidRPr="004C1013">
        <w:tab/>
      </w:r>
      <w:r>
        <w:t>Priemerné ročné kilometrické náklady systémov ETC (základný scenár, subscenár A, subscenár B)</w:t>
      </w:r>
      <w:bookmarkEnd w:id="253"/>
    </w:p>
    <w:p w:rsidR="009261EF" w:rsidRDefault="009261EF">
      <w:pPr>
        <w:spacing w:before="0" w:after="0" w:line="240" w:lineRule="auto"/>
        <w:jc w:val="left"/>
        <w:rPr>
          <w:rFonts w:asciiTheme="minorHAnsi" w:hAnsiTheme="minorHAnsi" w:cstheme="minorHAnsi"/>
          <w:sz w:val="20"/>
        </w:rPr>
      </w:pPr>
      <w:r>
        <w:br w:type="page"/>
      </w:r>
    </w:p>
    <w:p w:rsidR="00D12962" w:rsidRDefault="00D12962" w:rsidP="006B1C25">
      <w:pPr>
        <w:pStyle w:val="tabstyl"/>
      </w:pPr>
      <w:bookmarkStart w:id="254" w:name="_Ref21711570"/>
      <w:bookmarkStart w:id="255" w:name="_Toc36664493"/>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10</w:t>
      </w:r>
      <w:r w:rsidR="00C40D3F">
        <w:rPr>
          <w:noProof/>
        </w:rPr>
        <w:fldChar w:fldCharType="end"/>
      </w:r>
      <w:bookmarkEnd w:id="254"/>
      <w:r>
        <w:tab/>
        <w:t>Sumarizácia výsledkov komparácie priemerných ročných kilometrických nákladov systémov ETC</w:t>
      </w:r>
      <w:bookmarkEnd w:id="255"/>
      <w:r>
        <w:t xml:space="preserve"> </w:t>
      </w:r>
    </w:p>
    <w:tbl>
      <w:tblPr>
        <w:tblStyle w:val="tabulkaVUD"/>
        <w:tblW w:w="5000" w:type="pct"/>
        <w:tblLook w:val="04A0" w:firstRow="1" w:lastRow="0" w:firstColumn="1" w:lastColumn="0" w:noHBand="0" w:noVBand="1"/>
      </w:tblPr>
      <w:tblGrid>
        <w:gridCol w:w="1589"/>
        <w:gridCol w:w="2693"/>
        <w:gridCol w:w="2693"/>
        <w:gridCol w:w="2436"/>
      </w:tblGrid>
      <w:tr w:rsidR="00D12962" w:rsidTr="00A97FA1">
        <w:trPr>
          <w:cnfStyle w:val="100000000000" w:firstRow="1" w:lastRow="0" w:firstColumn="0" w:lastColumn="0" w:oddVBand="0" w:evenVBand="0" w:oddHBand="0" w:evenHBand="0" w:firstRowFirstColumn="0" w:firstRowLastColumn="0" w:lastRowFirstColumn="0" w:lastRowLastColumn="0"/>
          <w:tblHeader/>
        </w:trPr>
        <w:tc>
          <w:tcPr>
            <w:tcW w:w="844" w:type="pct"/>
          </w:tcPr>
          <w:p w:rsidR="00D12962" w:rsidRDefault="00D12962" w:rsidP="007D2674"/>
        </w:tc>
        <w:tc>
          <w:tcPr>
            <w:tcW w:w="1431" w:type="pct"/>
          </w:tcPr>
          <w:p w:rsidR="00D12962" w:rsidRDefault="00D12962" w:rsidP="009D58D5">
            <w:pPr>
              <w:pStyle w:val="zahltab"/>
            </w:pPr>
            <w:r>
              <w:t>Základný scenár</w:t>
            </w:r>
          </w:p>
        </w:tc>
        <w:tc>
          <w:tcPr>
            <w:tcW w:w="1431" w:type="pct"/>
          </w:tcPr>
          <w:p w:rsidR="00D12962" w:rsidRDefault="00D12962" w:rsidP="009D58D5">
            <w:pPr>
              <w:pStyle w:val="zahltab"/>
            </w:pPr>
            <w:r>
              <w:t>Subscenár A</w:t>
            </w:r>
          </w:p>
        </w:tc>
        <w:tc>
          <w:tcPr>
            <w:tcW w:w="1294" w:type="pct"/>
          </w:tcPr>
          <w:p w:rsidR="00D12962" w:rsidRDefault="00D12962" w:rsidP="009D58D5">
            <w:pPr>
              <w:pStyle w:val="zahltab"/>
            </w:pPr>
            <w:r>
              <w:t>Subscenár B</w:t>
            </w:r>
          </w:p>
        </w:tc>
      </w:tr>
      <w:tr w:rsidR="00D12962" w:rsidTr="007D2674">
        <w:trPr>
          <w:trHeight w:val="184"/>
        </w:trPr>
        <w:tc>
          <w:tcPr>
            <w:tcW w:w="844" w:type="pct"/>
            <w:shd w:val="clear" w:color="auto" w:fill="7F7F7F" w:themeFill="text1" w:themeFillTint="80"/>
          </w:tcPr>
          <w:p w:rsidR="00D12962" w:rsidRPr="00AB6DA4" w:rsidRDefault="00D12962" w:rsidP="007D2674">
            <w:pPr>
              <w:pStyle w:val="tabbielystyl"/>
              <w:jc w:val="left"/>
              <w:rPr>
                <w:b/>
                <w:color w:val="FFFFFF" w:themeColor="background1"/>
              </w:rPr>
            </w:pPr>
            <w:r>
              <w:rPr>
                <w:b/>
                <w:color w:val="FFFFFF" w:themeColor="background1"/>
              </w:rPr>
              <w:t>Požiadavka</w:t>
            </w:r>
          </w:p>
        </w:tc>
        <w:tc>
          <w:tcPr>
            <w:tcW w:w="4156" w:type="pct"/>
            <w:gridSpan w:val="3"/>
          </w:tcPr>
          <w:p w:rsidR="00D12962" w:rsidRPr="00254390" w:rsidRDefault="00D12962" w:rsidP="007D2674">
            <w:pPr>
              <w:pStyle w:val="tabbielystyl"/>
              <w:jc w:val="center"/>
              <w:rPr>
                <w:b/>
              </w:rPr>
            </w:pPr>
            <w:r w:rsidRPr="00254390">
              <w:rPr>
                <w:b/>
              </w:rPr>
              <w:t>min. hodnota ukazovateľa</w:t>
            </w:r>
          </w:p>
        </w:tc>
      </w:tr>
      <w:tr w:rsidR="00D12962" w:rsidTr="007D2674">
        <w:tc>
          <w:tcPr>
            <w:tcW w:w="844" w:type="pct"/>
            <w:shd w:val="clear" w:color="auto" w:fill="7F7F7F" w:themeFill="text1" w:themeFillTint="80"/>
          </w:tcPr>
          <w:p w:rsidR="00D12962" w:rsidRPr="00AB6DA4" w:rsidRDefault="00D12962" w:rsidP="007D2674">
            <w:pPr>
              <w:pStyle w:val="tabbielystyl"/>
              <w:jc w:val="left"/>
              <w:rPr>
                <w:b/>
                <w:color w:val="FFFFFF" w:themeColor="background1"/>
              </w:rPr>
            </w:pPr>
            <w:r w:rsidRPr="00AB6DA4">
              <w:rPr>
                <w:b/>
                <w:color w:val="FFFFFF" w:themeColor="background1"/>
              </w:rPr>
              <w:t xml:space="preserve">Najvyššia hodnota ukazovateľa   </w:t>
            </w:r>
          </w:p>
        </w:tc>
        <w:tc>
          <w:tcPr>
            <w:tcW w:w="1431" w:type="pct"/>
          </w:tcPr>
          <w:p w:rsidR="00D12962" w:rsidRPr="009D7567" w:rsidRDefault="00D12962" w:rsidP="007D2674">
            <w:pPr>
              <w:pStyle w:val="tabbielystyl"/>
              <w:jc w:val="left"/>
              <w:rPr>
                <w:b/>
              </w:rPr>
            </w:pPr>
            <w:r w:rsidRPr="009D7567">
              <w:rPr>
                <w:b/>
              </w:rPr>
              <w:t xml:space="preserve">Slovensko </w:t>
            </w:r>
          </w:p>
          <w:p w:rsidR="00D12962" w:rsidRPr="009D7567" w:rsidRDefault="00D12962" w:rsidP="007D2674">
            <w:pPr>
              <w:pStyle w:val="tabbielystyl"/>
              <w:jc w:val="left"/>
              <w:rPr>
                <w:b/>
              </w:rPr>
            </w:pPr>
            <w:r w:rsidRPr="009D7567">
              <w:rPr>
                <w:b/>
              </w:rPr>
              <w:t>(SkyToll: 41 tis. €/km)</w:t>
            </w:r>
          </w:p>
          <w:p w:rsidR="00D12962" w:rsidRDefault="00D12962" w:rsidP="007D2674">
            <w:pPr>
              <w:pStyle w:val="tabbielystyl"/>
              <w:jc w:val="left"/>
            </w:pPr>
            <w:r w:rsidRPr="009D7567">
              <w:rPr>
                <w:b/>
              </w:rPr>
              <w:t>(NDS: 42,8 tis. €/km)</w:t>
            </w:r>
          </w:p>
        </w:tc>
        <w:tc>
          <w:tcPr>
            <w:tcW w:w="1431" w:type="pct"/>
          </w:tcPr>
          <w:p w:rsidR="00D12962" w:rsidRPr="009D7567" w:rsidRDefault="00D12962" w:rsidP="007D2674">
            <w:pPr>
              <w:pStyle w:val="tabbielystyl"/>
              <w:jc w:val="left"/>
              <w:rPr>
                <w:b/>
              </w:rPr>
            </w:pPr>
            <w:r w:rsidRPr="009D7567">
              <w:rPr>
                <w:b/>
              </w:rPr>
              <w:t xml:space="preserve">Slovensko </w:t>
            </w:r>
          </w:p>
          <w:p w:rsidR="00D12962" w:rsidRDefault="00D12962" w:rsidP="007D2674">
            <w:pPr>
              <w:pStyle w:val="tabbielystyl"/>
              <w:jc w:val="left"/>
            </w:pPr>
            <w:r w:rsidRPr="009D7567">
              <w:rPr>
                <w:b/>
              </w:rPr>
              <w:t>(SkyToll: 42,5 tis. €/km)</w:t>
            </w:r>
          </w:p>
        </w:tc>
        <w:tc>
          <w:tcPr>
            <w:tcW w:w="1294" w:type="pct"/>
          </w:tcPr>
          <w:p w:rsidR="00D12962" w:rsidRDefault="00D12962" w:rsidP="007D2674">
            <w:pPr>
              <w:pStyle w:val="tabbielystyl"/>
              <w:jc w:val="left"/>
            </w:pPr>
            <w:r>
              <w:t>Poľsko (26,6 tis. €)</w:t>
            </w:r>
          </w:p>
        </w:tc>
      </w:tr>
      <w:tr w:rsidR="00D12962" w:rsidTr="007D2674">
        <w:tc>
          <w:tcPr>
            <w:tcW w:w="844" w:type="pct"/>
            <w:shd w:val="clear" w:color="auto" w:fill="7F7F7F" w:themeFill="text1" w:themeFillTint="80"/>
          </w:tcPr>
          <w:p w:rsidR="00D12962" w:rsidRPr="00AB6DA4" w:rsidRDefault="00D12962" w:rsidP="007D2674">
            <w:pPr>
              <w:pStyle w:val="tabbielystyl"/>
              <w:jc w:val="left"/>
              <w:rPr>
                <w:b/>
                <w:color w:val="FFFFFF" w:themeColor="background1"/>
              </w:rPr>
            </w:pPr>
            <w:r w:rsidRPr="00AB6DA4">
              <w:rPr>
                <w:b/>
                <w:color w:val="FFFFFF" w:themeColor="background1"/>
              </w:rPr>
              <w:t>Najnižšia hodnota ukazovateľa</w:t>
            </w:r>
          </w:p>
        </w:tc>
        <w:tc>
          <w:tcPr>
            <w:tcW w:w="1431" w:type="pct"/>
          </w:tcPr>
          <w:p w:rsidR="00D12962" w:rsidRPr="007819C7" w:rsidRDefault="00D12962" w:rsidP="007D2674">
            <w:pPr>
              <w:pStyle w:val="tabbielystyl"/>
              <w:jc w:val="left"/>
            </w:pPr>
            <w:r>
              <w:t xml:space="preserve">Česká rep. </w:t>
            </w:r>
            <w:r w:rsidRPr="007819C7">
              <w:t>(</w:t>
            </w:r>
            <w:r>
              <w:t>74,6 tis. €/</w:t>
            </w:r>
            <w:r w:rsidRPr="007819C7">
              <w:t>km)</w:t>
            </w:r>
          </w:p>
        </w:tc>
        <w:tc>
          <w:tcPr>
            <w:tcW w:w="1431" w:type="pct"/>
          </w:tcPr>
          <w:p w:rsidR="00D12962" w:rsidRPr="00405DB2" w:rsidRDefault="00D12962" w:rsidP="007D2674">
            <w:pPr>
              <w:pStyle w:val="tabbielystyl"/>
              <w:jc w:val="left"/>
              <w:rPr>
                <w:b/>
              </w:rPr>
            </w:pPr>
            <w:r>
              <w:t xml:space="preserve">Česká rep. </w:t>
            </w:r>
            <w:r w:rsidRPr="007819C7">
              <w:t>(</w:t>
            </w:r>
            <w:r>
              <w:t>97,7 tis. €/</w:t>
            </w:r>
            <w:r w:rsidRPr="007819C7">
              <w:t>km)</w:t>
            </w:r>
          </w:p>
        </w:tc>
        <w:tc>
          <w:tcPr>
            <w:tcW w:w="1294" w:type="pct"/>
          </w:tcPr>
          <w:p w:rsidR="00D12962" w:rsidRPr="00405DB2" w:rsidRDefault="00D12962" w:rsidP="007D2674">
            <w:pPr>
              <w:pStyle w:val="tabbielystyl"/>
              <w:jc w:val="left"/>
              <w:rPr>
                <w:b/>
              </w:rPr>
            </w:pPr>
            <w:r>
              <w:t xml:space="preserve">Rakúsko </w:t>
            </w:r>
            <w:r w:rsidRPr="007819C7">
              <w:t>(</w:t>
            </w:r>
            <w:r>
              <w:t>57,7 tis. €/</w:t>
            </w:r>
            <w:r w:rsidRPr="007819C7">
              <w:t>km)</w:t>
            </w:r>
          </w:p>
        </w:tc>
      </w:tr>
      <w:tr w:rsidR="00D12962" w:rsidTr="007D2674">
        <w:tc>
          <w:tcPr>
            <w:tcW w:w="844" w:type="pct"/>
            <w:shd w:val="clear" w:color="auto" w:fill="7F7F7F" w:themeFill="text1" w:themeFillTint="80"/>
          </w:tcPr>
          <w:p w:rsidR="00D12962" w:rsidRPr="00AB6DA4" w:rsidRDefault="00D12962" w:rsidP="007D2674">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431" w:type="pct"/>
          </w:tcPr>
          <w:p w:rsidR="00D12962" w:rsidRPr="007B193E" w:rsidRDefault="00D12962" w:rsidP="007D2674">
            <w:pPr>
              <w:pStyle w:val="tabbielystyl"/>
              <w:jc w:val="left"/>
              <w:rPr>
                <w:b/>
              </w:rPr>
            </w:pPr>
            <w:r w:rsidRPr="007B193E">
              <w:rPr>
                <w:b/>
              </w:rPr>
              <w:t>1. Slovensko (41-42,8 tis. €/km)</w:t>
            </w:r>
          </w:p>
          <w:p w:rsidR="00D12962" w:rsidRPr="007819C7" w:rsidRDefault="00D12962" w:rsidP="007D2674">
            <w:pPr>
              <w:pStyle w:val="tabbielystyl"/>
              <w:jc w:val="left"/>
            </w:pPr>
            <w:r>
              <w:t xml:space="preserve">2. Nemecko </w:t>
            </w:r>
            <w:r w:rsidRPr="007819C7">
              <w:t>(</w:t>
            </w:r>
            <w:r>
              <w:t>43 tis. €/km</w:t>
            </w:r>
            <w:r w:rsidRPr="007819C7">
              <w:t>)</w:t>
            </w:r>
          </w:p>
          <w:p w:rsidR="00D12962" w:rsidRDefault="00D12962" w:rsidP="007D2674">
            <w:pPr>
              <w:pStyle w:val="tabbielystyl"/>
              <w:jc w:val="left"/>
            </w:pPr>
            <w:r>
              <w:t xml:space="preserve">3. Poľsko </w:t>
            </w:r>
            <w:r w:rsidRPr="007819C7">
              <w:t>(</w:t>
            </w:r>
            <w:r>
              <w:t>48,8 tis. €/km</w:t>
            </w:r>
            <w:r w:rsidRPr="007819C7">
              <w:t>)</w:t>
            </w:r>
          </w:p>
          <w:p w:rsidR="00D12962" w:rsidRDefault="00D12962" w:rsidP="007D2674">
            <w:pPr>
              <w:pStyle w:val="tabbielystyl"/>
              <w:jc w:val="left"/>
            </w:pPr>
            <w:r>
              <w:t>4. Rakúsko (54,1 tis. €/km</w:t>
            </w:r>
            <w:r w:rsidRPr="007819C7">
              <w:t>)</w:t>
            </w:r>
          </w:p>
          <w:p w:rsidR="00D12962" w:rsidRDefault="00D12962" w:rsidP="007D2674">
            <w:pPr>
              <w:pStyle w:val="tabbielystyl"/>
              <w:jc w:val="left"/>
            </w:pPr>
            <w:r>
              <w:t xml:space="preserve">5. Česká rep. </w:t>
            </w:r>
            <w:r w:rsidRPr="007819C7">
              <w:t>(</w:t>
            </w:r>
            <w:r>
              <w:t>74,6 tis. €/</w:t>
            </w:r>
            <w:r w:rsidRPr="007819C7">
              <w:t>km)</w:t>
            </w:r>
          </w:p>
          <w:p w:rsidR="00D12962" w:rsidRPr="00405DB2" w:rsidRDefault="00D12962" w:rsidP="007D2674">
            <w:pPr>
              <w:pStyle w:val="tabbielystyl"/>
              <w:jc w:val="left"/>
            </w:pPr>
          </w:p>
        </w:tc>
        <w:tc>
          <w:tcPr>
            <w:tcW w:w="1431" w:type="pct"/>
          </w:tcPr>
          <w:p w:rsidR="00D12962" w:rsidRPr="007B193E" w:rsidRDefault="00D12962" w:rsidP="007D2674">
            <w:pPr>
              <w:pStyle w:val="tabbielystyl"/>
              <w:jc w:val="left"/>
              <w:rPr>
                <w:b/>
              </w:rPr>
            </w:pPr>
            <w:r w:rsidRPr="007B193E">
              <w:rPr>
                <w:b/>
              </w:rPr>
              <w:t>1. Slovensko (SkyToll: 42,5 tis. €/km)</w:t>
            </w:r>
          </w:p>
          <w:p w:rsidR="00D12962" w:rsidRPr="007819C7" w:rsidRDefault="00D12962" w:rsidP="007D2674">
            <w:pPr>
              <w:pStyle w:val="tabbielystyl"/>
              <w:jc w:val="left"/>
            </w:pPr>
            <w:r>
              <w:t xml:space="preserve">2. Nemecko </w:t>
            </w:r>
            <w:r w:rsidRPr="007819C7">
              <w:t>(</w:t>
            </w:r>
            <w:r>
              <w:t>45,4 tis. €/km</w:t>
            </w:r>
            <w:r w:rsidRPr="007819C7">
              <w:t>)</w:t>
            </w:r>
          </w:p>
          <w:p w:rsidR="00D12962" w:rsidRPr="007B193E" w:rsidRDefault="00D12962" w:rsidP="007D2674">
            <w:pPr>
              <w:pStyle w:val="tabbielystyl"/>
              <w:jc w:val="left"/>
              <w:rPr>
                <w:b/>
              </w:rPr>
            </w:pPr>
            <w:r w:rsidRPr="007B193E">
              <w:rPr>
                <w:b/>
              </w:rPr>
              <w:t>3. Slovensko (NDS: 49,6 tis. €/km)</w:t>
            </w:r>
          </w:p>
          <w:p w:rsidR="00D12962" w:rsidRDefault="00D12962" w:rsidP="007D2674">
            <w:pPr>
              <w:pStyle w:val="tabbielystyl"/>
              <w:jc w:val="left"/>
            </w:pPr>
            <w:r>
              <w:t>4. Rakúsko (51,7 tis. €/km</w:t>
            </w:r>
            <w:r w:rsidRPr="007819C7">
              <w:t>)</w:t>
            </w:r>
          </w:p>
          <w:p w:rsidR="00D12962" w:rsidRDefault="00D12962" w:rsidP="007D2674">
            <w:pPr>
              <w:pStyle w:val="tabbielystyl"/>
              <w:jc w:val="left"/>
            </w:pPr>
            <w:r>
              <w:t xml:space="preserve">5. Poľsko </w:t>
            </w:r>
            <w:r w:rsidRPr="007819C7">
              <w:t>(</w:t>
            </w:r>
            <w:r>
              <w:t>62,2 tis. €/km</w:t>
            </w:r>
            <w:r w:rsidRPr="007819C7">
              <w:t>)</w:t>
            </w:r>
          </w:p>
          <w:p w:rsidR="00D12962" w:rsidRDefault="00D12962" w:rsidP="007D2674">
            <w:pPr>
              <w:pStyle w:val="tabbielystyl"/>
              <w:jc w:val="left"/>
            </w:pPr>
            <w:r>
              <w:t xml:space="preserve">6. Česká rep. </w:t>
            </w:r>
            <w:r w:rsidRPr="007819C7">
              <w:t>(</w:t>
            </w:r>
            <w:r>
              <w:t>97,7 tis. €/</w:t>
            </w:r>
            <w:r w:rsidRPr="007819C7">
              <w:t>km)</w:t>
            </w:r>
            <w:r>
              <w:t xml:space="preserve"> </w:t>
            </w:r>
          </w:p>
          <w:p w:rsidR="00D12962" w:rsidRPr="00405DB2" w:rsidRDefault="00D12962" w:rsidP="007D2674">
            <w:pPr>
              <w:pStyle w:val="tabbielystyl"/>
              <w:jc w:val="left"/>
              <w:rPr>
                <w:b/>
              </w:rPr>
            </w:pPr>
          </w:p>
        </w:tc>
        <w:tc>
          <w:tcPr>
            <w:tcW w:w="1294" w:type="pct"/>
          </w:tcPr>
          <w:p w:rsidR="00D12962" w:rsidRDefault="00D12962" w:rsidP="007D2674">
            <w:pPr>
              <w:pStyle w:val="tabbielystyl"/>
              <w:jc w:val="left"/>
            </w:pPr>
            <w:r w:rsidRPr="007819C7">
              <w:t xml:space="preserve">1. </w:t>
            </w:r>
            <w:r>
              <w:t xml:space="preserve">Poľsko </w:t>
            </w:r>
            <w:r w:rsidRPr="007819C7">
              <w:t>(</w:t>
            </w:r>
            <w:r>
              <w:t>26,6 tis. €/km</w:t>
            </w:r>
            <w:r w:rsidRPr="007819C7">
              <w:t>)</w:t>
            </w:r>
          </w:p>
          <w:p w:rsidR="00D12962" w:rsidRPr="007B193E" w:rsidRDefault="00D12962" w:rsidP="007D2674">
            <w:pPr>
              <w:pStyle w:val="tabbielystyl"/>
              <w:jc w:val="left"/>
              <w:rPr>
                <w:b/>
              </w:rPr>
            </w:pPr>
            <w:r w:rsidRPr="007B193E">
              <w:rPr>
                <w:b/>
              </w:rPr>
              <w:t>2. Slovensko (SkyToll: 30,5 tis. €/km)</w:t>
            </w:r>
          </w:p>
          <w:p w:rsidR="00D12962" w:rsidRDefault="00D12962" w:rsidP="007D2674">
            <w:pPr>
              <w:pStyle w:val="tabbielystyl"/>
              <w:jc w:val="left"/>
            </w:pPr>
            <w:r>
              <w:t>3. Nemecko (40,2 tis. €/km</w:t>
            </w:r>
            <w:r w:rsidRPr="007819C7">
              <w:t>)</w:t>
            </w:r>
          </w:p>
          <w:p w:rsidR="00D12962" w:rsidRPr="007B193E" w:rsidRDefault="00D12962" w:rsidP="007D2674">
            <w:pPr>
              <w:pStyle w:val="tabbielystyl"/>
              <w:jc w:val="left"/>
              <w:rPr>
                <w:b/>
              </w:rPr>
            </w:pPr>
            <w:r w:rsidRPr="007B193E">
              <w:rPr>
                <w:b/>
              </w:rPr>
              <w:t>4. Slovensko (NDS: 41,6 tis. €/km)</w:t>
            </w:r>
          </w:p>
          <w:p w:rsidR="00D12962" w:rsidRDefault="00D12962" w:rsidP="007D2674">
            <w:pPr>
              <w:pStyle w:val="tabbielystyl"/>
              <w:jc w:val="left"/>
            </w:pPr>
            <w:r>
              <w:t xml:space="preserve">5. Česká rep. </w:t>
            </w:r>
            <w:r w:rsidRPr="007819C7">
              <w:t>(</w:t>
            </w:r>
            <w:r>
              <w:t>51,9 tis. €/</w:t>
            </w:r>
            <w:r w:rsidRPr="007819C7">
              <w:t>km)</w:t>
            </w:r>
          </w:p>
          <w:p w:rsidR="00D12962" w:rsidRPr="009D7567" w:rsidRDefault="00D12962" w:rsidP="007D2674">
            <w:pPr>
              <w:pStyle w:val="tabbielystyl"/>
              <w:jc w:val="left"/>
            </w:pPr>
            <w:r>
              <w:t xml:space="preserve">6. Rakúsko </w:t>
            </w:r>
            <w:r w:rsidRPr="007819C7">
              <w:t>(</w:t>
            </w:r>
            <w:r>
              <w:t>57,7 tis. €/</w:t>
            </w:r>
            <w:r w:rsidRPr="007819C7">
              <w:t>km)</w:t>
            </w:r>
          </w:p>
        </w:tc>
      </w:tr>
      <w:tr w:rsidR="00D12962" w:rsidTr="007D2674">
        <w:tc>
          <w:tcPr>
            <w:tcW w:w="844" w:type="pct"/>
            <w:shd w:val="clear" w:color="auto" w:fill="7F7F7F" w:themeFill="text1" w:themeFillTint="80"/>
          </w:tcPr>
          <w:p w:rsidR="00D12962" w:rsidRPr="00AB6DA4" w:rsidRDefault="00D12962" w:rsidP="007D2674">
            <w:pPr>
              <w:pStyle w:val="tabbielystyl"/>
              <w:jc w:val="left"/>
              <w:rPr>
                <w:b/>
                <w:color w:val="FFFFFF" w:themeColor="background1"/>
              </w:rPr>
            </w:pPr>
            <w:r>
              <w:rPr>
                <w:b/>
                <w:color w:val="FFFFFF" w:themeColor="background1"/>
              </w:rPr>
              <w:t>Indexácia</w:t>
            </w:r>
          </w:p>
        </w:tc>
        <w:tc>
          <w:tcPr>
            <w:tcW w:w="1431" w:type="pct"/>
          </w:tcPr>
          <w:p w:rsidR="00D12962" w:rsidRDefault="00D12962" w:rsidP="007D2674">
            <w:pPr>
              <w:pStyle w:val="tabbielystyl"/>
              <w:jc w:val="left"/>
            </w:pPr>
            <w:r>
              <w:t>DE: 1-1,05</w:t>
            </w:r>
          </w:p>
          <w:p w:rsidR="00D12962" w:rsidRDefault="00D12962" w:rsidP="007D2674">
            <w:pPr>
              <w:pStyle w:val="tabbielystyl"/>
              <w:jc w:val="left"/>
            </w:pPr>
            <w:r>
              <w:t>ČR: 1,74-1,82</w:t>
            </w:r>
          </w:p>
          <w:p w:rsidR="00D12962" w:rsidRDefault="00D12962" w:rsidP="007D2674">
            <w:pPr>
              <w:pStyle w:val="tabbielystyl"/>
              <w:jc w:val="left"/>
            </w:pPr>
            <w:r>
              <w:t xml:space="preserve"> AT:</w:t>
            </w:r>
            <w:r w:rsidRPr="00AB6DA4">
              <w:t xml:space="preserve"> </w:t>
            </w:r>
            <w:r>
              <w:t>1,26-1,32</w:t>
            </w:r>
          </w:p>
          <w:p w:rsidR="00D12962" w:rsidRDefault="00D12962" w:rsidP="007D2674">
            <w:pPr>
              <w:pStyle w:val="tabbielystyl"/>
              <w:jc w:val="left"/>
            </w:pPr>
            <w:r>
              <w:t xml:space="preserve"> PL:</w:t>
            </w:r>
            <w:r w:rsidRPr="00AB6DA4">
              <w:t xml:space="preserve"> </w:t>
            </w:r>
            <w:r>
              <w:t>1,14-1,19</w:t>
            </w:r>
          </w:p>
        </w:tc>
        <w:tc>
          <w:tcPr>
            <w:tcW w:w="1431" w:type="pct"/>
          </w:tcPr>
          <w:p w:rsidR="00D12962" w:rsidRDefault="00D12962" w:rsidP="007D2674">
            <w:pPr>
              <w:pStyle w:val="tabbielystyl"/>
              <w:jc w:val="left"/>
            </w:pPr>
            <w:r>
              <w:t>DE: 0,92-1,07</w:t>
            </w:r>
          </w:p>
          <w:p w:rsidR="00D12962" w:rsidRDefault="00D12962" w:rsidP="007D2674">
            <w:pPr>
              <w:pStyle w:val="tabbielystyl"/>
              <w:jc w:val="left"/>
            </w:pPr>
            <w:r>
              <w:t>ČR: 1,97-2,3</w:t>
            </w:r>
          </w:p>
          <w:p w:rsidR="00D12962" w:rsidRDefault="00D12962" w:rsidP="007D2674">
            <w:pPr>
              <w:pStyle w:val="tabbielystyl"/>
              <w:jc w:val="left"/>
            </w:pPr>
            <w:r>
              <w:t xml:space="preserve"> AT:</w:t>
            </w:r>
            <w:r w:rsidRPr="00AB6DA4">
              <w:t xml:space="preserve"> </w:t>
            </w:r>
            <w:r>
              <w:t>1,04-1,22</w:t>
            </w:r>
          </w:p>
          <w:p w:rsidR="00D12962" w:rsidRDefault="00D12962" w:rsidP="007D2674">
            <w:pPr>
              <w:pStyle w:val="tabbielystyl"/>
              <w:jc w:val="left"/>
            </w:pPr>
            <w:r>
              <w:t xml:space="preserve"> PL:</w:t>
            </w:r>
            <w:r w:rsidRPr="00AB6DA4">
              <w:t xml:space="preserve"> </w:t>
            </w:r>
            <w:r>
              <w:t>1,25-1,46</w:t>
            </w:r>
          </w:p>
        </w:tc>
        <w:tc>
          <w:tcPr>
            <w:tcW w:w="1294" w:type="pct"/>
          </w:tcPr>
          <w:p w:rsidR="00D12962" w:rsidRDefault="00D12962" w:rsidP="007D2674">
            <w:pPr>
              <w:pStyle w:val="tabbielystyl"/>
              <w:jc w:val="left"/>
            </w:pPr>
            <w:r>
              <w:t>DE: 0,97-1,32</w:t>
            </w:r>
          </w:p>
          <w:p w:rsidR="00D12962" w:rsidRDefault="00D12962" w:rsidP="007D2674">
            <w:pPr>
              <w:pStyle w:val="tabbielystyl"/>
              <w:jc w:val="left"/>
            </w:pPr>
            <w:r>
              <w:t>ČR: 1,25-1,7</w:t>
            </w:r>
          </w:p>
          <w:p w:rsidR="00D12962" w:rsidRDefault="00D12962" w:rsidP="007D2674">
            <w:pPr>
              <w:pStyle w:val="tabbielystyl"/>
              <w:jc w:val="left"/>
            </w:pPr>
            <w:r>
              <w:t xml:space="preserve"> AT:</w:t>
            </w:r>
            <w:r w:rsidRPr="00AB6DA4">
              <w:t xml:space="preserve"> </w:t>
            </w:r>
            <w:r>
              <w:t>1,39-1,9</w:t>
            </w:r>
          </w:p>
          <w:p w:rsidR="00D12962" w:rsidRDefault="00D12962" w:rsidP="007D2674">
            <w:pPr>
              <w:pStyle w:val="tabbielystyl"/>
              <w:jc w:val="left"/>
            </w:pPr>
            <w:r>
              <w:t xml:space="preserve"> PL: 0,64-0,87</w:t>
            </w:r>
          </w:p>
        </w:tc>
      </w:tr>
    </w:tbl>
    <w:p w:rsidR="006703FB" w:rsidRDefault="0056221C" w:rsidP="003D0983">
      <w:pPr>
        <w:pStyle w:val="Nadpis4"/>
      </w:pPr>
      <w:bookmarkStart w:id="256" w:name="_Toc36664405"/>
      <w:r>
        <w:t>Vozokilometrické náklady</w:t>
      </w:r>
      <w:bookmarkEnd w:id="256"/>
    </w:p>
    <w:p w:rsidR="00930AA9" w:rsidRDefault="00930AA9" w:rsidP="00930AA9">
      <w:pPr>
        <w:pStyle w:val="Normaltext"/>
        <w:spacing w:line="276" w:lineRule="auto"/>
      </w:pPr>
      <w:r>
        <w:t xml:space="preserve">Predmetný indikátor efektívnosti systémov ETC vyjadruje, koľko € spotrebovaných nákladov systému pripadá na jednotku dopravného výkonu na spoplatnenej sieti. O efektívnosti systému možno hovoriť vtedy, ak sú vozokilometrické náklady najnižšie. </w:t>
      </w:r>
      <w:r w:rsidR="005573D7">
        <w:t xml:space="preserve">Výslednú hodnotu ukazovateľa teda ovplyvňuje nielen výška nákladov ale tiež intenzita povinných vozidiel a dĺžka spoplatnenej siete. </w:t>
      </w:r>
      <w:r>
        <w:t>Výpočet hodnoty ukazovateľa je založený na podiele nákladov a kumulovaných ročných dopravných výkonov:</w:t>
      </w:r>
    </w:p>
    <w:p w:rsidR="00930AA9" w:rsidRPr="00455F1B" w:rsidRDefault="00930AA9" w:rsidP="00930AA9">
      <w:pPr>
        <w:pStyle w:val="Normaltext"/>
        <w:rPr>
          <w:sz w:val="6"/>
          <w:szCs w:val="6"/>
        </w:rPr>
      </w:pPr>
    </w:p>
    <w:p w:rsidR="00C13E45" w:rsidRPr="00D07073" w:rsidRDefault="00C40D3F" w:rsidP="00C13E45">
      <w:pPr>
        <w:pStyle w:val="Normaltext"/>
        <w:jc w:val="left"/>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vozokilometrické náklady</m:t>
              </m:r>
            </m:e>
            <m:sub>
              <m:r>
                <w:rPr>
                  <w:rFonts w:ascii="Cambria Math" w:hAnsi="Cambria Math" w:cstheme="minorHAnsi"/>
                </w:rPr>
                <m:t>r</m:t>
              </m:r>
            </m:sub>
          </m:sSub>
          <m:r>
            <w:rPr>
              <w:rFonts w:ascii="Cambria Math" w:hAnsi="Cambria Math" w:cstheme="minorHAnsi"/>
            </w:rPr>
            <m:t xml:space="preserve">= </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náklady</m:t>
                  </m:r>
                </m:e>
                <m:sub>
                  <m:r>
                    <w:rPr>
                      <w:rFonts w:ascii="Cambria Math" w:hAnsi="Cambria Math" w:cstheme="minorHAnsi"/>
                    </w:rPr>
                    <m:t>r</m:t>
                  </m:r>
                </m:sub>
              </m:sSub>
            </m:num>
            <m:den>
              <m:sSub>
                <m:sSubPr>
                  <m:ctrlPr>
                    <w:rPr>
                      <w:rFonts w:ascii="Cambria Math" w:hAnsi="Cambria Math" w:cstheme="minorHAnsi"/>
                      <w:i/>
                    </w:rPr>
                  </m:ctrlPr>
                </m:sSubPr>
                <m:e>
                  <m:r>
                    <w:rPr>
                      <w:rFonts w:ascii="Cambria Math" w:hAnsi="Cambria Math" w:cstheme="minorHAnsi"/>
                    </w:rPr>
                    <m:t>kumulované ročné dopravné výkony</m:t>
                  </m:r>
                </m:e>
                <m:sub>
                  <m:r>
                    <w:rPr>
                      <w:rFonts w:ascii="Cambria Math" w:hAnsi="Cambria Math" w:cstheme="minorHAnsi"/>
                    </w:rPr>
                    <m:t>r</m:t>
                  </m:r>
                </m:sub>
              </m:sSub>
              <m:r>
                <w:rPr>
                  <w:rFonts w:ascii="Cambria Math" w:hAnsi="Cambria Math" w:cstheme="minorHAnsi"/>
                </w:rPr>
                <m:t xml:space="preserve"> </m:t>
              </m:r>
            </m:den>
          </m:f>
          <m:r>
            <w:rPr>
              <w:rFonts w:ascii="Cambria Math" w:hAnsi="Cambria Math" w:cstheme="minorHAnsi"/>
            </w:rPr>
            <m:t xml:space="preserve"> (€/vkm)</m:t>
          </m:r>
        </m:oMath>
      </m:oMathPara>
    </w:p>
    <w:p w:rsidR="00C13E45" w:rsidRPr="00455F1B" w:rsidRDefault="00C13E45" w:rsidP="00C13E45">
      <w:pPr>
        <w:pStyle w:val="Normaltext"/>
        <w:rPr>
          <w:sz w:val="6"/>
          <w:szCs w:val="6"/>
        </w:rPr>
      </w:pPr>
    </w:p>
    <w:p w:rsidR="005573D7" w:rsidRDefault="00E147CC" w:rsidP="00B63141">
      <w:r>
        <w:t>Nominálna úroveň priemerných ročných nákladov systémov</w:t>
      </w:r>
      <w:r w:rsidR="00B63141">
        <w:t xml:space="preserve"> (</w:t>
      </w:r>
      <w:r w:rsidR="00AE5B8A">
        <w:fldChar w:fldCharType="begin"/>
      </w:r>
      <w:r w:rsidR="00B63141">
        <w:instrText xml:space="preserve"> REF _Ref23785741 \h </w:instrText>
      </w:r>
      <w:r w:rsidR="00AE5B8A">
        <w:fldChar w:fldCharType="separate"/>
      </w:r>
      <w:r w:rsidR="001E4C1C">
        <w:t xml:space="preserve">Tab.  </w:t>
      </w:r>
      <w:r w:rsidR="001E4C1C">
        <w:rPr>
          <w:noProof/>
        </w:rPr>
        <w:t>2</w:t>
      </w:r>
      <w:r w:rsidR="001E4C1C">
        <w:noBreakHyphen/>
      </w:r>
      <w:r w:rsidR="001E4C1C">
        <w:rPr>
          <w:noProof/>
        </w:rPr>
        <w:t>5</w:t>
      </w:r>
      <w:r w:rsidR="00AE5B8A">
        <w:fldChar w:fldCharType="end"/>
      </w:r>
      <w:r w:rsidR="00B63141">
        <w:t xml:space="preserve">) </w:t>
      </w:r>
      <w:r>
        <w:t>je najnižšia na Slovensku (podľa údajov prevádzkovateľa)</w:t>
      </w:r>
      <w:r w:rsidR="005573D7">
        <w:t xml:space="preserve"> </w:t>
      </w:r>
      <w:r>
        <w:t>vo všetkých uvažovaných scenároch obdobia prevádzky systému</w:t>
      </w:r>
      <w:r w:rsidR="005573D7">
        <w:t xml:space="preserve">. Podľa údajov NDS, a.s. (97 mil. €) sú </w:t>
      </w:r>
      <w:r w:rsidR="0008080F">
        <w:t xml:space="preserve">priemerné ročné </w:t>
      </w:r>
      <w:r w:rsidR="005573D7">
        <w:t>náklady slovenského systému vyššie ako v PL (92 mil.€) a ČR (74 mil.€) len za obdobie 5. až 9 roku prevádzky. Najvyššie náklady sú dosahované v Nemecku. Z hľadiska dopravných výkonov na sieti sú tieto najmenšie v SR (1 145 vkm) a najvyššie v Nemecku (26 175 vkm), index ČR predstavuje 1,03-1,06, v Poľsku 1,25-1,33 a v Rakúsku 1,22-1,30</w:t>
      </w:r>
      <w:r w:rsidR="00D101D7">
        <w:t xml:space="preserve"> (údaje uvádzané pre základný scenár)</w:t>
      </w:r>
      <w:r w:rsidR="005573D7">
        <w:t xml:space="preserve">. </w:t>
      </w:r>
    </w:p>
    <w:p w:rsidR="006703FB" w:rsidRDefault="00F57C79" w:rsidP="006703FB">
      <w:pPr>
        <w:pStyle w:val="Normaltext"/>
        <w:rPr>
          <w:rFonts w:asciiTheme="minorHAnsi" w:hAnsiTheme="minorHAnsi" w:cstheme="minorHAnsi"/>
        </w:rPr>
      </w:pPr>
      <w:r w:rsidRPr="00F57C79">
        <w:rPr>
          <w:rFonts w:asciiTheme="minorHAnsi" w:hAnsiTheme="minorHAnsi" w:cstheme="minorHAnsi"/>
          <w:noProof/>
          <w:lang w:eastAsia="sk-SK"/>
        </w:rPr>
        <w:drawing>
          <wp:inline distT="0" distB="0" distL="0" distR="0">
            <wp:extent cx="5941514" cy="2199600"/>
            <wp:effectExtent l="19050" t="0" r="21136" b="0"/>
            <wp:docPr id="92" name="Graf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F57C79" w:rsidRDefault="00F57C79" w:rsidP="006B1C25">
      <w:pPr>
        <w:pStyle w:val="Popis"/>
      </w:pPr>
      <w:bookmarkStart w:id="257" w:name="_Ref21711790"/>
      <w:bookmarkStart w:id="258" w:name="_Toc36664530"/>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21</w:t>
      </w:r>
      <w:r w:rsidR="00C40D3F">
        <w:rPr>
          <w:noProof/>
        </w:rPr>
        <w:fldChar w:fldCharType="end"/>
      </w:r>
      <w:bookmarkEnd w:id="257"/>
      <w:r w:rsidRPr="004C1013">
        <w:tab/>
      </w:r>
      <w:r>
        <w:t>Ročné vozokilometrické náklady systémov ETC v prevádzkových rokoch (základný scenár: 1. -  9. rok)</w:t>
      </w:r>
      <w:bookmarkEnd w:id="258"/>
    </w:p>
    <w:p w:rsidR="000E1653" w:rsidRDefault="000E1653">
      <w:pPr>
        <w:pStyle w:val="Normaltext"/>
      </w:pPr>
    </w:p>
    <w:p w:rsidR="00A97FA1" w:rsidRDefault="00A97FA1" w:rsidP="00A97FA1">
      <w:pPr>
        <w:pStyle w:val="Normaltext"/>
        <w:rPr>
          <w:rFonts w:asciiTheme="minorHAnsi" w:hAnsiTheme="minorHAnsi" w:cstheme="minorHAnsi"/>
        </w:rPr>
      </w:pPr>
      <w:r>
        <w:rPr>
          <w:noProof/>
          <w:lang w:eastAsia="sk-SK"/>
        </w:rPr>
        <w:drawing>
          <wp:inline distT="0" distB="0" distL="0" distR="0">
            <wp:extent cx="5941514" cy="1620000"/>
            <wp:effectExtent l="0" t="0" r="2540" b="0"/>
            <wp:docPr id="23"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r>
        <w:rPr>
          <w:noProof/>
          <w:lang w:eastAsia="sk-SK"/>
        </w:rPr>
        <w:drawing>
          <wp:inline distT="0" distB="0" distL="0" distR="0">
            <wp:extent cx="5941514" cy="1620000"/>
            <wp:effectExtent l="0" t="0" r="2540" b="0"/>
            <wp:docPr id="26" name="Graf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r>
        <w:rPr>
          <w:noProof/>
          <w:lang w:eastAsia="sk-SK"/>
        </w:rPr>
        <w:drawing>
          <wp:inline distT="0" distB="0" distL="0" distR="0">
            <wp:extent cx="5941514" cy="1620000"/>
            <wp:effectExtent l="0" t="0" r="2540" b="0"/>
            <wp:docPr id="27" name="Graf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A97FA1" w:rsidRDefault="00A97FA1" w:rsidP="00A97FA1">
      <w:pPr>
        <w:pStyle w:val="Popis"/>
      </w:pPr>
      <w:bookmarkStart w:id="259" w:name="_Ref21711883"/>
      <w:bookmarkStart w:id="260" w:name="_Toc36664531"/>
      <w:r w:rsidRPr="004C1013">
        <w:t xml:space="preserve">Obr. </w:t>
      </w:r>
      <w:r w:rsidR="00C40D3F">
        <w:fldChar w:fldCharType="begin"/>
      </w:r>
      <w:r w:rsidR="00C40D3F">
        <w:instrText xml:space="preserve"> STYLEREF 1 \s </w:instrText>
      </w:r>
      <w:r w:rsidR="00C40D3F">
        <w:fldChar w:fldCharType="separate"/>
      </w:r>
      <w:r w:rsidR="00D61B89">
        <w:rPr>
          <w:noProof/>
        </w:rPr>
        <w:t>2</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22</w:t>
      </w:r>
      <w:r w:rsidR="00C40D3F">
        <w:rPr>
          <w:noProof/>
        </w:rPr>
        <w:fldChar w:fldCharType="end"/>
      </w:r>
      <w:bookmarkEnd w:id="259"/>
      <w:r>
        <w:tab/>
        <w:t>Priemerné ročné vozokilometrické náklady systémov ETC (základný scenár, subscenár A, subscenár B)</w:t>
      </w:r>
      <w:bookmarkEnd w:id="260"/>
    </w:p>
    <w:p w:rsidR="000E1653" w:rsidRDefault="000E1653">
      <w:pPr>
        <w:pStyle w:val="Normaltext"/>
      </w:pPr>
    </w:p>
    <w:p w:rsidR="009261EF" w:rsidRDefault="009261EF" w:rsidP="009261EF">
      <w:r>
        <w:t>Podľa vývoja indikátora v jednotlivých rokoch prevádzky systému (</w:t>
      </w:r>
      <w:r w:rsidR="00C40D3F">
        <w:fldChar w:fldCharType="begin"/>
      </w:r>
      <w:r w:rsidR="00C40D3F">
        <w:instrText xml:space="preserve"> REF _Ref21711790 \h  \* MERGEFORMAT </w:instrText>
      </w:r>
      <w:r w:rsidR="00C40D3F">
        <w:fldChar w:fldCharType="separate"/>
      </w:r>
      <w:r w:rsidR="001E4C1C" w:rsidRPr="004C1013">
        <w:t xml:space="preserve">Obr. </w:t>
      </w:r>
      <w:r w:rsidR="001E4C1C">
        <w:rPr>
          <w:noProof/>
        </w:rPr>
        <w:t>2</w:t>
      </w:r>
      <w:r w:rsidR="001E4C1C">
        <w:rPr>
          <w:noProof/>
        </w:rPr>
        <w:noBreakHyphen/>
        <w:t>21</w:t>
      </w:r>
      <w:r w:rsidR="00C40D3F">
        <w:fldChar w:fldCharType="end"/>
      </w:r>
      <w:r>
        <w:rPr>
          <w:noProof/>
        </w:rPr>
        <w:t xml:space="preserve">) možno </w:t>
      </w:r>
      <w:r w:rsidRPr="0008080F">
        <w:rPr>
          <w:noProof/>
        </w:rPr>
        <w:t xml:space="preserve">konštatovať </w:t>
      </w:r>
      <w:r w:rsidRPr="00FF573D">
        <w:rPr>
          <w:b/>
          <w:noProof/>
        </w:rPr>
        <w:t>najvyššie vozokilometrické náklady v SR a najnižšie v Nemecku, resp. v Poľsku v posledných sledovaných rokoch prevádzky</w:t>
      </w:r>
      <w:r>
        <w:rPr>
          <w:noProof/>
        </w:rPr>
        <w:t xml:space="preserve">. </w:t>
      </w:r>
      <w:r>
        <w:t xml:space="preserve">Aj v tomto prípade sú v prvých rokoch prevádzky evidentné vyššie hodnoty indikátora najmä SR, ČR a PL vyplývajúce zo zvýšených vstupných nákladov na vybudovanie systému. </w:t>
      </w:r>
    </w:p>
    <w:p w:rsidR="009261EF" w:rsidRDefault="009261EF" w:rsidP="009261EF">
      <w:pPr>
        <w:pStyle w:val="Normaltext"/>
        <w:spacing w:line="276" w:lineRule="auto"/>
        <w:rPr>
          <w:noProof/>
        </w:rPr>
      </w:pPr>
      <w:r>
        <w:rPr>
          <w:noProof/>
        </w:rPr>
        <w:t>Na Slovensku sú vyčíslené priemerné náklady systému na jednotku dopravného výkonu vo výške 0,08-0,083 €/vkm, v Českej republike 0,055 €/vkm, v Rakúsku 0,038 €/vkm, v Poľsku 0,03 €/vkm a v Nemecku 0,021 €/vkm (základný scenár, subscenár A). V prípade subscenára B je poradie štátov z hľadiska požadovanej minimálnej hodnoty ukazovateľa odlišné (</w:t>
      </w:r>
      <w:r w:rsidR="00AE5B8A">
        <w:rPr>
          <w:noProof/>
        </w:rPr>
        <w:fldChar w:fldCharType="begin"/>
      </w:r>
      <w:r>
        <w:rPr>
          <w:noProof/>
        </w:rPr>
        <w:instrText xml:space="preserve"> REF _Ref21711826 \h </w:instrText>
      </w:r>
      <w:r w:rsidR="00AE5B8A">
        <w:rPr>
          <w:noProof/>
        </w:rPr>
      </w:r>
      <w:r w:rsidR="00AE5B8A">
        <w:rPr>
          <w:noProof/>
        </w:rPr>
        <w:fldChar w:fldCharType="separate"/>
      </w:r>
      <w:r w:rsidR="001E4C1C">
        <w:t xml:space="preserve">Tab.  </w:t>
      </w:r>
      <w:r w:rsidR="001E4C1C">
        <w:rPr>
          <w:noProof/>
        </w:rPr>
        <w:t>2</w:t>
      </w:r>
      <w:r w:rsidR="001E4C1C">
        <w:noBreakHyphen/>
      </w:r>
      <w:r w:rsidR="001E4C1C">
        <w:rPr>
          <w:noProof/>
        </w:rPr>
        <w:t>11</w:t>
      </w:r>
      <w:r w:rsidR="00AE5B8A">
        <w:rPr>
          <w:noProof/>
        </w:rPr>
        <w:fldChar w:fldCharType="end"/>
      </w:r>
      <w:r>
        <w:rPr>
          <w:noProof/>
        </w:rPr>
        <w:t xml:space="preserve">, </w:t>
      </w:r>
      <w:r w:rsidR="00AE5B8A">
        <w:rPr>
          <w:noProof/>
        </w:rPr>
        <w:fldChar w:fldCharType="begin"/>
      </w:r>
      <w:r>
        <w:rPr>
          <w:noProof/>
        </w:rPr>
        <w:instrText xml:space="preserve"> REF _Ref21711883 \h </w:instrText>
      </w:r>
      <w:r w:rsidR="00AE5B8A">
        <w:rPr>
          <w:noProof/>
        </w:rPr>
      </w:r>
      <w:r w:rsidR="00AE5B8A">
        <w:rPr>
          <w:noProof/>
        </w:rPr>
        <w:fldChar w:fldCharType="separate"/>
      </w:r>
      <w:r w:rsidR="001E4C1C" w:rsidRPr="004C1013">
        <w:t xml:space="preserve">Obr. </w:t>
      </w:r>
      <w:r w:rsidR="001E4C1C">
        <w:rPr>
          <w:noProof/>
        </w:rPr>
        <w:t>2</w:t>
      </w:r>
      <w:r w:rsidR="001E4C1C">
        <w:noBreakHyphen/>
      </w:r>
      <w:r w:rsidR="001E4C1C">
        <w:rPr>
          <w:noProof/>
        </w:rPr>
        <w:t>22</w:t>
      </w:r>
      <w:r w:rsidR="00AE5B8A">
        <w:rPr>
          <w:noProof/>
        </w:rPr>
        <w:fldChar w:fldCharType="end"/>
      </w:r>
      <w:r>
        <w:rPr>
          <w:noProof/>
        </w:rPr>
        <w:t xml:space="preserve">), najnižšie nákaldy 1 vzkm sú v Poľsku a najvyššie opät na Slovensku. </w:t>
      </w:r>
      <w:r w:rsidRPr="00A03190">
        <w:rPr>
          <w:noProof/>
        </w:rPr>
        <w:t xml:space="preserve">V tomto kontexte možno konštatovať </w:t>
      </w:r>
      <w:r w:rsidRPr="00A03190">
        <w:rPr>
          <w:b/>
          <w:noProof/>
        </w:rPr>
        <w:t>najvyššiu efektívnosť systému v Nemecku (</w:t>
      </w:r>
      <w:r>
        <w:rPr>
          <w:b/>
          <w:noProof/>
        </w:rPr>
        <w:t>resp. v </w:t>
      </w:r>
      <w:r w:rsidRPr="00A03190">
        <w:rPr>
          <w:b/>
          <w:noProof/>
        </w:rPr>
        <w:t>Poľsku</w:t>
      </w:r>
      <w:r>
        <w:rPr>
          <w:b/>
          <w:noProof/>
        </w:rPr>
        <w:t>, 5-9. rok prevádzky</w:t>
      </w:r>
      <w:r w:rsidRPr="00A03190">
        <w:rPr>
          <w:b/>
          <w:noProof/>
        </w:rPr>
        <w:t>), najnižšiu naopak na Slovensku.</w:t>
      </w:r>
    </w:p>
    <w:p w:rsidR="0008080F" w:rsidRDefault="0008080F" w:rsidP="006B1C25">
      <w:pPr>
        <w:pStyle w:val="tabstyl"/>
      </w:pPr>
      <w:bookmarkStart w:id="261" w:name="_Ref21711826"/>
      <w:bookmarkStart w:id="262" w:name="_Toc36664494"/>
      <w:r>
        <w:t xml:space="preserve">Tab.  </w:t>
      </w:r>
      <w:r w:rsidR="00C40D3F">
        <w:fldChar w:fldCharType="begin"/>
      </w:r>
      <w:r w:rsidR="00C40D3F">
        <w:instrText xml:space="preserve"> STYLEREF 1 \s </w:instrText>
      </w:r>
      <w:r w:rsidR="00C40D3F">
        <w:fldChar w:fldCharType="separate"/>
      </w:r>
      <w:r w:rsidR="00AE19F9">
        <w:rPr>
          <w:noProof/>
        </w:rPr>
        <w:t>2</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11</w:t>
      </w:r>
      <w:r w:rsidR="00C40D3F">
        <w:rPr>
          <w:noProof/>
        </w:rPr>
        <w:fldChar w:fldCharType="end"/>
      </w:r>
      <w:bookmarkEnd w:id="261"/>
      <w:r>
        <w:tab/>
        <w:t>Sumarizácia výsledkov komparácie priemerných ročných vozokilometrických nákladov systémov ETC</w:t>
      </w:r>
      <w:bookmarkEnd w:id="262"/>
      <w:r>
        <w:t xml:space="preserve"> </w:t>
      </w:r>
    </w:p>
    <w:tbl>
      <w:tblPr>
        <w:tblStyle w:val="tabulkaVUD"/>
        <w:tblW w:w="5000" w:type="pct"/>
        <w:tblLook w:val="04A0" w:firstRow="1" w:lastRow="0" w:firstColumn="1" w:lastColumn="0" w:noHBand="0" w:noVBand="1"/>
      </w:tblPr>
      <w:tblGrid>
        <w:gridCol w:w="2011"/>
        <w:gridCol w:w="2411"/>
        <w:gridCol w:w="2552"/>
        <w:gridCol w:w="79"/>
        <w:gridCol w:w="2358"/>
      </w:tblGrid>
      <w:tr w:rsidR="0008080F" w:rsidTr="007D2674">
        <w:trPr>
          <w:cnfStyle w:val="100000000000" w:firstRow="1" w:lastRow="0" w:firstColumn="0" w:lastColumn="0" w:oddVBand="0" w:evenVBand="0" w:oddHBand="0" w:evenHBand="0" w:firstRowFirstColumn="0" w:firstRowLastColumn="0" w:lastRowFirstColumn="0" w:lastRowLastColumn="0"/>
          <w:tblHeader/>
        </w:trPr>
        <w:tc>
          <w:tcPr>
            <w:tcW w:w="1068" w:type="pct"/>
          </w:tcPr>
          <w:p w:rsidR="0008080F" w:rsidRDefault="0008080F" w:rsidP="007D2674"/>
        </w:tc>
        <w:tc>
          <w:tcPr>
            <w:tcW w:w="1281" w:type="pct"/>
          </w:tcPr>
          <w:p w:rsidR="0008080F" w:rsidRDefault="0008080F" w:rsidP="009D58D5">
            <w:pPr>
              <w:pStyle w:val="zahltab"/>
            </w:pPr>
            <w:r>
              <w:t>Základný scenár</w:t>
            </w:r>
          </w:p>
        </w:tc>
        <w:tc>
          <w:tcPr>
            <w:tcW w:w="1398" w:type="pct"/>
            <w:gridSpan w:val="2"/>
          </w:tcPr>
          <w:p w:rsidR="0008080F" w:rsidRDefault="0008080F" w:rsidP="009D58D5">
            <w:pPr>
              <w:pStyle w:val="zahltab"/>
            </w:pPr>
            <w:r>
              <w:t>Subscenár A</w:t>
            </w:r>
          </w:p>
        </w:tc>
        <w:tc>
          <w:tcPr>
            <w:tcW w:w="1253" w:type="pct"/>
          </w:tcPr>
          <w:p w:rsidR="0008080F" w:rsidRDefault="0008080F" w:rsidP="009D58D5">
            <w:pPr>
              <w:pStyle w:val="zahltab"/>
            </w:pPr>
            <w:r>
              <w:t>Subscenár B</w:t>
            </w:r>
          </w:p>
        </w:tc>
      </w:tr>
      <w:tr w:rsidR="0008080F" w:rsidTr="007D2674">
        <w:trPr>
          <w:trHeight w:val="604"/>
        </w:trPr>
        <w:tc>
          <w:tcPr>
            <w:tcW w:w="1068" w:type="pct"/>
            <w:shd w:val="clear" w:color="auto" w:fill="7F7F7F" w:themeFill="text1" w:themeFillTint="80"/>
          </w:tcPr>
          <w:p w:rsidR="0008080F" w:rsidRPr="00AB6DA4" w:rsidRDefault="0008080F" w:rsidP="007D2674">
            <w:pPr>
              <w:pStyle w:val="tabbielystyl"/>
              <w:jc w:val="left"/>
              <w:rPr>
                <w:b/>
                <w:color w:val="FFFFFF" w:themeColor="background1"/>
              </w:rPr>
            </w:pPr>
            <w:r>
              <w:rPr>
                <w:b/>
                <w:color w:val="FFFFFF" w:themeColor="background1"/>
              </w:rPr>
              <w:t>Požiadavka</w:t>
            </w:r>
          </w:p>
        </w:tc>
        <w:tc>
          <w:tcPr>
            <w:tcW w:w="3932" w:type="pct"/>
            <w:gridSpan w:val="4"/>
          </w:tcPr>
          <w:p w:rsidR="0008080F" w:rsidRPr="00254390" w:rsidRDefault="0008080F" w:rsidP="007D2674">
            <w:pPr>
              <w:pStyle w:val="tabbielystyl"/>
              <w:jc w:val="center"/>
              <w:rPr>
                <w:b/>
              </w:rPr>
            </w:pPr>
            <w:r>
              <w:rPr>
                <w:b/>
              </w:rPr>
              <w:t>min</w:t>
            </w:r>
            <w:r w:rsidRPr="00254390">
              <w:rPr>
                <w:b/>
              </w:rPr>
              <w:t>. hodnota ukazovateľa</w:t>
            </w:r>
          </w:p>
        </w:tc>
      </w:tr>
      <w:tr w:rsidR="0008080F" w:rsidTr="007D2674">
        <w:tc>
          <w:tcPr>
            <w:tcW w:w="1068" w:type="pct"/>
            <w:shd w:val="clear" w:color="auto" w:fill="7F7F7F" w:themeFill="text1" w:themeFillTint="80"/>
          </w:tcPr>
          <w:p w:rsidR="0008080F" w:rsidRPr="00AB6DA4" w:rsidRDefault="0008080F" w:rsidP="007D2674">
            <w:pPr>
              <w:pStyle w:val="tabbielystyl"/>
              <w:jc w:val="left"/>
              <w:rPr>
                <w:b/>
                <w:color w:val="FFFFFF" w:themeColor="background1"/>
              </w:rPr>
            </w:pPr>
            <w:r w:rsidRPr="00AB6DA4">
              <w:rPr>
                <w:b/>
                <w:color w:val="FFFFFF" w:themeColor="background1"/>
              </w:rPr>
              <w:t>Naj</w:t>
            </w:r>
            <w:r>
              <w:rPr>
                <w:b/>
                <w:color w:val="FFFFFF" w:themeColor="background1"/>
              </w:rPr>
              <w:t xml:space="preserve">nižšia </w:t>
            </w:r>
            <w:r w:rsidRPr="00AB6DA4">
              <w:rPr>
                <w:b/>
                <w:color w:val="FFFFFF" w:themeColor="background1"/>
              </w:rPr>
              <w:t xml:space="preserve">hodnota ukazovateľa   </w:t>
            </w:r>
          </w:p>
        </w:tc>
        <w:tc>
          <w:tcPr>
            <w:tcW w:w="1281" w:type="pct"/>
          </w:tcPr>
          <w:p w:rsidR="0008080F" w:rsidRDefault="0008080F" w:rsidP="007D2674">
            <w:pPr>
              <w:pStyle w:val="tabbielystyl"/>
              <w:jc w:val="left"/>
            </w:pPr>
            <w:r>
              <w:t>Nemecko (0,021 €/vkm)</w:t>
            </w:r>
          </w:p>
        </w:tc>
        <w:tc>
          <w:tcPr>
            <w:tcW w:w="1356" w:type="pct"/>
          </w:tcPr>
          <w:p w:rsidR="0008080F" w:rsidRDefault="0008080F" w:rsidP="007D2674">
            <w:pPr>
              <w:pStyle w:val="tabbielystyl"/>
              <w:jc w:val="left"/>
            </w:pPr>
            <w:r>
              <w:t>Nemecko (0,022 €/vkm)</w:t>
            </w:r>
          </w:p>
        </w:tc>
        <w:tc>
          <w:tcPr>
            <w:tcW w:w="1295" w:type="pct"/>
            <w:gridSpan w:val="2"/>
          </w:tcPr>
          <w:p w:rsidR="0008080F" w:rsidRDefault="0008080F" w:rsidP="007D2674">
            <w:pPr>
              <w:pStyle w:val="tabbielystyl"/>
              <w:jc w:val="left"/>
            </w:pPr>
            <w:r w:rsidRPr="007819C7">
              <w:t>Poľsko (0,0</w:t>
            </w:r>
            <w:r>
              <w:t>16</w:t>
            </w:r>
            <w:r w:rsidRPr="007819C7">
              <w:t xml:space="preserve"> €/vkm)</w:t>
            </w:r>
          </w:p>
        </w:tc>
      </w:tr>
      <w:tr w:rsidR="0008080F" w:rsidTr="007D2674">
        <w:tc>
          <w:tcPr>
            <w:tcW w:w="1068" w:type="pct"/>
            <w:shd w:val="clear" w:color="auto" w:fill="7F7F7F" w:themeFill="text1" w:themeFillTint="80"/>
          </w:tcPr>
          <w:p w:rsidR="0008080F" w:rsidRPr="00AB6DA4" w:rsidRDefault="0008080F" w:rsidP="007D2674">
            <w:pPr>
              <w:pStyle w:val="tabbielystyl"/>
              <w:jc w:val="left"/>
              <w:rPr>
                <w:b/>
                <w:color w:val="FFFFFF" w:themeColor="background1"/>
              </w:rPr>
            </w:pPr>
            <w:r w:rsidRPr="00AB6DA4">
              <w:rPr>
                <w:b/>
                <w:color w:val="FFFFFF" w:themeColor="background1"/>
              </w:rPr>
              <w:t>Naj</w:t>
            </w:r>
            <w:r>
              <w:rPr>
                <w:b/>
                <w:color w:val="FFFFFF" w:themeColor="background1"/>
              </w:rPr>
              <w:t>vyš</w:t>
            </w:r>
            <w:r w:rsidRPr="00AB6DA4">
              <w:rPr>
                <w:b/>
                <w:color w:val="FFFFFF" w:themeColor="background1"/>
              </w:rPr>
              <w:t>šia hodnota ukazovateľa</w:t>
            </w:r>
          </w:p>
        </w:tc>
        <w:tc>
          <w:tcPr>
            <w:tcW w:w="1281" w:type="pct"/>
          </w:tcPr>
          <w:p w:rsidR="0008080F" w:rsidRPr="00F57C79" w:rsidRDefault="0008080F" w:rsidP="007D2674">
            <w:pPr>
              <w:pStyle w:val="tabbielystyl"/>
              <w:jc w:val="left"/>
              <w:rPr>
                <w:b/>
              </w:rPr>
            </w:pPr>
            <w:r w:rsidRPr="00F57C79">
              <w:rPr>
                <w:b/>
              </w:rPr>
              <w:t xml:space="preserve">Slovensko </w:t>
            </w:r>
          </w:p>
          <w:p w:rsidR="0008080F" w:rsidRPr="00F57C79" w:rsidRDefault="0008080F" w:rsidP="007D2674">
            <w:pPr>
              <w:pStyle w:val="tabbielystyl"/>
              <w:jc w:val="left"/>
              <w:rPr>
                <w:b/>
              </w:rPr>
            </w:pPr>
            <w:r w:rsidRPr="00F57C79">
              <w:rPr>
                <w:b/>
              </w:rPr>
              <w:t>(SkyToll: 0,08 €/vkm)</w:t>
            </w:r>
          </w:p>
          <w:p w:rsidR="0008080F" w:rsidRPr="00F57C79" w:rsidRDefault="0008080F" w:rsidP="007D2674">
            <w:pPr>
              <w:pStyle w:val="tabbielystyl"/>
              <w:jc w:val="left"/>
              <w:rPr>
                <w:b/>
              </w:rPr>
            </w:pPr>
            <w:r w:rsidRPr="00F57C79">
              <w:rPr>
                <w:b/>
              </w:rPr>
              <w:t>(NDS: 0,083 €/vkm)</w:t>
            </w:r>
          </w:p>
        </w:tc>
        <w:tc>
          <w:tcPr>
            <w:tcW w:w="1356" w:type="pct"/>
          </w:tcPr>
          <w:p w:rsidR="0008080F" w:rsidRPr="00F57C79" w:rsidRDefault="0008080F" w:rsidP="007D2674">
            <w:pPr>
              <w:pStyle w:val="tabbielystyl"/>
              <w:jc w:val="left"/>
              <w:rPr>
                <w:b/>
              </w:rPr>
            </w:pPr>
            <w:r w:rsidRPr="00F57C79">
              <w:rPr>
                <w:b/>
              </w:rPr>
              <w:t xml:space="preserve">Slovensko </w:t>
            </w:r>
          </w:p>
          <w:p w:rsidR="0008080F" w:rsidRPr="00F57C79" w:rsidRDefault="0008080F" w:rsidP="007D2674">
            <w:pPr>
              <w:pStyle w:val="tabbielystyl"/>
              <w:jc w:val="left"/>
              <w:rPr>
                <w:b/>
              </w:rPr>
            </w:pPr>
            <w:r w:rsidRPr="00F57C79">
              <w:rPr>
                <w:b/>
              </w:rPr>
              <w:t>(SkyToll: 0,1€/vkm)</w:t>
            </w:r>
          </w:p>
          <w:p w:rsidR="0008080F" w:rsidRPr="00F57C79" w:rsidRDefault="0008080F" w:rsidP="007D2674">
            <w:pPr>
              <w:pStyle w:val="tabbielystyl"/>
              <w:jc w:val="left"/>
              <w:rPr>
                <w:b/>
              </w:rPr>
            </w:pPr>
            <w:r w:rsidRPr="00F57C79">
              <w:rPr>
                <w:b/>
              </w:rPr>
              <w:t>(NDS: 0,086 €/vkm)</w:t>
            </w:r>
          </w:p>
        </w:tc>
        <w:tc>
          <w:tcPr>
            <w:tcW w:w="1295" w:type="pct"/>
            <w:gridSpan w:val="2"/>
          </w:tcPr>
          <w:p w:rsidR="0008080F" w:rsidRPr="00F57C79" w:rsidRDefault="0008080F" w:rsidP="007D2674">
            <w:pPr>
              <w:pStyle w:val="tabbielystyl"/>
              <w:jc w:val="left"/>
              <w:rPr>
                <w:b/>
              </w:rPr>
            </w:pPr>
            <w:r w:rsidRPr="00F57C79">
              <w:rPr>
                <w:b/>
              </w:rPr>
              <w:t xml:space="preserve">Slovensko </w:t>
            </w:r>
          </w:p>
          <w:p w:rsidR="0008080F" w:rsidRPr="00F57C79" w:rsidRDefault="0008080F" w:rsidP="007D2674">
            <w:pPr>
              <w:pStyle w:val="tabbielystyl"/>
              <w:jc w:val="left"/>
              <w:rPr>
                <w:b/>
              </w:rPr>
            </w:pPr>
            <w:r w:rsidRPr="00F57C79">
              <w:rPr>
                <w:b/>
              </w:rPr>
              <w:t>(SkyToll: 0,056 €/vkm)</w:t>
            </w:r>
          </w:p>
          <w:p w:rsidR="0008080F" w:rsidRPr="00F57C79" w:rsidRDefault="0008080F" w:rsidP="007D2674">
            <w:pPr>
              <w:pStyle w:val="tabbielystyl"/>
              <w:jc w:val="left"/>
              <w:rPr>
                <w:b/>
              </w:rPr>
            </w:pPr>
            <w:r w:rsidRPr="00F57C79">
              <w:rPr>
                <w:b/>
              </w:rPr>
              <w:t>(NDS: 0,077 €/vkm)</w:t>
            </w:r>
          </w:p>
        </w:tc>
      </w:tr>
      <w:tr w:rsidR="0008080F" w:rsidTr="007D2674">
        <w:tc>
          <w:tcPr>
            <w:tcW w:w="1068" w:type="pct"/>
            <w:shd w:val="clear" w:color="auto" w:fill="7F7F7F" w:themeFill="text1" w:themeFillTint="80"/>
          </w:tcPr>
          <w:p w:rsidR="0008080F" w:rsidRPr="00AB6DA4" w:rsidRDefault="0008080F" w:rsidP="007D2674">
            <w:pPr>
              <w:pStyle w:val="tabbielystyl"/>
              <w:jc w:val="left"/>
              <w:rPr>
                <w:b/>
                <w:color w:val="FFFFFF" w:themeColor="background1"/>
              </w:rPr>
            </w:pPr>
            <w:r w:rsidRPr="00AB6DA4">
              <w:rPr>
                <w:b/>
                <w:color w:val="FFFFFF" w:themeColor="background1"/>
              </w:rPr>
              <w:t xml:space="preserve">Poradie (podľa </w:t>
            </w:r>
            <w:r>
              <w:rPr>
                <w:b/>
                <w:color w:val="FFFFFF" w:themeColor="background1"/>
              </w:rPr>
              <w:t>požiadavky</w:t>
            </w:r>
            <w:r w:rsidRPr="00AB6DA4">
              <w:rPr>
                <w:b/>
                <w:color w:val="FFFFFF" w:themeColor="background1"/>
              </w:rPr>
              <w:t>)</w:t>
            </w:r>
          </w:p>
        </w:tc>
        <w:tc>
          <w:tcPr>
            <w:tcW w:w="1281" w:type="pct"/>
          </w:tcPr>
          <w:p w:rsidR="0008080F" w:rsidRPr="007819C7" w:rsidRDefault="0008080F" w:rsidP="007D2674">
            <w:pPr>
              <w:pStyle w:val="tabbielystyl"/>
              <w:jc w:val="left"/>
            </w:pPr>
            <w:r w:rsidRPr="007819C7">
              <w:t xml:space="preserve">1. </w:t>
            </w:r>
            <w:r>
              <w:t>Nemecko (0,021 €/vkm)</w:t>
            </w:r>
          </w:p>
          <w:p w:rsidR="0008080F" w:rsidRDefault="0008080F" w:rsidP="007D2674">
            <w:pPr>
              <w:pStyle w:val="tabbielystyl"/>
              <w:jc w:val="left"/>
            </w:pPr>
            <w:r w:rsidRPr="007819C7">
              <w:t xml:space="preserve">2. </w:t>
            </w:r>
            <w:r>
              <w:t>Poľsko (0,03 €/vkm)</w:t>
            </w:r>
          </w:p>
          <w:p w:rsidR="0008080F" w:rsidRDefault="0008080F" w:rsidP="007D2674">
            <w:pPr>
              <w:pStyle w:val="tabbielystyl"/>
              <w:jc w:val="left"/>
            </w:pPr>
            <w:r>
              <w:t>3. Rakúsko (0,038 €/vkm)</w:t>
            </w:r>
          </w:p>
          <w:p w:rsidR="0008080F" w:rsidRDefault="0008080F" w:rsidP="007D2674">
            <w:pPr>
              <w:pStyle w:val="tabbielystyl"/>
              <w:jc w:val="left"/>
            </w:pPr>
            <w:r>
              <w:t>4. Česká rep. (0,055 €/vkm)</w:t>
            </w:r>
          </w:p>
          <w:p w:rsidR="0008080F" w:rsidRPr="00254390" w:rsidRDefault="0008080F" w:rsidP="007D2674">
            <w:pPr>
              <w:pStyle w:val="tabbielystyl"/>
              <w:jc w:val="left"/>
              <w:rPr>
                <w:b/>
              </w:rPr>
            </w:pPr>
            <w:r w:rsidRPr="00254390">
              <w:rPr>
                <w:b/>
              </w:rPr>
              <w:t>5. Slovensko (0,08-0,083 €/vkm)</w:t>
            </w:r>
          </w:p>
        </w:tc>
        <w:tc>
          <w:tcPr>
            <w:tcW w:w="1356" w:type="pct"/>
          </w:tcPr>
          <w:p w:rsidR="0008080F" w:rsidRPr="007819C7" w:rsidRDefault="0008080F" w:rsidP="007D2674">
            <w:pPr>
              <w:pStyle w:val="tabbielystyl"/>
              <w:jc w:val="left"/>
            </w:pPr>
            <w:r w:rsidRPr="007819C7">
              <w:t xml:space="preserve">1. </w:t>
            </w:r>
            <w:r>
              <w:t>Nemecko (0,022 €/vkm)</w:t>
            </w:r>
          </w:p>
          <w:p w:rsidR="0008080F" w:rsidRDefault="0008080F" w:rsidP="007D2674">
            <w:pPr>
              <w:pStyle w:val="tabbielystyl"/>
              <w:jc w:val="left"/>
            </w:pPr>
            <w:r w:rsidRPr="007819C7">
              <w:t xml:space="preserve">2. </w:t>
            </w:r>
            <w:r>
              <w:t>Rakúsko (0,036 €/vkm)</w:t>
            </w:r>
          </w:p>
          <w:p w:rsidR="0008080F" w:rsidRDefault="0008080F" w:rsidP="007D2674">
            <w:pPr>
              <w:pStyle w:val="tabbielystyl"/>
              <w:jc w:val="left"/>
            </w:pPr>
            <w:r>
              <w:t>3. Poľsko (0,041 €/vkm)</w:t>
            </w:r>
          </w:p>
          <w:p w:rsidR="0008080F" w:rsidRDefault="0008080F" w:rsidP="007D2674">
            <w:pPr>
              <w:pStyle w:val="tabbielystyl"/>
              <w:jc w:val="left"/>
            </w:pPr>
            <w:r>
              <w:t>4. Česká rep. (0,075 €/vkm)</w:t>
            </w:r>
          </w:p>
          <w:p w:rsidR="0008080F" w:rsidRPr="00254390" w:rsidRDefault="0008080F" w:rsidP="007D2674">
            <w:pPr>
              <w:pStyle w:val="tabbielystyl"/>
              <w:jc w:val="left"/>
              <w:rPr>
                <w:b/>
              </w:rPr>
            </w:pPr>
            <w:r w:rsidRPr="00254390">
              <w:rPr>
                <w:b/>
              </w:rPr>
              <w:t>5. Slovensko (0,086-0,1 €/vkm)</w:t>
            </w:r>
          </w:p>
        </w:tc>
        <w:tc>
          <w:tcPr>
            <w:tcW w:w="1295" w:type="pct"/>
            <w:gridSpan w:val="2"/>
          </w:tcPr>
          <w:p w:rsidR="0008080F" w:rsidRPr="007819C7" w:rsidRDefault="0008080F" w:rsidP="007D2674">
            <w:pPr>
              <w:pStyle w:val="tabbielystyl"/>
              <w:jc w:val="left"/>
            </w:pPr>
            <w:r w:rsidRPr="007819C7">
              <w:t xml:space="preserve">1. </w:t>
            </w:r>
            <w:r>
              <w:t>Poľsko  (0,016 €/vkm)</w:t>
            </w:r>
          </w:p>
          <w:p w:rsidR="0008080F" w:rsidRDefault="0008080F" w:rsidP="007D2674">
            <w:pPr>
              <w:pStyle w:val="tabbielystyl"/>
              <w:jc w:val="left"/>
            </w:pPr>
            <w:r w:rsidRPr="007819C7">
              <w:t xml:space="preserve">2. </w:t>
            </w:r>
            <w:r>
              <w:t>Nemecko (0,021 €/vkm)</w:t>
            </w:r>
          </w:p>
          <w:p w:rsidR="0008080F" w:rsidRDefault="0008080F" w:rsidP="007D2674">
            <w:pPr>
              <w:pStyle w:val="tabbielystyl"/>
              <w:jc w:val="left"/>
            </w:pPr>
            <w:r>
              <w:t>3. Česká rep. (0,035 €/vkm)</w:t>
            </w:r>
          </w:p>
          <w:p w:rsidR="0008080F" w:rsidRDefault="0008080F" w:rsidP="007D2674">
            <w:pPr>
              <w:pStyle w:val="tabbielystyl"/>
              <w:jc w:val="left"/>
            </w:pPr>
            <w:r>
              <w:t>4. Rakúsko (0,04 €/vkm)</w:t>
            </w:r>
          </w:p>
          <w:p w:rsidR="0008080F" w:rsidRPr="00254390" w:rsidRDefault="0008080F" w:rsidP="007D2674">
            <w:pPr>
              <w:pStyle w:val="tabbielystyl"/>
              <w:jc w:val="left"/>
              <w:rPr>
                <w:b/>
              </w:rPr>
            </w:pPr>
            <w:r w:rsidRPr="00254390">
              <w:rPr>
                <w:b/>
              </w:rPr>
              <w:t>5. Slovensko (0,056-0,077 €/vkm)</w:t>
            </w:r>
          </w:p>
        </w:tc>
      </w:tr>
      <w:tr w:rsidR="0008080F" w:rsidTr="007D2674">
        <w:tc>
          <w:tcPr>
            <w:tcW w:w="1068" w:type="pct"/>
            <w:shd w:val="clear" w:color="auto" w:fill="7F7F7F" w:themeFill="text1" w:themeFillTint="80"/>
          </w:tcPr>
          <w:p w:rsidR="0008080F" w:rsidRPr="00AB6DA4" w:rsidRDefault="0008080F" w:rsidP="007D2674">
            <w:pPr>
              <w:pStyle w:val="tabbielystyl"/>
              <w:jc w:val="left"/>
              <w:rPr>
                <w:b/>
                <w:color w:val="FFFFFF" w:themeColor="background1"/>
              </w:rPr>
            </w:pPr>
            <w:r>
              <w:rPr>
                <w:b/>
                <w:color w:val="FFFFFF" w:themeColor="background1"/>
              </w:rPr>
              <w:t>Indexácia</w:t>
            </w:r>
          </w:p>
        </w:tc>
        <w:tc>
          <w:tcPr>
            <w:tcW w:w="1281" w:type="pct"/>
          </w:tcPr>
          <w:p w:rsidR="0008080F" w:rsidRDefault="0008080F" w:rsidP="007D2674">
            <w:pPr>
              <w:pStyle w:val="tabbielystyl"/>
              <w:jc w:val="left"/>
            </w:pPr>
            <w:r>
              <w:t>DE: 0,26</w:t>
            </w:r>
          </w:p>
          <w:p w:rsidR="0008080F" w:rsidRDefault="0008080F" w:rsidP="007D2674">
            <w:pPr>
              <w:pStyle w:val="tabbielystyl"/>
              <w:jc w:val="left"/>
            </w:pPr>
            <w:r>
              <w:t>ČR: 0,67-0,69</w:t>
            </w:r>
          </w:p>
          <w:p w:rsidR="0008080F" w:rsidRDefault="0008080F" w:rsidP="007D2674">
            <w:pPr>
              <w:pStyle w:val="tabbielystyl"/>
              <w:jc w:val="left"/>
            </w:pPr>
            <w:r>
              <w:t xml:space="preserve"> AT:</w:t>
            </w:r>
            <w:r w:rsidRPr="00AB6DA4">
              <w:t xml:space="preserve"> </w:t>
            </w:r>
            <w:r>
              <w:t>0,46-0,48</w:t>
            </w:r>
          </w:p>
          <w:p w:rsidR="0008080F" w:rsidRDefault="0008080F" w:rsidP="007D2674">
            <w:pPr>
              <w:pStyle w:val="tabbielystyl"/>
              <w:jc w:val="left"/>
            </w:pPr>
            <w:r>
              <w:t xml:space="preserve"> PL:</w:t>
            </w:r>
            <w:r w:rsidRPr="00AB6DA4">
              <w:t xml:space="preserve"> </w:t>
            </w:r>
            <w:r>
              <w:t>0,36-0,38</w:t>
            </w:r>
          </w:p>
        </w:tc>
        <w:tc>
          <w:tcPr>
            <w:tcW w:w="1356" w:type="pct"/>
          </w:tcPr>
          <w:p w:rsidR="0008080F" w:rsidRDefault="0008080F" w:rsidP="007D2674">
            <w:pPr>
              <w:pStyle w:val="tabbielystyl"/>
              <w:jc w:val="left"/>
            </w:pPr>
            <w:r>
              <w:t>DE: 0,22-0,26</w:t>
            </w:r>
          </w:p>
          <w:p w:rsidR="0008080F" w:rsidRDefault="0008080F" w:rsidP="007D2674">
            <w:pPr>
              <w:pStyle w:val="tabbielystyl"/>
              <w:jc w:val="left"/>
            </w:pPr>
            <w:r>
              <w:t>ČR: 0,75-0,87</w:t>
            </w:r>
          </w:p>
          <w:p w:rsidR="0008080F" w:rsidRDefault="0008080F" w:rsidP="007D2674">
            <w:pPr>
              <w:pStyle w:val="tabbielystyl"/>
              <w:jc w:val="left"/>
            </w:pPr>
            <w:r>
              <w:t xml:space="preserve"> AT:</w:t>
            </w:r>
            <w:r w:rsidRPr="00AB6DA4">
              <w:t xml:space="preserve"> </w:t>
            </w:r>
            <w:r>
              <w:t>0,36-0,42</w:t>
            </w:r>
          </w:p>
          <w:p w:rsidR="0008080F" w:rsidRDefault="0008080F" w:rsidP="007D2674">
            <w:pPr>
              <w:pStyle w:val="tabbielystyl"/>
              <w:jc w:val="left"/>
            </w:pPr>
            <w:r>
              <w:t xml:space="preserve"> PL:</w:t>
            </w:r>
            <w:r w:rsidRPr="00AB6DA4">
              <w:t xml:space="preserve"> </w:t>
            </w:r>
            <w:r>
              <w:t>0,41-0,48</w:t>
            </w:r>
          </w:p>
        </w:tc>
        <w:tc>
          <w:tcPr>
            <w:tcW w:w="1295" w:type="pct"/>
            <w:gridSpan w:val="2"/>
          </w:tcPr>
          <w:p w:rsidR="0008080F" w:rsidRDefault="0008080F" w:rsidP="007D2674">
            <w:pPr>
              <w:pStyle w:val="tabbielystyl"/>
              <w:jc w:val="left"/>
            </w:pPr>
            <w:r>
              <w:t>DE: 0,27-0,36</w:t>
            </w:r>
          </w:p>
          <w:p w:rsidR="0008080F" w:rsidRDefault="0008080F" w:rsidP="007D2674">
            <w:pPr>
              <w:pStyle w:val="tabbielystyl"/>
              <w:jc w:val="left"/>
            </w:pPr>
            <w:r>
              <w:t>ČR: 0,46-0,63</w:t>
            </w:r>
          </w:p>
          <w:p w:rsidR="0008080F" w:rsidRDefault="0008080F" w:rsidP="007D2674">
            <w:pPr>
              <w:pStyle w:val="tabbielystyl"/>
              <w:jc w:val="left"/>
            </w:pPr>
            <w:r>
              <w:t xml:space="preserve"> AT:</w:t>
            </w:r>
            <w:r w:rsidRPr="00AB6DA4">
              <w:t xml:space="preserve"> </w:t>
            </w:r>
            <w:r>
              <w:t>0,53-0,72</w:t>
            </w:r>
          </w:p>
          <w:p w:rsidR="0008080F" w:rsidRDefault="0008080F" w:rsidP="007D2674">
            <w:pPr>
              <w:pStyle w:val="tabbielystyl"/>
              <w:jc w:val="left"/>
            </w:pPr>
            <w:r>
              <w:t xml:space="preserve"> PL: 0,21-0,28</w:t>
            </w:r>
          </w:p>
        </w:tc>
      </w:tr>
    </w:tbl>
    <w:p w:rsidR="00A03190" w:rsidRPr="003A4D3A" w:rsidRDefault="00A03190" w:rsidP="00A03190">
      <w:pPr>
        <w:pStyle w:val="Normaltext"/>
        <w:spacing w:line="276" w:lineRule="auto"/>
        <w:rPr>
          <w:b/>
        </w:rPr>
      </w:pPr>
      <w:r>
        <w:t>Aj napriek najnižšej nominálnej úrovni nákladov systému ETC na Slovensku vychádza</w:t>
      </w:r>
      <w:r w:rsidR="00806286">
        <w:t>jú priemerné ročné vozokilometrické náklady najvyššie</w:t>
      </w:r>
      <w:r>
        <w:t xml:space="preserve"> v porovnaní s ostatnými štátmi</w:t>
      </w:r>
      <w:r w:rsidR="00806286">
        <w:t>. To</w:t>
      </w:r>
      <w:r>
        <w:t xml:space="preserve"> vyplýva </w:t>
      </w:r>
      <w:r w:rsidR="00806286">
        <w:t xml:space="preserve">najmä </w:t>
      </w:r>
      <w:r>
        <w:t xml:space="preserve">z nízkych intenzít povinných vozidiel na sieti rovnako ako v prípade vozokilometrických výnosov. Z toho dôvodu realizoval riešiteľský kolektív kontrolný prepočet hypotetických vozokilometrických nákladov systému ETC v SR na báze dopravnej intenzity v ČR a dĺžky siete v SR. </w:t>
      </w:r>
      <w:r w:rsidR="003A4D3A" w:rsidRPr="003A4D3A">
        <w:rPr>
          <w:b/>
        </w:rPr>
        <w:t>Výsledná hodnota indikátora by sa podľa prepočtov pohybovala na úrovni 0,029 – 0,031 €/vkm</w:t>
      </w:r>
      <w:r w:rsidR="003A4D3A">
        <w:rPr>
          <w:b/>
        </w:rPr>
        <w:t xml:space="preserve"> </w:t>
      </w:r>
      <w:r w:rsidR="003A4D3A" w:rsidRPr="003A4D3A">
        <w:t>(priemer za 9 rokov prevádzky),</w:t>
      </w:r>
      <w:r w:rsidR="003A4D3A" w:rsidRPr="003A4D3A">
        <w:rPr>
          <w:b/>
        </w:rPr>
        <w:t xml:space="preserve"> </w:t>
      </w:r>
      <w:r w:rsidR="003A4D3A">
        <w:rPr>
          <w:b/>
        </w:rPr>
        <w:t xml:space="preserve">na základe čoho by bol slovenský systém ETC druhý najefektívnejší z porovnávaných štátov. </w:t>
      </w:r>
    </w:p>
    <w:p w:rsidR="006703FB" w:rsidRPr="00E47B23" w:rsidRDefault="00AE5B8A" w:rsidP="00422F9F">
      <w:pPr>
        <w:pStyle w:val="Nadpis2"/>
      </w:pPr>
      <w:bookmarkStart w:id="263" w:name="_Toc20687963"/>
      <w:bookmarkStart w:id="264" w:name="_Toc20687965"/>
      <w:bookmarkStart w:id="265" w:name="_Toc36664406"/>
      <w:bookmarkEnd w:id="263"/>
      <w:r w:rsidRPr="00E47B23">
        <w:t>Zhrnutie výsledkov</w:t>
      </w:r>
      <w:bookmarkEnd w:id="264"/>
      <w:r w:rsidRPr="00E47B23">
        <w:t xml:space="preserve"> komparatívnej analýzy efektívnosti systémov ETC</w:t>
      </w:r>
      <w:bookmarkEnd w:id="265"/>
    </w:p>
    <w:p w:rsidR="00053083" w:rsidRPr="00F467A6" w:rsidRDefault="00083771" w:rsidP="00F467A6">
      <w:pPr>
        <w:pStyle w:val="Normaltext"/>
        <w:spacing w:line="276" w:lineRule="auto"/>
        <w:rPr>
          <w:rFonts w:asciiTheme="minorHAnsi" w:hAnsiTheme="minorHAnsi" w:cstheme="minorHAnsi"/>
        </w:rPr>
      </w:pPr>
      <w:r w:rsidRPr="00F467A6">
        <w:rPr>
          <w:rFonts w:asciiTheme="minorHAnsi" w:hAnsiTheme="minorHAnsi" w:cstheme="minorHAnsi"/>
        </w:rPr>
        <w:t xml:space="preserve">Cieľom komparatívnej analýzy bolo porovnanie základných a odvodených pomerových ukazovateľov efektívnosti systémov ETC. Základné ukazovatele efektívnosti boli vyjadrené podielom výnosov a nákladov systémov a odvodené ukazovatele efektívnosti zohľadňovali dopravné špecifiká týchto systémov. </w:t>
      </w:r>
      <w:r w:rsidR="00181907" w:rsidRPr="00F467A6">
        <w:rPr>
          <w:rFonts w:asciiTheme="minorHAnsi" w:hAnsiTheme="minorHAnsi" w:cstheme="minorHAnsi"/>
        </w:rPr>
        <w:t xml:space="preserve">Sledovaným obdobím </w:t>
      </w:r>
      <w:r w:rsidR="00BA6D14" w:rsidRPr="00F467A6">
        <w:rPr>
          <w:rFonts w:asciiTheme="minorHAnsi" w:hAnsiTheme="minorHAnsi" w:cstheme="minorHAnsi"/>
        </w:rPr>
        <w:t xml:space="preserve">komparatívnej analýzy </w:t>
      </w:r>
      <w:r w:rsidR="00181907" w:rsidRPr="00F467A6">
        <w:rPr>
          <w:rFonts w:asciiTheme="minorHAnsi" w:hAnsiTheme="minorHAnsi" w:cstheme="minorHAnsi"/>
        </w:rPr>
        <w:t>bola deväťročná prevádzka systémov</w:t>
      </w:r>
      <w:r w:rsidR="007D2674" w:rsidRPr="00F467A6">
        <w:rPr>
          <w:rFonts w:asciiTheme="minorHAnsi" w:hAnsiTheme="minorHAnsi" w:cstheme="minorHAnsi"/>
        </w:rPr>
        <w:t xml:space="preserve"> počnúc</w:t>
      </w:r>
      <w:r w:rsidR="00181907" w:rsidRPr="00F467A6">
        <w:rPr>
          <w:rFonts w:asciiTheme="minorHAnsi" w:hAnsiTheme="minorHAnsi" w:cstheme="minorHAnsi"/>
        </w:rPr>
        <w:t xml:space="preserve"> </w:t>
      </w:r>
      <w:r w:rsidR="007D2674" w:rsidRPr="00F467A6">
        <w:rPr>
          <w:rFonts w:asciiTheme="minorHAnsi" w:hAnsiTheme="minorHAnsi" w:cstheme="minorHAnsi"/>
        </w:rPr>
        <w:t>začiatkom</w:t>
      </w:r>
      <w:r w:rsidR="00181907" w:rsidRPr="00F467A6">
        <w:rPr>
          <w:rFonts w:asciiTheme="minorHAnsi" w:hAnsiTheme="minorHAnsi" w:cstheme="minorHAnsi"/>
        </w:rPr>
        <w:t xml:space="preserve"> uvedenia </w:t>
      </w:r>
      <w:r w:rsidR="007D2674" w:rsidRPr="00F467A6">
        <w:rPr>
          <w:rFonts w:asciiTheme="minorHAnsi" w:hAnsiTheme="minorHAnsi" w:cstheme="minorHAnsi"/>
        </w:rPr>
        <w:t xml:space="preserve">systému </w:t>
      </w:r>
      <w:r w:rsidR="00181907" w:rsidRPr="00F467A6">
        <w:rPr>
          <w:rFonts w:asciiTheme="minorHAnsi" w:hAnsiTheme="minorHAnsi" w:cstheme="minorHAnsi"/>
        </w:rPr>
        <w:t>do prevádzky</w:t>
      </w:r>
      <w:r w:rsidR="007D2674" w:rsidRPr="00F467A6">
        <w:rPr>
          <w:rFonts w:asciiTheme="minorHAnsi" w:hAnsiTheme="minorHAnsi" w:cstheme="minorHAnsi"/>
        </w:rPr>
        <w:t>.</w:t>
      </w:r>
      <w:r w:rsidR="00181907" w:rsidRPr="00F467A6">
        <w:rPr>
          <w:rFonts w:asciiTheme="minorHAnsi" w:hAnsiTheme="minorHAnsi" w:cstheme="minorHAnsi"/>
        </w:rPr>
        <w:t xml:space="preserve"> V prípade Poľska bolo sledované obdobie 8-ročné. Vzhľadom na odlišné rozloženie splátok prvotnej investície súvisiacej s vybudovaním systému boli výsledky komparatívnej analýzy spracované</w:t>
      </w:r>
      <w:r w:rsidR="009B097B" w:rsidRPr="00F467A6">
        <w:rPr>
          <w:rFonts w:asciiTheme="minorHAnsi" w:hAnsiTheme="minorHAnsi" w:cstheme="minorHAnsi"/>
        </w:rPr>
        <w:t xml:space="preserve"> </w:t>
      </w:r>
      <w:r w:rsidR="00181907" w:rsidRPr="00F467A6">
        <w:rPr>
          <w:rFonts w:asciiTheme="minorHAnsi" w:hAnsiTheme="minorHAnsi" w:cstheme="minorHAnsi"/>
        </w:rPr>
        <w:t xml:space="preserve">v troch rôznych </w:t>
      </w:r>
      <w:r w:rsidR="009B097B" w:rsidRPr="00F467A6">
        <w:rPr>
          <w:rFonts w:asciiTheme="minorHAnsi" w:hAnsiTheme="minorHAnsi" w:cstheme="minorHAnsi"/>
        </w:rPr>
        <w:t xml:space="preserve">časových </w:t>
      </w:r>
      <w:r w:rsidR="00181907" w:rsidRPr="00F467A6">
        <w:rPr>
          <w:rFonts w:asciiTheme="minorHAnsi" w:hAnsiTheme="minorHAnsi" w:cstheme="minorHAnsi"/>
        </w:rPr>
        <w:t xml:space="preserve">scenároch </w:t>
      </w:r>
      <w:r w:rsidR="009B097B" w:rsidRPr="00F467A6">
        <w:rPr>
          <w:rFonts w:asciiTheme="minorHAnsi" w:hAnsiTheme="minorHAnsi" w:cstheme="minorHAnsi"/>
        </w:rPr>
        <w:t>obdobia</w:t>
      </w:r>
      <w:r w:rsidR="00181907" w:rsidRPr="00F467A6">
        <w:rPr>
          <w:rFonts w:asciiTheme="minorHAnsi" w:hAnsiTheme="minorHAnsi" w:cstheme="minorHAnsi"/>
        </w:rPr>
        <w:t xml:space="preserve"> prevádzky systému. Základný scenár predstavoval </w:t>
      </w:r>
      <w:r w:rsidR="00BA6D14" w:rsidRPr="00F467A6">
        <w:rPr>
          <w:rFonts w:asciiTheme="minorHAnsi" w:hAnsiTheme="minorHAnsi" w:cstheme="minorHAnsi"/>
        </w:rPr>
        <w:t>predmetné</w:t>
      </w:r>
      <w:r w:rsidR="009B097B" w:rsidRPr="00F467A6">
        <w:rPr>
          <w:rFonts w:asciiTheme="minorHAnsi" w:hAnsiTheme="minorHAnsi" w:cstheme="minorHAnsi"/>
        </w:rPr>
        <w:t xml:space="preserve"> 9-ročné obdobie prevádzky</w:t>
      </w:r>
      <w:r w:rsidR="008521D2" w:rsidRPr="00F467A6">
        <w:rPr>
          <w:rFonts w:asciiTheme="minorHAnsi" w:hAnsiTheme="minorHAnsi" w:cstheme="minorHAnsi"/>
        </w:rPr>
        <w:t>. S</w:t>
      </w:r>
      <w:r w:rsidR="009B097B" w:rsidRPr="00F467A6">
        <w:rPr>
          <w:rFonts w:asciiTheme="minorHAnsi" w:hAnsiTheme="minorHAnsi" w:cstheme="minorHAnsi"/>
        </w:rPr>
        <w:t>ubscenár A</w:t>
      </w:r>
      <w:r w:rsidR="008521D2" w:rsidRPr="00F467A6">
        <w:rPr>
          <w:rFonts w:asciiTheme="minorHAnsi" w:hAnsiTheme="minorHAnsi" w:cstheme="minorHAnsi"/>
        </w:rPr>
        <w:t> </w:t>
      </w:r>
      <w:r w:rsidR="009B097B" w:rsidRPr="00F467A6">
        <w:rPr>
          <w:rFonts w:asciiTheme="minorHAnsi" w:hAnsiTheme="minorHAnsi" w:cstheme="minorHAnsi"/>
        </w:rPr>
        <w:t>reflektoval zvýšenú nákladovosť systémov v prvých piatich roko</w:t>
      </w:r>
      <w:r w:rsidR="007D2674" w:rsidRPr="00F467A6">
        <w:rPr>
          <w:rFonts w:asciiTheme="minorHAnsi" w:hAnsiTheme="minorHAnsi" w:cstheme="minorHAnsi"/>
        </w:rPr>
        <w:t>ch</w:t>
      </w:r>
      <w:r w:rsidR="009B097B" w:rsidRPr="00F467A6">
        <w:rPr>
          <w:rFonts w:asciiTheme="minorHAnsi" w:hAnsiTheme="minorHAnsi" w:cstheme="minorHAnsi"/>
        </w:rPr>
        <w:t xml:space="preserve"> prevádzky </w:t>
      </w:r>
      <w:r w:rsidR="007D2674" w:rsidRPr="00F467A6">
        <w:rPr>
          <w:rFonts w:asciiTheme="minorHAnsi" w:hAnsiTheme="minorHAnsi" w:cstheme="minorHAnsi"/>
        </w:rPr>
        <w:t xml:space="preserve">systému </w:t>
      </w:r>
      <w:r w:rsidR="009B097B" w:rsidRPr="00F467A6">
        <w:rPr>
          <w:rFonts w:asciiTheme="minorHAnsi" w:hAnsiTheme="minorHAnsi" w:cstheme="minorHAnsi"/>
        </w:rPr>
        <w:t xml:space="preserve">a subscenár B (od piateho roku prevádzky vrátane) reprezentoval náklady systému spojené najmä s jeho prevádzkou. </w:t>
      </w:r>
      <w:r w:rsidR="00632092" w:rsidRPr="00F467A6">
        <w:rPr>
          <w:rFonts w:asciiTheme="minorHAnsi" w:hAnsiTheme="minorHAnsi" w:cstheme="minorHAnsi"/>
        </w:rPr>
        <w:t>V predmetnom zhrnutí výsledkov komparatívnej analýzy sú uvádzané výsledky pre základný scenár obdobia prevádzky systému</w:t>
      </w:r>
      <w:r w:rsidR="000B61DA" w:rsidRPr="00F467A6">
        <w:rPr>
          <w:rFonts w:asciiTheme="minorHAnsi" w:hAnsiTheme="minorHAnsi" w:cstheme="minorHAnsi"/>
        </w:rPr>
        <w:t xml:space="preserve"> – priemerné ročné hodnoty sledovaných ukazovateľov</w:t>
      </w:r>
      <w:r w:rsidR="00632092" w:rsidRPr="00F467A6">
        <w:rPr>
          <w:rFonts w:asciiTheme="minorHAnsi" w:hAnsiTheme="minorHAnsi" w:cstheme="minorHAnsi"/>
        </w:rPr>
        <w:t xml:space="preserve">. </w:t>
      </w:r>
    </w:p>
    <w:p w:rsidR="00083771" w:rsidRPr="00F467A6" w:rsidRDefault="00083771" w:rsidP="00F467A6">
      <w:pPr>
        <w:pStyle w:val="Normaltext"/>
        <w:spacing w:line="276" w:lineRule="auto"/>
        <w:rPr>
          <w:rFonts w:asciiTheme="minorHAnsi" w:hAnsiTheme="minorHAnsi" w:cstheme="minorHAnsi"/>
        </w:rPr>
      </w:pPr>
      <w:r w:rsidRPr="00F467A6">
        <w:rPr>
          <w:rFonts w:asciiTheme="minorHAnsi" w:hAnsiTheme="minorHAnsi" w:cstheme="minorHAnsi"/>
        </w:rPr>
        <w:t>Pre potreby komparatívnej analýzy efektívnosti systémov boli prvotne porovnané dopravné parametre systémov ETC (dĺžka siete, dopravná intenzita vozidiel na jednotkovom kilometri siete a kumulované dopravné výkony vozidiel na sieti) a základné finančné ukazovatele (výnosy a náklady systémov). Z porovnania týchto východiskových vstupných premenných komparatívnej analýzy boli získané nasledujúce výsledky:</w:t>
      </w:r>
    </w:p>
    <w:p w:rsidR="000B61DA" w:rsidRPr="00F467A6" w:rsidRDefault="000B61DA" w:rsidP="00D95B44">
      <w:pPr>
        <w:pStyle w:val="Normaltext"/>
        <w:numPr>
          <w:ilvl w:val="0"/>
          <w:numId w:val="35"/>
        </w:numPr>
        <w:spacing w:line="276" w:lineRule="auto"/>
        <w:rPr>
          <w:rFonts w:asciiTheme="minorHAnsi" w:hAnsiTheme="minorHAnsi" w:cstheme="minorHAnsi"/>
          <w:b/>
        </w:rPr>
      </w:pPr>
      <w:r w:rsidRPr="00F467A6">
        <w:rPr>
          <w:rFonts w:asciiTheme="minorHAnsi" w:hAnsiTheme="minorHAnsi" w:cstheme="minorHAnsi"/>
          <w:b/>
        </w:rPr>
        <w:t xml:space="preserve">Dĺžka spoplatnenej siete systému ETC: </w:t>
      </w:r>
    </w:p>
    <w:p w:rsidR="00083771" w:rsidRPr="00F467A6" w:rsidRDefault="00083771" w:rsidP="00F467A6">
      <w:pPr>
        <w:pStyle w:val="Normaltext"/>
        <w:spacing w:line="276" w:lineRule="auto"/>
        <w:rPr>
          <w:rFonts w:asciiTheme="minorHAnsi" w:hAnsiTheme="minorHAnsi" w:cstheme="minorHAnsi"/>
        </w:rPr>
      </w:pPr>
      <w:r w:rsidRPr="00F467A6">
        <w:rPr>
          <w:rFonts w:asciiTheme="minorHAnsi" w:hAnsiTheme="minorHAnsi" w:cstheme="minorHAnsi"/>
        </w:rPr>
        <w:t>Počas deväťročného obdobia prevádzky systému obsluhoval najdlhšiu sieť systém ETC v Nemecku a najkratšiu v Českej republike. Slovensko je v poradí treťou krajinou s najdlhšou sieťou spoplatnen</w:t>
      </w:r>
      <w:r w:rsidR="00363DBF" w:rsidRPr="00F467A6">
        <w:rPr>
          <w:rFonts w:asciiTheme="minorHAnsi" w:hAnsiTheme="minorHAnsi" w:cstheme="minorHAnsi"/>
        </w:rPr>
        <w:t>ých úsekov</w:t>
      </w:r>
      <w:r w:rsidRPr="00F467A6">
        <w:rPr>
          <w:rFonts w:asciiTheme="minorHAnsi" w:hAnsiTheme="minorHAnsi" w:cstheme="minorHAnsi"/>
        </w:rPr>
        <w:t xml:space="preserve"> nenulovou sadzbou. Priemerná ročná dĺžka spoplatnených úsekov v SR je porovnateľná s AT, vyššia ako v ČR, ale nižšia ako v PL a</w:t>
      </w:r>
      <w:r w:rsidR="00AB1C55" w:rsidRPr="00F467A6">
        <w:rPr>
          <w:rFonts w:asciiTheme="minorHAnsi" w:hAnsiTheme="minorHAnsi" w:cstheme="minorHAnsi"/>
        </w:rPr>
        <w:t> </w:t>
      </w:r>
      <w:r w:rsidRPr="00F467A6">
        <w:rPr>
          <w:rFonts w:asciiTheme="minorHAnsi" w:hAnsiTheme="minorHAnsi" w:cstheme="minorHAnsi"/>
        </w:rPr>
        <w:t>DE</w:t>
      </w:r>
      <w:r w:rsidR="00AB1C55" w:rsidRPr="00F467A6">
        <w:rPr>
          <w:rFonts w:asciiTheme="minorHAnsi" w:hAnsiTheme="minorHAnsi" w:cstheme="minorHAnsi"/>
        </w:rPr>
        <w:t>.</w:t>
      </w:r>
    </w:p>
    <w:p w:rsidR="00083771" w:rsidRPr="00F467A6" w:rsidRDefault="000B61DA" w:rsidP="00F467A6">
      <w:pPr>
        <w:pStyle w:val="tabbielystyl"/>
        <w:spacing w:before="120" w:after="120"/>
        <w:ind w:left="2265" w:hanging="2265"/>
        <w:jc w:val="both"/>
        <w:rPr>
          <w:b/>
          <w:sz w:val="22"/>
        </w:rPr>
      </w:pPr>
      <w:r w:rsidRPr="00F467A6">
        <w:rPr>
          <w:sz w:val="22"/>
        </w:rPr>
        <w:t>Poradie krajín:</w:t>
      </w:r>
      <w:r w:rsidRPr="00F467A6">
        <w:rPr>
          <w:b/>
          <w:sz w:val="22"/>
        </w:rPr>
        <w:t xml:space="preserve"> </w:t>
      </w:r>
      <w:r w:rsidRPr="00F467A6">
        <w:rPr>
          <w:b/>
          <w:sz w:val="22"/>
        </w:rPr>
        <w:tab/>
      </w:r>
      <w:r w:rsidR="005930F7" w:rsidRPr="00F467A6">
        <w:rPr>
          <w:b/>
          <w:sz w:val="22"/>
        </w:rPr>
        <w:t xml:space="preserve">1. </w:t>
      </w:r>
      <w:r w:rsidR="00083771" w:rsidRPr="00F467A6">
        <w:rPr>
          <w:b/>
          <w:sz w:val="22"/>
        </w:rPr>
        <w:t xml:space="preserve">Nemecko </w:t>
      </w:r>
      <w:r w:rsidR="00083771" w:rsidRPr="00F467A6">
        <w:rPr>
          <w:sz w:val="22"/>
        </w:rPr>
        <w:t>(12 913 km), index 5,9</w:t>
      </w:r>
      <w:r w:rsidR="005930F7" w:rsidRPr="00F467A6">
        <w:rPr>
          <w:b/>
          <w:sz w:val="22"/>
        </w:rPr>
        <w:t xml:space="preserve"> / 2. </w:t>
      </w:r>
      <w:r w:rsidR="00083771" w:rsidRPr="00F467A6">
        <w:rPr>
          <w:b/>
          <w:sz w:val="22"/>
        </w:rPr>
        <w:t xml:space="preserve">Poľsko </w:t>
      </w:r>
      <w:r w:rsidR="00083771" w:rsidRPr="00F467A6">
        <w:rPr>
          <w:sz w:val="22"/>
        </w:rPr>
        <w:t xml:space="preserve">(2 865 km), index </w:t>
      </w:r>
      <w:r w:rsidR="00B83B56" w:rsidRPr="00F467A6">
        <w:rPr>
          <w:sz w:val="22"/>
        </w:rPr>
        <w:t>1,31</w:t>
      </w:r>
      <w:r w:rsidR="005930F7" w:rsidRPr="00F467A6">
        <w:rPr>
          <w:b/>
          <w:sz w:val="22"/>
        </w:rPr>
        <w:t xml:space="preserve"> / </w:t>
      </w:r>
      <w:r w:rsidR="005930F7" w:rsidRPr="00F467A6">
        <w:rPr>
          <w:b/>
          <w:sz w:val="22"/>
          <w:u w:val="single"/>
        </w:rPr>
        <w:t xml:space="preserve">3. </w:t>
      </w:r>
      <w:r w:rsidR="00083771" w:rsidRPr="00F467A6">
        <w:rPr>
          <w:b/>
          <w:sz w:val="22"/>
          <w:u w:val="single"/>
        </w:rPr>
        <w:t xml:space="preserve">Slovensko </w:t>
      </w:r>
      <w:r w:rsidR="00083771" w:rsidRPr="00F467A6">
        <w:rPr>
          <w:sz w:val="22"/>
          <w:u w:val="single"/>
        </w:rPr>
        <w:t>(2 190 km), index 1</w:t>
      </w:r>
      <w:r w:rsidR="005930F7" w:rsidRPr="00F467A6">
        <w:rPr>
          <w:b/>
          <w:sz w:val="22"/>
        </w:rPr>
        <w:t xml:space="preserve"> / </w:t>
      </w:r>
      <w:r w:rsidR="00083771" w:rsidRPr="00F467A6">
        <w:rPr>
          <w:b/>
          <w:sz w:val="22"/>
        </w:rPr>
        <w:t xml:space="preserve">Rakúsko </w:t>
      </w:r>
      <w:r w:rsidR="00083771" w:rsidRPr="00F467A6">
        <w:rPr>
          <w:sz w:val="22"/>
        </w:rPr>
        <w:t>(2 111 km), index 0,96</w:t>
      </w:r>
      <w:r w:rsidR="005930F7" w:rsidRPr="00F467A6">
        <w:rPr>
          <w:b/>
          <w:sz w:val="22"/>
        </w:rPr>
        <w:t xml:space="preserve"> / 5. </w:t>
      </w:r>
      <w:r w:rsidR="00083771" w:rsidRPr="00F467A6">
        <w:rPr>
          <w:b/>
          <w:sz w:val="22"/>
        </w:rPr>
        <w:t xml:space="preserve">Česká republika </w:t>
      </w:r>
      <w:r w:rsidR="00083771" w:rsidRPr="00F467A6">
        <w:rPr>
          <w:sz w:val="22"/>
        </w:rPr>
        <w:t xml:space="preserve">(1 321 km), index </w:t>
      </w:r>
      <w:r w:rsidR="00B83B56" w:rsidRPr="00F467A6">
        <w:rPr>
          <w:sz w:val="22"/>
        </w:rPr>
        <w:t>0,60</w:t>
      </w:r>
    </w:p>
    <w:p w:rsidR="000B61DA" w:rsidRPr="00F467A6" w:rsidRDefault="00083771" w:rsidP="00D95B44">
      <w:pPr>
        <w:pStyle w:val="Normaltext"/>
        <w:numPr>
          <w:ilvl w:val="0"/>
          <w:numId w:val="35"/>
        </w:numPr>
        <w:spacing w:line="276" w:lineRule="auto"/>
        <w:rPr>
          <w:rFonts w:asciiTheme="minorHAnsi" w:hAnsiTheme="minorHAnsi" w:cstheme="minorHAnsi"/>
          <w:b/>
        </w:rPr>
      </w:pPr>
      <w:r w:rsidRPr="00F467A6">
        <w:rPr>
          <w:rFonts w:asciiTheme="minorHAnsi" w:hAnsiTheme="minorHAnsi" w:cstheme="minorHAnsi"/>
          <w:b/>
        </w:rPr>
        <w:t>Intenzita povinných vozidiel na jednotkovom kilometri siete</w:t>
      </w:r>
      <w:r w:rsidR="000B61DA" w:rsidRPr="00F467A6">
        <w:rPr>
          <w:rFonts w:asciiTheme="minorHAnsi" w:hAnsiTheme="minorHAnsi" w:cstheme="minorHAnsi"/>
          <w:b/>
        </w:rPr>
        <w:t xml:space="preserve">: </w:t>
      </w:r>
    </w:p>
    <w:p w:rsidR="00083771" w:rsidRPr="00F467A6" w:rsidRDefault="00083771" w:rsidP="00F467A6">
      <w:pPr>
        <w:pStyle w:val="Normaltext"/>
        <w:spacing w:line="276" w:lineRule="auto"/>
        <w:rPr>
          <w:rFonts w:asciiTheme="minorHAnsi" w:hAnsiTheme="minorHAnsi" w:cstheme="minorHAnsi"/>
        </w:rPr>
      </w:pPr>
      <w:r w:rsidRPr="00F467A6">
        <w:rPr>
          <w:rFonts w:asciiTheme="minorHAnsi" w:hAnsiTheme="minorHAnsi" w:cstheme="minorHAnsi"/>
        </w:rPr>
        <w:t xml:space="preserve">Priemerná denná intenzita povinných vozidiel na jednotkovom kilometri spoplatnenej siete je najnižšia v Slovenskej republike, </w:t>
      </w:r>
      <w:r w:rsidR="000B61DA" w:rsidRPr="00F467A6">
        <w:rPr>
          <w:rFonts w:asciiTheme="minorHAnsi" w:hAnsiTheme="minorHAnsi" w:cstheme="minorHAnsi"/>
        </w:rPr>
        <w:t>najvyššia v Nemecku.</w:t>
      </w:r>
      <w:r w:rsidRPr="00F467A6">
        <w:rPr>
          <w:rFonts w:asciiTheme="minorHAnsi" w:hAnsiTheme="minorHAnsi" w:cstheme="minorHAnsi"/>
        </w:rPr>
        <w:t xml:space="preserve"> V porovnaní s ostatnými štátmi je intenzita v SR približne 3 až 4-násobne nižšia</w:t>
      </w:r>
      <w:r w:rsidR="00AB1C55" w:rsidRPr="00F467A6">
        <w:rPr>
          <w:rFonts w:asciiTheme="minorHAnsi" w:hAnsiTheme="minorHAnsi" w:cstheme="minorHAnsi"/>
        </w:rPr>
        <w:t>.</w:t>
      </w:r>
      <w:r w:rsidRPr="00F467A6">
        <w:rPr>
          <w:rFonts w:asciiTheme="minorHAnsi" w:hAnsiTheme="minorHAnsi" w:cstheme="minorHAnsi"/>
        </w:rPr>
        <w:t xml:space="preserve"> </w:t>
      </w:r>
    </w:p>
    <w:p w:rsidR="00B83B56" w:rsidRPr="00F467A6" w:rsidRDefault="000B61DA" w:rsidP="00F467A6">
      <w:pPr>
        <w:pStyle w:val="tabbielystyl"/>
        <w:spacing w:before="120" w:after="120"/>
        <w:ind w:left="2265" w:hanging="2265"/>
        <w:jc w:val="both"/>
        <w:rPr>
          <w:b/>
          <w:sz w:val="22"/>
        </w:rPr>
      </w:pPr>
      <w:r w:rsidRPr="00F467A6">
        <w:rPr>
          <w:sz w:val="22"/>
        </w:rPr>
        <w:t>Poradie krajín:</w:t>
      </w:r>
      <w:r w:rsidRPr="00F467A6">
        <w:rPr>
          <w:b/>
          <w:sz w:val="22"/>
        </w:rPr>
        <w:t xml:space="preserve"> </w:t>
      </w:r>
      <w:r w:rsidRPr="00F467A6">
        <w:rPr>
          <w:b/>
          <w:sz w:val="22"/>
        </w:rPr>
        <w:tab/>
      </w:r>
      <w:r w:rsidR="00B83B56" w:rsidRPr="00F467A6">
        <w:rPr>
          <w:b/>
          <w:sz w:val="22"/>
        </w:rPr>
        <w:t xml:space="preserve">1. Nemecko </w:t>
      </w:r>
      <w:r w:rsidR="00B83B56" w:rsidRPr="00F467A6">
        <w:rPr>
          <w:sz w:val="22"/>
        </w:rPr>
        <w:t>(5 561 voz), index 3,9</w:t>
      </w:r>
      <w:r w:rsidR="005930F7" w:rsidRPr="00F467A6">
        <w:rPr>
          <w:b/>
          <w:sz w:val="22"/>
        </w:rPr>
        <w:t xml:space="preserve"> / </w:t>
      </w:r>
      <w:r w:rsidR="00B83B56" w:rsidRPr="00F467A6">
        <w:rPr>
          <w:b/>
          <w:sz w:val="22"/>
        </w:rPr>
        <w:t xml:space="preserve">2. Poľsko </w:t>
      </w:r>
      <w:r w:rsidR="00B83B56" w:rsidRPr="00F467A6">
        <w:rPr>
          <w:sz w:val="22"/>
        </w:rPr>
        <w:t>(4 209 voz), index 2,95</w:t>
      </w:r>
      <w:r w:rsidR="005930F7" w:rsidRPr="00F467A6">
        <w:rPr>
          <w:b/>
          <w:sz w:val="22"/>
        </w:rPr>
        <w:t xml:space="preserve"> / </w:t>
      </w:r>
      <w:r w:rsidR="00B83B56" w:rsidRPr="00F467A6">
        <w:rPr>
          <w:b/>
          <w:sz w:val="22"/>
        </w:rPr>
        <w:t xml:space="preserve">3. Rakúsko </w:t>
      </w:r>
      <w:r w:rsidR="00B83B56" w:rsidRPr="00F467A6">
        <w:rPr>
          <w:sz w:val="22"/>
        </w:rPr>
        <w:t>(3 897 voz), index 2,73</w:t>
      </w:r>
      <w:r w:rsidR="005930F7" w:rsidRPr="00F467A6">
        <w:rPr>
          <w:b/>
          <w:sz w:val="22"/>
        </w:rPr>
        <w:t xml:space="preserve"> / </w:t>
      </w:r>
      <w:r w:rsidR="00B83B56" w:rsidRPr="00F467A6">
        <w:rPr>
          <w:b/>
          <w:sz w:val="22"/>
        </w:rPr>
        <w:t xml:space="preserve">4. Česká republika </w:t>
      </w:r>
      <w:r w:rsidR="00B83B56" w:rsidRPr="00F467A6">
        <w:rPr>
          <w:sz w:val="22"/>
        </w:rPr>
        <w:t>(3 854 voz), index 2,7</w:t>
      </w:r>
      <w:r w:rsidR="005930F7" w:rsidRPr="00F467A6">
        <w:rPr>
          <w:b/>
          <w:sz w:val="22"/>
        </w:rPr>
        <w:t xml:space="preserve"> / </w:t>
      </w:r>
      <w:r w:rsidR="00B83B56" w:rsidRPr="00F467A6">
        <w:rPr>
          <w:b/>
          <w:sz w:val="22"/>
          <w:u w:val="single"/>
        </w:rPr>
        <w:t xml:space="preserve">5. Slovensko </w:t>
      </w:r>
      <w:r w:rsidR="00B83B56" w:rsidRPr="00F467A6">
        <w:rPr>
          <w:sz w:val="22"/>
          <w:u w:val="single"/>
        </w:rPr>
        <w:t>(1 427 voz), index 1</w:t>
      </w:r>
    </w:p>
    <w:p w:rsidR="000B61DA" w:rsidRPr="00F467A6" w:rsidRDefault="00B83B56" w:rsidP="00D95B44">
      <w:pPr>
        <w:pStyle w:val="Normaltext"/>
        <w:numPr>
          <w:ilvl w:val="0"/>
          <w:numId w:val="35"/>
        </w:numPr>
        <w:spacing w:line="276" w:lineRule="auto"/>
        <w:rPr>
          <w:rFonts w:asciiTheme="minorHAnsi" w:hAnsiTheme="minorHAnsi" w:cstheme="minorHAnsi"/>
          <w:b/>
        </w:rPr>
      </w:pPr>
      <w:r w:rsidRPr="00F467A6">
        <w:rPr>
          <w:rFonts w:asciiTheme="minorHAnsi" w:hAnsiTheme="minorHAnsi" w:cstheme="minorHAnsi"/>
          <w:b/>
        </w:rPr>
        <w:t>Kumulované dopravné výkony na sieti</w:t>
      </w:r>
    </w:p>
    <w:p w:rsidR="00F467A6" w:rsidRDefault="00AB1C55" w:rsidP="00F467A6">
      <w:pPr>
        <w:pStyle w:val="Normaltext"/>
        <w:spacing w:line="276" w:lineRule="auto"/>
        <w:rPr>
          <w:rFonts w:asciiTheme="minorHAnsi" w:hAnsiTheme="minorHAnsi" w:cstheme="minorHAnsi"/>
        </w:rPr>
      </w:pPr>
      <w:r w:rsidRPr="00F467A6">
        <w:rPr>
          <w:rFonts w:asciiTheme="minorHAnsi" w:hAnsiTheme="minorHAnsi" w:cstheme="minorHAnsi"/>
        </w:rPr>
        <w:t xml:space="preserve">Kumulované ročné dopravné výkony povinných vozidiel na sieti sú z porovnávaných krajín najnižšie na Slovensku, čo vyplýva z najnižších priemerných intenzít týchto vozidiel. Najvyššie výkony dosahuje nemecký systém ETC. </w:t>
      </w:r>
    </w:p>
    <w:p w:rsidR="00B96C29" w:rsidRDefault="000B61DA" w:rsidP="00D40A9E">
      <w:pPr>
        <w:pStyle w:val="Normaltext"/>
        <w:spacing w:line="276" w:lineRule="auto"/>
        <w:ind w:left="2268" w:hanging="2268"/>
        <w:rPr>
          <w:b/>
        </w:rPr>
      </w:pPr>
      <w:r w:rsidRPr="00F467A6">
        <w:t>Poradie krajín:</w:t>
      </w:r>
      <w:r w:rsidRPr="00F467A6">
        <w:rPr>
          <w:b/>
        </w:rPr>
        <w:t xml:space="preserve"> </w:t>
      </w:r>
      <w:r w:rsidRPr="00F467A6">
        <w:rPr>
          <w:b/>
        </w:rPr>
        <w:tab/>
      </w:r>
      <w:r w:rsidR="00B83B56" w:rsidRPr="00F467A6">
        <w:rPr>
          <w:b/>
        </w:rPr>
        <w:t xml:space="preserve">1. Nemecko </w:t>
      </w:r>
      <w:r w:rsidR="00B83B56" w:rsidRPr="00F467A6">
        <w:t>(26 175 mil. vkm), index 22,86</w:t>
      </w:r>
      <w:r w:rsidR="005930F7" w:rsidRPr="00F467A6">
        <w:rPr>
          <w:b/>
        </w:rPr>
        <w:t xml:space="preserve"> / </w:t>
      </w:r>
    </w:p>
    <w:p w:rsidR="00B83B56" w:rsidRDefault="00B83B56" w:rsidP="00D40A9E">
      <w:pPr>
        <w:pStyle w:val="Normaltext"/>
        <w:spacing w:line="276" w:lineRule="auto"/>
        <w:ind w:left="2268" w:hanging="2268"/>
        <w:rPr>
          <w:rFonts w:asciiTheme="minorHAnsi" w:hAnsiTheme="minorHAnsi" w:cstheme="minorHAnsi"/>
          <w:u w:val="single"/>
          <w:lang w:eastAsia="sk-SK"/>
        </w:rPr>
      </w:pPr>
      <w:r w:rsidRPr="00F467A6">
        <w:rPr>
          <w:b/>
        </w:rPr>
        <w:t xml:space="preserve">2. Poľsko </w:t>
      </w:r>
      <w:r w:rsidRPr="00F467A6">
        <w:t>(4 510 mil. vkm), index 3,94</w:t>
      </w:r>
      <w:r w:rsidR="005930F7" w:rsidRPr="00F467A6">
        <w:rPr>
          <w:b/>
        </w:rPr>
        <w:t xml:space="preserve"> / </w:t>
      </w:r>
      <w:r w:rsidRPr="00F467A6">
        <w:rPr>
          <w:b/>
        </w:rPr>
        <w:t xml:space="preserve">3. Rakúsko </w:t>
      </w:r>
      <w:r w:rsidRPr="00F467A6">
        <w:t>(3 004 mil. vkm), index 2,62</w:t>
      </w:r>
      <w:r w:rsidR="005930F7" w:rsidRPr="00F467A6">
        <w:rPr>
          <w:b/>
        </w:rPr>
        <w:t xml:space="preserve"> / </w:t>
      </w:r>
      <w:r w:rsidRPr="00F467A6">
        <w:rPr>
          <w:b/>
        </w:rPr>
        <w:t xml:space="preserve">4. Česká republika </w:t>
      </w:r>
      <w:r w:rsidRPr="00F467A6">
        <w:t>(1 865 mil. vkm), index 1,63</w:t>
      </w:r>
      <w:r w:rsidR="005930F7" w:rsidRPr="00F467A6">
        <w:rPr>
          <w:b/>
        </w:rPr>
        <w:t xml:space="preserve"> /</w:t>
      </w:r>
      <w:r w:rsidR="005930F7" w:rsidRPr="00F467A6">
        <w:t xml:space="preserve"> </w:t>
      </w:r>
      <w:r w:rsidRPr="00F467A6">
        <w:rPr>
          <w:rFonts w:asciiTheme="minorHAnsi" w:hAnsiTheme="minorHAnsi" w:cstheme="minorHAnsi"/>
          <w:b/>
          <w:u w:val="single"/>
          <w:lang w:eastAsia="sk-SK"/>
        </w:rPr>
        <w:t xml:space="preserve">5. Slovensko </w:t>
      </w:r>
      <w:r w:rsidRPr="00F467A6">
        <w:rPr>
          <w:rFonts w:asciiTheme="minorHAnsi" w:hAnsiTheme="minorHAnsi" w:cstheme="minorHAnsi"/>
          <w:u w:val="single"/>
          <w:lang w:eastAsia="sk-SK"/>
        </w:rPr>
        <w:t>(1 145 mil. vkm), index 1</w:t>
      </w:r>
    </w:p>
    <w:p w:rsidR="00ED3F54" w:rsidRPr="00F467A6" w:rsidRDefault="00ED3F54" w:rsidP="00D40A9E">
      <w:pPr>
        <w:pStyle w:val="Normaltext"/>
        <w:spacing w:line="276" w:lineRule="auto"/>
        <w:ind w:left="2268" w:hanging="2268"/>
        <w:rPr>
          <w:rFonts w:asciiTheme="minorHAnsi" w:hAnsiTheme="minorHAnsi" w:cstheme="minorHAnsi"/>
          <w:lang w:eastAsia="sk-SK"/>
        </w:rPr>
      </w:pPr>
    </w:p>
    <w:p w:rsidR="00B83B56" w:rsidRPr="00F467A6" w:rsidRDefault="00B83B56" w:rsidP="00D95B44">
      <w:pPr>
        <w:pStyle w:val="Normaltext"/>
        <w:numPr>
          <w:ilvl w:val="0"/>
          <w:numId w:val="35"/>
        </w:numPr>
        <w:spacing w:line="276" w:lineRule="auto"/>
        <w:rPr>
          <w:rFonts w:asciiTheme="minorHAnsi" w:hAnsiTheme="minorHAnsi" w:cstheme="minorHAnsi"/>
          <w:b/>
        </w:rPr>
      </w:pPr>
      <w:r w:rsidRPr="00F467A6">
        <w:rPr>
          <w:rFonts w:asciiTheme="minorHAnsi" w:hAnsiTheme="minorHAnsi" w:cstheme="minorHAnsi"/>
          <w:b/>
        </w:rPr>
        <w:t>Výnosy systému ETC</w:t>
      </w:r>
    </w:p>
    <w:p w:rsidR="00AB1C55" w:rsidRPr="00F467A6" w:rsidRDefault="00AB1C55" w:rsidP="00F467A6">
      <w:pPr>
        <w:pStyle w:val="tabbielystyl"/>
        <w:spacing w:before="120" w:after="120"/>
        <w:jc w:val="both"/>
        <w:rPr>
          <w:sz w:val="22"/>
        </w:rPr>
      </w:pPr>
      <w:r w:rsidRPr="00F467A6">
        <w:rPr>
          <w:sz w:val="22"/>
        </w:rPr>
        <w:t>Priemerné ročné výnosy systému ETC sú za deväťročné obdobie prevádzky najvyššie v Nemecku a najnižšie v Slovenskej republike. Oproti Českej republike a Poľsku sú výnosy</w:t>
      </w:r>
      <w:r w:rsidR="005F12ED">
        <w:rPr>
          <w:sz w:val="22"/>
        </w:rPr>
        <w:t xml:space="preserve"> systému ETC v SR približne 1,6-</w:t>
      </w:r>
      <w:r w:rsidRPr="00F467A6">
        <w:rPr>
          <w:sz w:val="22"/>
        </w:rPr>
        <w:t>násobne nižšie, v prípade Rakúska takmer 5,5-násobne nižšie. Nemecký systém dosahuje takmer 22-násobne vyššie výnosy ako slovenský systém ETC.</w:t>
      </w:r>
    </w:p>
    <w:p w:rsidR="00B83B56" w:rsidRPr="00F467A6" w:rsidRDefault="000B61DA" w:rsidP="00F467A6">
      <w:pPr>
        <w:pStyle w:val="tabbielystyl"/>
        <w:spacing w:before="120" w:after="120"/>
        <w:ind w:left="2265" w:hanging="2265"/>
        <w:jc w:val="both"/>
        <w:rPr>
          <w:sz w:val="22"/>
        </w:rPr>
      </w:pPr>
      <w:r w:rsidRPr="00F467A6">
        <w:rPr>
          <w:sz w:val="22"/>
        </w:rPr>
        <w:t>Poradie krajín:</w:t>
      </w:r>
      <w:r w:rsidRPr="00F467A6">
        <w:rPr>
          <w:b/>
          <w:sz w:val="22"/>
        </w:rPr>
        <w:t xml:space="preserve"> </w:t>
      </w:r>
      <w:r w:rsidRPr="00F467A6">
        <w:rPr>
          <w:b/>
          <w:sz w:val="22"/>
        </w:rPr>
        <w:tab/>
      </w:r>
      <w:r w:rsidR="00B83B56" w:rsidRPr="00F467A6">
        <w:rPr>
          <w:b/>
          <w:sz w:val="22"/>
        </w:rPr>
        <w:t xml:space="preserve">1. Nemecko </w:t>
      </w:r>
      <w:r w:rsidR="00B83B56" w:rsidRPr="00F467A6">
        <w:rPr>
          <w:sz w:val="22"/>
        </w:rPr>
        <w:t>(3834 mil. €), index 21,72 - 21,89</w:t>
      </w:r>
      <w:r w:rsidR="005930F7" w:rsidRPr="00F467A6">
        <w:rPr>
          <w:b/>
          <w:sz w:val="22"/>
        </w:rPr>
        <w:t xml:space="preserve"> / </w:t>
      </w:r>
      <w:r w:rsidR="00B83B56" w:rsidRPr="00F467A6">
        <w:rPr>
          <w:b/>
          <w:sz w:val="22"/>
        </w:rPr>
        <w:t xml:space="preserve">2. Rakúsko </w:t>
      </w:r>
      <w:r w:rsidR="00B83B56" w:rsidRPr="00F467A6">
        <w:rPr>
          <w:sz w:val="22"/>
        </w:rPr>
        <w:t>(954 mil. €), index 5,40 – 5,45</w:t>
      </w:r>
      <w:r w:rsidR="005930F7" w:rsidRPr="00F467A6">
        <w:rPr>
          <w:b/>
          <w:sz w:val="22"/>
        </w:rPr>
        <w:t xml:space="preserve"> / </w:t>
      </w:r>
      <w:r w:rsidR="00B83B56" w:rsidRPr="00F467A6">
        <w:rPr>
          <w:b/>
          <w:sz w:val="22"/>
        </w:rPr>
        <w:t xml:space="preserve">3. Česká republika </w:t>
      </w:r>
      <w:r w:rsidR="00B83B56" w:rsidRPr="00F467A6">
        <w:rPr>
          <w:sz w:val="22"/>
        </w:rPr>
        <w:t>(288 mil. €), index 1,63 – 1,65</w:t>
      </w:r>
      <w:r w:rsidR="005930F7" w:rsidRPr="00F467A6">
        <w:rPr>
          <w:b/>
          <w:sz w:val="22"/>
        </w:rPr>
        <w:t xml:space="preserve"> / </w:t>
      </w:r>
      <w:r w:rsidR="00B83B56" w:rsidRPr="00F467A6">
        <w:rPr>
          <w:b/>
          <w:sz w:val="22"/>
        </w:rPr>
        <w:t xml:space="preserve">4. Poľsko </w:t>
      </w:r>
      <w:r w:rsidR="00B83B56" w:rsidRPr="00F467A6">
        <w:rPr>
          <w:sz w:val="22"/>
        </w:rPr>
        <w:t>(286 mil. €), index 1,62 – 1,63</w:t>
      </w:r>
      <w:r w:rsidR="005930F7" w:rsidRPr="00F467A6">
        <w:rPr>
          <w:b/>
          <w:sz w:val="22"/>
        </w:rPr>
        <w:t xml:space="preserve"> / </w:t>
      </w:r>
      <w:r w:rsidR="00B83B56" w:rsidRPr="00F467A6">
        <w:rPr>
          <w:b/>
          <w:sz w:val="22"/>
          <w:u w:val="single"/>
        </w:rPr>
        <w:t xml:space="preserve">5. Slovensko </w:t>
      </w:r>
      <w:r w:rsidR="00B83B56" w:rsidRPr="00F467A6">
        <w:rPr>
          <w:sz w:val="22"/>
          <w:u w:val="single"/>
        </w:rPr>
        <w:t>(175-177 mil. €), index 1</w:t>
      </w:r>
    </w:p>
    <w:p w:rsidR="00B83B56" w:rsidRPr="00F467A6" w:rsidRDefault="00B83B56" w:rsidP="00D95B44">
      <w:pPr>
        <w:pStyle w:val="Normaltext"/>
        <w:numPr>
          <w:ilvl w:val="0"/>
          <w:numId w:val="35"/>
        </w:numPr>
        <w:spacing w:line="276" w:lineRule="auto"/>
        <w:rPr>
          <w:rFonts w:asciiTheme="minorHAnsi" w:hAnsiTheme="minorHAnsi" w:cstheme="minorHAnsi"/>
          <w:b/>
        </w:rPr>
      </w:pPr>
      <w:r w:rsidRPr="00F467A6">
        <w:rPr>
          <w:rFonts w:asciiTheme="minorHAnsi" w:hAnsiTheme="minorHAnsi" w:cstheme="minorHAnsi"/>
          <w:b/>
        </w:rPr>
        <w:t>Náklady systému ETC</w:t>
      </w:r>
    </w:p>
    <w:p w:rsidR="00AB1C55" w:rsidRPr="00F467A6" w:rsidRDefault="00AB1C55" w:rsidP="00F467A6">
      <w:pPr>
        <w:pStyle w:val="tabbielystyl"/>
        <w:spacing w:before="120" w:after="120"/>
        <w:jc w:val="both"/>
        <w:rPr>
          <w:sz w:val="22"/>
        </w:rPr>
      </w:pPr>
      <w:r w:rsidRPr="00F467A6">
        <w:rPr>
          <w:sz w:val="22"/>
        </w:rPr>
        <w:t xml:space="preserve">Z hľadiska nákladov systémov ETC bola zistená najnižšia nominálna úroveň nákladov slovenského systému ETC. </w:t>
      </w:r>
      <w:r w:rsidR="00A24D54" w:rsidRPr="00F467A6">
        <w:rPr>
          <w:sz w:val="22"/>
        </w:rPr>
        <w:t>Takmer šesťnásobne vyššie</w:t>
      </w:r>
      <w:r w:rsidRPr="00F467A6">
        <w:rPr>
          <w:sz w:val="22"/>
        </w:rPr>
        <w:t xml:space="preserve"> náklady </w:t>
      </w:r>
      <w:r w:rsidR="00A24D54" w:rsidRPr="00F467A6">
        <w:rPr>
          <w:sz w:val="22"/>
        </w:rPr>
        <w:t xml:space="preserve">vykazuje systém ETC v Nemecku. Ostatné porovnané systémy ETC majú </w:t>
      </w:r>
      <w:r w:rsidR="00751219">
        <w:rPr>
          <w:sz w:val="22"/>
        </w:rPr>
        <w:t>nominálne vyššie</w:t>
      </w:r>
      <w:r w:rsidR="00A24D54" w:rsidRPr="00F467A6">
        <w:rPr>
          <w:sz w:val="22"/>
        </w:rPr>
        <w:t xml:space="preserve"> náklady na systém, približne </w:t>
      </w:r>
      <w:r w:rsidR="00751219">
        <w:rPr>
          <w:sz w:val="22"/>
        </w:rPr>
        <w:t xml:space="preserve">na úrovni </w:t>
      </w:r>
      <w:r w:rsidR="00A24D54" w:rsidRPr="00F467A6">
        <w:rPr>
          <w:sz w:val="22"/>
        </w:rPr>
        <w:t>1,03 až 1,33-násob</w:t>
      </w:r>
      <w:r w:rsidR="00751219">
        <w:rPr>
          <w:sz w:val="22"/>
        </w:rPr>
        <w:t xml:space="preserve">ku nákladov SR.  </w:t>
      </w:r>
    </w:p>
    <w:p w:rsidR="00B83B56" w:rsidRPr="00F467A6" w:rsidRDefault="000B61DA" w:rsidP="00F467A6">
      <w:pPr>
        <w:pStyle w:val="tabbielystyl"/>
        <w:spacing w:before="120" w:after="120"/>
        <w:ind w:left="2265" w:hanging="2265"/>
        <w:jc w:val="both"/>
        <w:rPr>
          <w:sz w:val="22"/>
        </w:rPr>
      </w:pPr>
      <w:r w:rsidRPr="00F467A6">
        <w:rPr>
          <w:sz w:val="22"/>
        </w:rPr>
        <w:t>Poradie krajín:</w:t>
      </w:r>
      <w:r w:rsidRPr="00F467A6">
        <w:rPr>
          <w:b/>
          <w:sz w:val="22"/>
        </w:rPr>
        <w:t xml:space="preserve"> </w:t>
      </w:r>
      <w:r w:rsidRPr="00F467A6">
        <w:rPr>
          <w:b/>
          <w:sz w:val="22"/>
        </w:rPr>
        <w:tab/>
      </w:r>
      <w:r w:rsidR="00B83B56" w:rsidRPr="00F467A6">
        <w:rPr>
          <w:b/>
          <w:sz w:val="22"/>
          <w:u w:val="single"/>
        </w:rPr>
        <w:t xml:space="preserve">1. Slovensko </w:t>
      </w:r>
      <w:r w:rsidR="00B83B56" w:rsidRPr="00F467A6">
        <w:rPr>
          <w:sz w:val="22"/>
          <w:u w:val="single"/>
        </w:rPr>
        <w:t>(88-93 mil. €), index 1</w:t>
      </w:r>
      <w:r w:rsidR="00C471B1" w:rsidRPr="00F467A6">
        <w:rPr>
          <w:b/>
          <w:sz w:val="22"/>
        </w:rPr>
        <w:t xml:space="preserve"> / </w:t>
      </w:r>
      <w:r w:rsidR="00B83B56" w:rsidRPr="00F467A6">
        <w:rPr>
          <w:b/>
          <w:sz w:val="22"/>
        </w:rPr>
        <w:t xml:space="preserve">2. Česká republika </w:t>
      </w:r>
      <w:r w:rsidR="00B83B56" w:rsidRPr="00F467A6">
        <w:rPr>
          <w:sz w:val="22"/>
        </w:rPr>
        <w:t>(96 mil. €), index 1,03 – 1,06</w:t>
      </w:r>
      <w:r w:rsidR="00C471B1" w:rsidRPr="00F467A6">
        <w:rPr>
          <w:b/>
          <w:sz w:val="22"/>
        </w:rPr>
        <w:t xml:space="preserve"> / </w:t>
      </w:r>
      <w:r w:rsidR="00B83B56" w:rsidRPr="00F467A6">
        <w:rPr>
          <w:b/>
          <w:sz w:val="22"/>
        </w:rPr>
        <w:t xml:space="preserve">3. Rakúsko </w:t>
      </w:r>
      <w:r w:rsidR="00B83B56" w:rsidRPr="00F467A6">
        <w:rPr>
          <w:sz w:val="22"/>
        </w:rPr>
        <w:t>(114 mil. €), index 1,22 – 1,30</w:t>
      </w:r>
      <w:r w:rsidR="00C471B1" w:rsidRPr="00F467A6">
        <w:rPr>
          <w:b/>
          <w:sz w:val="22"/>
        </w:rPr>
        <w:t xml:space="preserve"> / </w:t>
      </w:r>
      <w:r w:rsidR="00B83B56" w:rsidRPr="00F467A6">
        <w:rPr>
          <w:b/>
          <w:sz w:val="22"/>
        </w:rPr>
        <w:t xml:space="preserve">4. Poľsko </w:t>
      </w:r>
      <w:r w:rsidR="00B83B56" w:rsidRPr="00F467A6">
        <w:rPr>
          <w:sz w:val="22"/>
        </w:rPr>
        <w:t>(117 mil. €), index 1,25 – 1,33</w:t>
      </w:r>
      <w:r w:rsidR="00C471B1" w:rsidRPr="00F467A6">
        <w:rPr>
          <w:b/>
          <w:sz w:val="22"/>
        </w:rPr>
        <w:t xml:space="preserve"> / </w:t>
      </w:r>
      <w:r w:rsidR="00B83B56" w:rsidRPr="00F467A6">
        <w:rPr>
          <w:b/>
          <w:sz w:val="22"/>
        </w:rPr>
        <w:t xml:space="preserve">5. Nemecko </w:t>
      </w:r>
      <w:r w:rsidR="00B83B56" w:rsidRPr="00F467A6">
        <w:rPr>
          <w:sz w:val="22"/>
        </w:rPr>
        <w:t>(553 mil. €), index 5,92 – 6,29</w:t>
      </w:r>
    </w:p>
    <w:p w:rsidR="00E76384" w:rsidRDefault="00542C89" w:rsidP="00F467A6">
      <w:pPr>
        <w:pStyle w:val="Normaltext"/>
        <w:spacing w:line="276" w:lineRule="auto"/>
        <w:rPr>
          <w:rFonts w:asciiTheme="minorHAnsi" w:hAnsiTheme="minorHAnsi" w:cstheme="minorHAnsi"/>
        </w:rPr>
      </w:pPr>
      <w:r w:rsidRPr="00E76384">
        <w:rPr>
          <w:rFonts w:asciiTheme="minorHAnsi" w:hAnsiTheme="minorHAnsi" w:cstheme="minorHAnsi"/>
          <w:b/>
        </w:rPr>
        <w:t>Slovenský systém ETC má v porovnaní s ostatnými štátmi tretiu najdlhšiu sieť spoplatnených úsekov ciest s nenulovou sadzbou, najnižšie dopravné intenzity povinných vozidiel</w:t>
      </w:r>
      <w:r w:rsidR="00F467A6" w:rsidRPr="00E76384">
        <w:rPr>
          <w:rFonts w:asciiTheme="minorHAnsi" w:hAnsiTheme="minorHAnsi" w:cstheme="minorHAnsi"/>
          <w:b/>
        </w:rPr>
        <w:t xml:space="preserve">, </w:t>
      </w:r>
      <w:r w:rsidRPr="00E76384">
        <w:rPr>
          <w:rFonts w:asciiTheme="minorHAnsi" w:hAnsiTheme="minorHAnsi" w:cstheme="minorHAnsi"/>
          <w:b/>
        </w:rPr>
        <w:t xml:space="preserve">najnižšie kumulované dopravné výkony </w:t>
      </w:r>
      <w:r w:rsidR="00F467A6" w:rsidRPr="00E76384">
        <w:rPr>
          <w:rFonts w:asciiTheme="minorHAnsi" w:hAnsiTheme="minorHAnsi" w:cstheme="minorHAnsi"/>
          <w:b/>
        </w:rPr>
        <w:t xml:space="preserve">povinných </w:t>
      </w:r>
      <w:r w:rsidRPr="00E76384">
        <w:rPr>
          <w:rFonts w:asciiTheme="minorHAnsi" w:hAnsiTheme="minorHAnsi" w:cstheme="minorHAnsi"/>
          <w:b/>
        </w:rPr>
        <w:t>vozidiel na sieti a</w:t>
      </w:r>
      <w:r w:rsidR="00F467A6" w:rsidRPr="00E76384">
        <w:rPr>
          <w:rFonts w:asciiTheme="minorHAnsi" w:hAnsiTheme="minorHAnsi" w:cstheme="minorHAnsi"/>
          <w:b/>
        </w:rPr>
        <w:t> z hľadiska nominálnej úrov</w:t>
      </w:r>
      <w:r w:rsidR="00A43068">
        <w:rPr>
          <w:rFonts w:asciiTheme="minorHAnsi" w:hAnsiTheme="minorHAnsi" w:cstheme="minorHAnsi"/>
          <w:b/>
        </w:rPr>
        <w:t>ne</w:t>
      </w:r>
      <w:r w:rsidR="00F467A6" w:rsidRPr="00E76384">
        <w:rPr>
          <w:rFonts w:asciiTheme="minorHAnsi" w:hAnsiTheme="minorHAnsi" w:cstheme="minorHAnsi"/>
          <w:b/>
        </w:rPr>
        <w:t xml:space="preserve"> výnosov a nákladov vykazuje </w:t>
      </w:r>
      <w:r w:rsidR="00751219">
        <w:rPr>
          <w:rFonts w:asciiTheme="minorHAnsi" w:hAnsiTheme="minorHAnsi" w:cstheme="minorHAnsi"/>
          <w:b/>
        </w:rPr>
        <w:t xml:space="preserve">systém </w:t>
      </w:r>
      <w:r w:rsidR="00F467A6" w:rsidRPr="00E76384">
        <w:rPr>
          <w:rFonts w:asciiTheme="minorHAnsi" w:hAnsiTheme="minorHAnsi" w:cstheme="minorHAnsi"/>
          <w:b/>
        </w:rPr>
        <w:t>najnižšie výnosy a</w:t>
      </w:r>
      <w:r w:rsidR="00751219">
        <w:rPr>
          <w:rFonts w:asciiTheme="minorHAnsi" w:hAnsiTheme="minorHAnsi" w:cstheme="minorHAnsi"/>
          <w:b/>
        </w:rPr>
        <w:t>j</w:t>
      </w:r>
      <w:r w:rsidR="00F467A6" w:rsidRPr="00E76384">
        <w:rPr>
          <w:rFonts w:asciiTheme="minorHAnsi" w:hAnsiTheme="minorHAnsi" w:cstheme="minorHAnsi"/>
          <w:b/>
        </w:rPr>
        <w:t> najnižšie náklady.</w:t>
      </w:r>
      <w:r w:rsidR="00F467A6">
        <w:rPr>
          <w:rFonts w:asciiTheme="minorHAnsi" w:hAnsiTheme="minorHAnsi" w:cstheme="minorHAnsi"/>
        </w:rPr>
        <w:t xml:space="preserve"> </w:t>
      </w:r>
    </w:p>
    <w:p w:rsidR="00E76384" w:rsidRDefault="00D22F97" w:rsidP="00F467A6">
      <w:pPr>
        <w:pStyle w:val="Normaltext"/>
        <w:spacing w:line="276" w:lineRule="auto"/>
        <w:rPr>
          <w:rFonts w:asciiTheme="minorHAnsi" w:hAnsiTheme="minorHAnsi" w:cstheme="minorHAnsi"/>
        </w:rPr>
      </w:pPr>
      <w:r>
        <w:rPr>
          <w:rFonts w:asciiTheme="minorHAnsi" w:hAnsiTheme="minorHAnsi" w:cstheme="minorHAnsi"/>
        </w:rPr>
        <w:t>Uvedené premenné systému ETC ovplyvňujú jeho celkovú efektívnosť, čo platí aj u ostatných porovnávaných štáto</w:t>
      </w:r>
      <w:r w:rsidR="00E76384">
        <w:rPr>
          <w:rFonts w:asciiTheme="minorHAnsi" w:hAnsiTheme="minorHAnsi" w:cstheme="minorHAnsi"/>
        </w:rPr>
        <w:t>v</w:t>
      </w:r>
      <w:r>
        <w:rPr>
          <w:rFonts w:asciiTheme="minorHAnsi" w:hAnsiTheme="minorHAnsi" w:cstheme="minorHAnsi"/>
        </w:rPr>
        <w:t>. Efektív</w:t>
      </w:r>
      <w:r w:rsidR="00E76384">
        <w:rPr>
          <w:rFonts w:asciiTheme="minorHAnsi" w:hAnsiTheme="minorHAnsi" w:cstheme="minorHAnsi"/>
        </w:rPr>
        <w:t>nosť systémov ETC bola porovnávaná v dvoch úrovniach. Porovnávané boli základné ukazovatele efektívnosti systémov (nákladovosť, výnosovosť) a odvodené ukazovatele efektívnosti systémov (kilometrická efektívnosť a vozokilometrická efektívnosť)</w:t>
      </w:r>
      <w:r w:rsidR="00751219">
        <w:rPr>
          <w:rFonts w:asciiTheme="minorHAnsi" w:hAnsiTheme="minorHAnsi" w:cstheme="minorHAnsi"/>
        </w:rPr>
        <w:t xml:space="preserve"> </w:t>
      </w:r>
      <w:r w:rsidR="00E76384">
        <w:rPr>
          <w:rFonts w:asciiTheme="minorHAnsi" w:hAnsiTheme="minorHAnsi" w:cstheme="minorHAnsi"/>
        </w:rPr>
        <w:t xml:space="preserve">s nasledujúcimi výsledkami: </w:t>
      </w:r>
    </w:p>
    <w:p w:rsidR="00F96704" w:rsidRDefault="00F96704" w:rsidP="00D95B44">
      <w:pPr>
        <w:pStyle w:val="Normaltext"/>
        <w:numPr>
          <w:ilvl w:val="0"/>
          <w:numId w:val="36"/>
        </w:numPr>
        <w:spacing w:line="276" w:lineRule="auto"/>
        <w:ind w:left="2552"/>
        <w:rPr>
          <w:rFonts w:asciiTheme="minorHAnsi" w:hAnsiTheme="minorHAnsi" w:cstheme="minorHAnsi"/>
          <w:b/>
        </w:rPr>
      </w:pPr>
      <w:r w:rsidRPr="000477FA">
        <w:rPr>
          <w:rFonts w:asciiTheme="minorHAnsi" w:hAnsiTheme="minorHAnsi" w:cstheme="minorHAnsi"/>
          <w:b/>
        </w:rPr>
        <w:t>Základné ukazovatele efektívnosti systémov ETC</w:t>
      </w:r>
    </w:p>
    <w:p w:rsidR="00053083" w:rsidRDefault="00053083" w:rsidP="00D95B44">
      <w:pPr>
        <w:pStyle w:val="Normaltext"/>
        <w:numPr>
          <w:ilvl w:val="0"/>
          <w:numId w:val="31"/>
        </w:numPr>
        <w:spacing w:line="276" w:lineRule="auto"/>
        <w:rPr>
          <w:rFonts w:asciiTheme="minorHAnsi" w:hAnsiTheme="minorHAnsi" w:cstheme="minorHAnsi"/>
          <w:b/>
        </w:rPr>
      </w:pPr>
      <w:r w:rsidRPr="00D948F2">
        <w:rPr>
          <w:rFonts w:asciiTheme="minorHAnsi" w:hAnsiTheme="minorHAnsi" w:cstheme="minorHAnsi"/>
          <w:b/>
        </w:rPr>
        <w:t>Nákladovosť</w:t>
      </w:r>
    </w:p>
    <w:p w:rsidR="00D713C7" w:rsidRPr="00D713C7" w:rsidRDefault="00D713C7" w:rsidP="00D713C7">
      <w:pPr>
        <w:pStyle w:val="Normaltext"/>
        <w:spacing w:line="276" w:lineRule="auto"/>
        <w:rPr>
          <w:rFonts w:asciiTheme="minorHAnsi" w:hAnsiTheme="minorHAnsi" w:cstheme="minorHAnsi"/>
        </w:rPr>
      </w:pPr>
      <w:r>
        <w:rPr>
          <w:rFonts w:asciiTheme="minorHAnsi" w:hAnsiTheme="minorHAnsi" w:cstheme="minorHAnsi"/>
        </w:rPr>
        <w:t>Priemerná ročná n</w:t>
      </w:r>
      <w:r w:rsidRPr="00D713C7">
        <w:rPr>
          <w:rFonts w:asciiTheme="minorHAnsi" w:hAnsiTheme="minorHAnsi" w:cstheme="minorHAnsi"/>
        </w:rPr>
        <w:t xml:space="preserve">ákladová výnosnosť </w:t>
      </w:r>
      <w:r>
        <w:rPr>
          <w:rFonts w:asciiTheme="minorHAnsi" w:hAnsiTheme="minorHAnsi" w:cstheme="minorHAnsi"/>
        </w:rPr>
        <w:t>systému ETC je najvyššia v Poľsku a najnižšia v Rakúsku. Slovenský systém ETC vykazuje v poradí druhú najvyššiu nákladovosť, ktorá je v priemere na úrovni 52</w:t>
      </w:r>
      <w:r w:rsidR="0003332A">
        <w:rPr>
          <w:rFonts w:asciiTheme="minorHAnsi" w:hAnsiTheme="minorHAnsi" w:cstheme="minorHAnsi"/>
        </w:rPr>
        <w:t xml:space="preserve">% (údaje prevádzkovateľa systému) až 54% (údaje správcu systému). To znamená, že na 1€ výnosov pripadá 0,52-0,54€ nákladov. </w:t>
      </w:r>
    </w:p>
    <w:p w:rsidR="00E7300C" w:rsidRDefault="00D713C7" w:rsidP="00D713C7">
      <w:pPr>
        <w:pStyle w:val="tabbielystyl"/>
        <w:spacing w:before="0" w:after="0"/>
        <w:ind w:left="2265" w:hanging="2265"/>
        <w:jc w:val="left"/>
      </w:pPr>
      <w:r w:rsidRPr="00D713C7">
        <w:rPr>
          <w:sz w:val="22"/>
        </w:rPr>
        <w:t>Poradie krajín:</w:t>
      </w:r>
      <w:r>
        <w:rPr>
          <w:b/>
          <w:sz w:val="22"/>
        </w:rPr>
        <w:t xml:space="preserve"> </w:t>
      </w:r>
      <w:r>
        <w:rPr>
          <w:b/>
          <w:sz w:val="22"/>
        </w:rPr>
        <w:tab/>
      </w:r>
      <w:r w:rsidR="00E7300C" w:rsidRPr="00C471B1">
        <w:rPr>
          <w:b/>
          <w:sz w:val="22"/>
        </w:rPr>
        <w:t xml:space="preserve">1. Rakúsko </w:t>
      </w:r>
      <w:r w:rsidR="00E7300C" w:rsidRPr="00C471B1">
        <w:rPr>
          <w:sz w:val="22"/>
        </w:rPr>
        <w:t xml:space="preserve">(12%), </w:t>
      </w:r>
      <w:r w:rsidR="00D948F2" w:rsidRPr="00C471B1">
        <w:rPr>
          <w:sz w:val="22"/>
        </w:rPr>
        <w:t>index 0,22 – 0,23</w:t>
      </w:r>
      <w:r w:rsidR="00C471B1" w:rsidRPr="00C471B1">
        <w:rPr>
          <w:b/>
          <w:sz w:val="22"/>
        </w:rPr>
        <w:t xml:space="preserve"> / </w:t>
      </w:r>
      <w:r w:rsidR="00E7300C" w:rsidRPr="00C471B1">
        <w:rPr>
          <w:b/>
          <w:sz w:val="22"/>
        </w:rPr>
        <w:t xml:space="preserve">2. Nemecko </w:t>
      </w:r>
      <w:r w:rsidR="00E7300C" w:rsidRPr="00C471B1">
        <w:rPr>
          <w:sz w:val="22"/>
        </w:rPr>
        <w:t>(15%)</w:t>
      </w:r>
      <w:r w:rsidR="00D948F2" w:rsidRPr="00C471B1">
        <w:rPr>
          <w:sz w:val="22"/>
        </w:rPr>
        <w:t>, index 0,28 – 0,29</w:t>
      </w:r>
      <w:r w:rsidR="00C471B1" w:rsidRPr="00C471B1">
        <w:rPr>
          <w:b/>
          <w:sz w:val="22"/>
        </w:rPr>
        <w:t xml:space="preserve"> / </w:t>
      </w:r>
      <w:r w:rsidR="00E7300C" w:rsidRPr="00C471B1">
        <w:rPr>
          <w:b/>
          <w:sz w:val="22"/>
        </w:rPr>
        <w:t xml:space="preserve">3. Česká republika </w:t>
      </w:r>
      <w:r w:rsidR="00E7300C" w:rsidRPr="00C471B1">
        <w:rPr>
          <w:sz w:val="22"/>
        </w:rPr>
        <w:t>(36%)</w:t>
      </w:r>
      <w:r w:rsidR="00D948F2" w:rsidRPr="00C471B1">
        <w:rPr>
          <w:sz w:val="22"/>
        </w:rPr>
        <w:t>, index 0,68 – 0,70</w:t>
      </w:r>
      <w:r w:rsidR="00C471B1" w:rsidRPr="00C471B1">
        <w:rPr>
          <w:b/>
          <w:sz w:val="22"/>
        </w:rPr>
        <w:t xml:space="preserve"> / </w:t>
      </w:r>
      <w:r w:rsidR="00E7300C" w:rsidRPr="00C471B1">
        <w:rPr>
          <w:b/>
          <w:sz w:val="22"/>
          <w:u w:val="single"/>
        </w:rPr>
        <w:t xml:space="preserve">4. Slovensko </w:t>
      </w:r>
      <w:r w:rsidR="00E7300C" w:rsidRPr="00C471B1">
        <w:rPr>
          <w:sz w:val="22"/>
          <w:u w:val="single"/>
        </w:rPr>
        <w:t>(52-54%)</w:t>
      </w:r>
      <w:r w:rsidR="00D948F2" w:rsidRPr="00C471B1">
        <w:rPr>
          <w:sz w:val="22"/>
          <w:u w:val="single"/>
        </w:rPr>
        <w:t>, index 1</w:t>
      </w:r>
      <w:r w:rsidR="00C471B1" w:rsidRPr="00C471B1">
        <w:rPr>
          <w:b/>
          <w:sz w:val="22"/>
        </w:rPr>
        <w:t xml:space="preserve"> / </w:t>
      </w:r>
      <w:r w:rsidR="00E7300C" w:rsidRPr="00C471B1">
        <w:rPr>
          <w:b/>
        </w:rPr>
        <w:t xml:space="preserve">5. Poľsko </w:t>
      </w:r>
      <w:r w:rsidR="00E7300C" w:rsidRPr="00C471B1">
        <w:t>(58%)</w:t>
      </w:r>
      <w:r w:rsidR="00D948F2" w:rsidRPr="00C471B1">
        <w:t>, index 1,08 – 1,12</w:t>
      </w:r>
    </w:p>
    <w:p w:rsidR="0003332A" w:rsidRPr="00C471B1" w:rsidRDefault="0003332A" w:rsidP="00D713C7">
      <w:pPr>
        <w:pStyle w:val="tabbielystyl"/>
        <w:spacing w:before="0" w:after="0"/>
        <w:ind w:left="2265" w:hanging="2265"/>
        <w:jc w:val="left"/>
        <w:rPr>
          <w:b/>
        </w:rPr>
      </w:pPr>
    </w:p>
    <w:p w:rsidR="00E7300C" w:rsidRPr="00D948F2" w:rsidRDefault="00E7300C" w:rsidP="00D95B44">
      <w:pPr>
        <w:pStyle w:val="Normaltext"/>
        <w:numPr>
          <w:ilvl w:val="0"/>
          <w:numId w:val="31"/>
        </w:numPr>
        <w:spacing w:line="276" w:lineRule="auto"/>
        <w:rPr>
          <w:rFonts w:asciiTheme="minorHAnsi" w:hAnsiTheme="minorHAnsi" w:cstheme="minorHAnsi"/>
          <w:b/>
        </w:rPr>
      </w:pPr>
      <w:r w:rsidRPr="00D948F2">
        <w:rPr>
          <w:rFonts w:asciiTheme="minorHAnsi" w:hAnsiTheme="minorHAnsi" w:cstheme="minorHAnsi"/>
          <w:b/>
        </w:rPr>
        <w:t>Výnosovosť</w:t>
      </w:r>
    </w:p>
    <w:p w:rsidR="00E7300C" w:rsidRDefault="00D713C7" w:rsidP="00E7300C">
      <w:pPr>
        <w:pStyle w:val="Normaltext"/>
        <w:spacing w:line="276" w:lineRule="auto"/>
        <w:rPr>
          <w:rFonts w:asciiTheme="minorHAnsi" w:hAnsiTheme="minorHAnsi" w:cstheme="minorHAnsi"/>
        </w:rPr>
      </w:pPr>
      <w:r>
        <w:rPr>
          <w:rFonts w:asciiTheme="minorHAnsi" w:hAnsiTheme="minorHAnsi" w:cstheme="minorHAnsi"/>
        </w:rPr>
        <w:t xml:space="preserve">Priemerná ročná nákladová efektívnosť je najnižšia na Slovensku a najvyššia v Rakúsku, resp. v Nemecku </w:t>
      </w:r>
      <w:r w:rsidR="0003332A">
        <w:rPr>
          <w:rFonts w:asciiTheme="minorHAnsi" w:hAnsiTheme="minorHAnsi" w:cstheme="minorHAnsi"/>
        </w:rPr>
        <w:t>(</w:t>
      </w:r>
      <w:r>
        <w:rPr>
          <w:rFonts w:asciiTheme="minorHAnsi" w:hAnsiTheme="minorHAnsi" w:cstheme="minorHAnsi"/>
        </w:rPr>
        <w:t xml:space="preserve">vzhľadom na </w:t>
      </w:r>
      <w:r w:rsidR="0003332A">
        <w:rPr>
          <w:rFonts w:asciiTheme="minorHAnsi" w:hAnsiTheme="minorHAnsi" w:cstheme="minorHAnsi"/>
        </w:rPr>
        <w:t xml:space="preserve">orientačnú </w:t>
      </w:r>
      <w:r>
        <w:rPr>
          <w:rFonts w:asciiTheme="minorHAnsi" w:hAnsiTheme="minorHAnsi" w:cstheme="minorHAnsi"/>
        </w:rPr>
        <w:t xml:space="preserve">paušálnu výšku nákladov </w:t>
      </w:r>
      <w:r w:rsidR="0003332A">
        <w:rPr>
          <w:rFonts w:asciiTheme="minorHAnsi" w:hAnsiTheme="minorHAnsi" w:cstheme="minorHAnsi"/>
        </w:rPr>
        <w:t xml:space="preserve">rakúskeho systému </w:t>
      </w:r>
      <w:r>
        <w:rPr>
          <w:rFonts w:asciiTheme="minorHAnsi" w:hAnsiTheme="minorHAnsi" w:cstheme="minorHAnsi"/>
        </w:rPr>
        <w:t>12% z výnosov systému</w:t>
      </w:r>
      <w:r w:rsidR="0003332A">
        <w:rPr>
          <w:rFonts w:asciiTheme="minorHAnsi" w:hAnsiTheme="minorHAnsi" w:cstheme="minorHAnsi"/>
        </w:rPr>
        <w:t>)</w:t>
      </w:r>
      <w:r>
        <w:rPr>
          <w:rFonts w:asciiTheme="minorHAnsi" w:hAnsiTheme="minorHAnsi" w:cstheme="minorHAnsi"/>
        </w:rPr>
        <w:t xml:space="preserve">. </w:t>
      </w:r>
      <w:r w:rsidR="0003332A">
        <w:rPr>
          <w:rFonts w:asciiTheme="minorHAnsi" w:hAnsiTheme="minorHAnsi" w:cstheme="minorHAnsi"/>
        </w:rPr>
        <w:t xml:space="preserve">Priemerná ročná výnosovosť </w:t>
      </w:r>
      <w:r w:rsidR="00DC5C4A">
        <w:rPr>
          <w:rFonts w:asciiTheme="minorHAnsi" w:hAnsiTheme="minorHAnsi" w:cstheme="minorHAnsi"/>
        </w:rPr>
        <w:t xml:space="preserve">slovenského </w:t>
      </w:r>
      <w:r w:rsidR="0003332A">
        <w:rPr>
          <w:rFonts w:asciiTheme="minorHAnsi" w:hAnsiTheme="minorHAnsi" w:cstheme="minorHAnsi"/>
        </w:rPr>
        <w:t>systému ETC je podľa údajov prevádzkovateľa systému na úrovni 2,15 a podľa údajov správcu systému na úrovni 1,9. Z uvedeného vyplýva, že na 1€ nákladov systému pripadá 1,9-2,15 € výnosov.</w:t>
      </w:r>
    </w:p>
    <w:p w:rsidR="00D948F2" w:rsidRPr="00C471B1" w:rsidRDefault="00D713C7" w:rsidP="00D713C7">
      <w:pPr>
        <w:pStyle w:val="Normaltext"/>
        <w:spacing w:line="276" w:lineRule="auto"/>
        <w:ind w:left="2265" w:hanging="2265"/>
        <w:rPr>
          <w:rFonts w:asciiTheme="minorHAnsi" w:hAnsiTheme="minorHAnsi" w:cstheme="minorHAnsi"/>
          <w:b/>
          <w:lang w:eastAsia="sk-SK"/>
        </w:rPr>
      </w:pPr>
      <w:r w:rsidRPr="00D713C7">
        <w:t>Poradie krajín:</w:t>
      </w:r>
      <w:r>
        <w:t xml:space="preserve"> </w:t>
      </w:r>
      <w:r>
        <w:tab/>
      </w:r>
      <w:r w:rsidR="00D948F2" w:rsidRPr="00C471B1">
        <w:rPr>
          <w:b/>
        </w:rPr>
        <w:t xml:space="preserve">1. Rakúsko </w:t>
      </w:r>
      <w:r w:rsidR="00D948F2" w:rsidRPr="00C471B1">
        <w:t>(8,33), index 3,87 – 4,38</w:t>
      </w:r>
      <w:r w:rsidR="00C471B1" w:rsidRPr="00C471B1">
        <w:rPr>
          <w:b/>
        </w:rPr>
        <w:t xml:space="preserve"> / </w:t>
      </w:r>
      <w:r w:rsidR="00D948F2" w:rsidRPr="00C471B1">
        <w:rPr>
          <w:b/>
        </w:rPr>
        <w:t xml:space="preserve">2. Nemecko  </w:t>
      </w:r>
      <w:r w:rsidR="00D948F2" w:rsidRPr="00C471B1">
        <w:t>(7,03), index 3,26 – 3,69</w:t>
      </w:r>
      <w:r w:rsidR="00C471B1" w:rsidRPr="00C471B1">
        <w:rPr>
          <w:b/>
        </w:rPr>
        <w:t xml:space="preserve"> / </w:t>
      </w:r>
      <w:r>
        <w:rPr>
          <w:b/>
        </w:rPr>
        <w:t>3. </w:t>
      </w:r>
      <w:r w:rsidR="00D948F2" w:rsidRPr="00C471B1">
        <w:rPr>
          <w:b/>
        </w:rPr>
        <w:t xml:space="preserve">Česká republika </w:t>
      </w:r>
      <w:r w:rsidR="00D948F2" w:rsidRPr="00C471B1">
        <w:t>(3,55), index 1,65 – 1,86</w:t>
      </w:r>
      <w:r w:rsidR="00C471B1" w:rsidRPr="00C471B1">
        <w:rPr>
          <w:b/>
        </w:rPr>
        <w:t xml:space="preserve"> / </w:t>
      </w:r>
      <w:r w:rsidR="00D948F2" w:rsidRPr="00C471B1">
        <w:rPr>
          <w:b/>
        </w:rPr>
        <w:t xml:space="preserve">4. Poľsko </w:t>
      </w:r>
      <w:r w:rsidR="00D948F2" w:rsidRPr="00C471B1">
        <w:t>(2,89), index 1,34 – 1,52</w:t>
      </w:r>
      <w:r w:rsidR="00C471B1" w:rsidRPr="00C471B1">
        <w:rPr>
          <w:b/>
        </w:rPr>
        <w:t xml:space="preserve"> / </w:t>
      </w:r>
      <w:r w:rsidR="00D948F2" w:rsidRPr="00C471B1">
        <w:rPr>
          <w:rFonts w:asciiTheme="minorHAnsi" w:hAnsiTheme="minorHAnsi" w:cstheme="minorHAnsi"/>
          <w:b/>
          <w:u w:val="single"/>
          <w:lang w:eastAsia="sk-SK"/>
        </w:rPr>
        <w:t xml:space="preserve">5. Slovensko </w:t>
      </w:r>
      <w:r w:rsidR="00D948F2" w:rsidRPr="00C471B1">
        <w:rPr>
          <w:rFonts w:asciiTheme="minorHAnsi" w:hAnsiTheme="minorHAnsi" w:cstheme="minorHAnsi"/>
          <w:u w:val="single"/>
          <w:lang w:eastAsia="sk-SK"/>
        </w:rPr>
        <w:t>(1,9-2,15), index 1</w:t>
      </w:r>
    </w:p>
    <w:p w:rsidR="00751219" w:rsidRDefault="005430B1" w:rsidP="00053083">
      <w:pPr>
        <w:pStyle w:val="Normaltext"/>
        <w:spacing w:line="276" w:lineRule="auto"/>
        <w:rPr>
          <w:rFonts w:asciiTheme="minorHAnsi" w:hAnsiTheme="minorHAnsi" w:cstheme="minorHAnsi"/>
          <w:b/>
        </w:rPr>
      </w:pPr>
      <w:r>
        <w:rPr>
          <w:rFonts w:asciiTheme="minorHAnsi" w:hAnsiTheme="minorHAnsi" w:cstheme="minorHAnsi"/>
          <w:b/>
        </w:rPr>
        <w:t>Aj n</w:t>
      </w:r>
      <w:r w:rsidR="00D713C7" w:rsidRPr="00D713C7">
        <w:rPr>
          <w:rFonts w:asciiTheme="minorHAnsi" w:hAnsiTheme="minorHAnsi" w:cstheme="minorHAnsi"/>
          <w:b/>
        </w:rPr>
        <w:t xml:space="preserve">apriek najnižšej nominálnej úrovni nákladov vykazuje slovenský systém ETC </w:t>
      </w:r>
      <w:r w:rsidR="0069035D">
        <w:rPr>
          <w:rFonts w:asciiTheme="minorHAnsi" w:hAnsiTheme="minorHAnsi" w:cstheme="minorHAnsi"/>
          <w:b/>
        </w:rPr>
        <w:t>nízku</w:t>
      </w:r>
      <w:r>
        <w:rPr>
          <w:rFonts w:asciiTheme="minorHAnsi" w:hAnsiTheme="minorHAnsi" w:cstheme="minorHAnsi"/>
          <w:b/>
        </w:rPr>
        <w:t xml:space="preserve"> a v prípade výnosovosti najnižšiu</w:t>
      </w:r>
      <w:r w:rsidR="0069035D">
        <w:rPr>
          <w:rFonts w:asciiTheme="minorHAnsi" w:hAnsiTheme="minorHAnsi" w:cstheme="minorHAnsi"/>
          <w:b/>
        </w:rPr>
        <w:t xml:space="preserve"> </w:t>
      </w:r>
      <w:r w:rsidR="0069035D" w:rsidRPr="00D713C7">
        <w:rPr>
          <w:rFonts w:asciiTheme="minorHAnsi" w:hAnsiTheme="minorHAnsi" w:cstheme="minorHAnsi"/>
          <w:b/>
        </w:rPr>
        <w:t>úroveň efektívnosti</w:t>
      </w:r>
      <w:r w:rsidR="00DC5C4A">
        <w:rPr>
          <w:rFonts w:asciiTheme="minorHAnsi" w:hAnsiTheme="minorHAnsi" w:cstheme="minorHAnsi"/>
          <w:b/>
        </w:rPr>
        <w:t>.</w:t>
      </w:r>
      <w:r>
        <w:rPr>
          <w:rFonts w:asciiTheme="minorHAnsi" w:hAnsiTheme="minorHAnsi" w:cstheme="minorHAnsi"/>
          <w:b/>
        </w:rPr>
        <w:t xml:space="preserve"> Hlavným dôvodom je skutočnosť</w:t>
      </w:r>
      <w:r w:rsidR="00DC5C4A">
        <w:rPr>
          <w:rFonts w:asciiTheme="minorHAnsi" w:hAnsiTheme="minorHAnsi" w:cstheme="minorHAnsi"/>
          <w:b/>
        </w:rPr>
        <w:t xml:space="preserve">, že úroveň výnosov </w:t>
      </w:r>
      <w:r>
        <w:rPr>
          <w:rFonts w:asciiTheme="minorHAnsi" w:hAnsiTheme="minorHAnsi" w:cstheme="minorHAnsi"/>
          <w:b/>
        </w:rPr>
        <w:t xml:space="preserve">z elektronického výberu mýta je na Slovensku </w:t>
      </w:r>
      <w:r w:rsidR="002E367D">
        <w:rPr>
          <w:rFonts w:asciiTheme="minorHAnsi" w:hAnsiTheme="minorHAnsi" w:cstheme="minorHAnsi"/>
          <w:b/>
        </w:rPr>
        <w:t xml:space="preserve">najnižšia, v porovnaní s ostatnými štátmi s najnižšou efektívnosťou (Česká republika, Poľsko) </w:t>
      </w:r>
      <w:r>
        <w:rPr>
          <w:rFonts w:asciiTheme="minorHAnsi" w:hAnsiTheme="minorHAnsi" w:cstheme="minorHAnsi"/>
          <w:b/>
        </w:rPr>
        <w:t>min. 1,6-násobne nižšia</w:t>
      </w:r>
      <w:r w:rsidR="002E367D">
        <w:rPr>
          <w:rFonts w:asciiTheme="minorHAnsi" w:hAnsiTheme="minorHAnsi" w:cstheme="minorHAnsi"/>
          <w:b/>
        </w:rPr>
        <w:t xml:space="preserve">. </w:t>
      </w:r>
    </w:p>
    <w:p w:rsidR="004D4959" w:rsidRDefault="00C61C4F" w:rsidP="00053083">
      <w:pPr>
        <w:pStyle w:val="Normaltext"/>
        <w:spacing w:line="276" w:lineRule="auto"/>
        <w:rPr>
          <w:rFonts w:asciiTheme="minorHAnsi" w:hAnsiTheme="minorHAnsi" w:cstheme="minorHAnsi"/>
        </w:rPr>
      </w:pPr>
      <w:r>
        <w:rPr>
          <w:rFonts w:asciiTheme="minorHAnsi" w:hAnsiTheme="minorHAnsi" w:cstheme="minorHAnsi"/>
        </w:rPr>
        <w:t xml:space="preserve"> </w:t>
      </w:r>
    </w:p>
    <w:p w:rsidR="00053083" w:rsidRDefault="00053083" w:rsidP="00D95B44">
      <w:pPr>
        <w:pStyle w:val="Normaltext"/>
        <w:numPr>
          <w:ilvl w:val="0"/>
          <w:numId w:val="36"/>
        </w:numPr>
        <w:spacing w:line="276" w:lineRule="auto"/>
        <w:jc w:val="center"/>
        <w:rPr>
          <w:rFonts w:asciiTheme="minorHAnsi" w:hAnsiTheme="minorHAnsi" w:cstheme="minorHAnsi"/>
        </w:rPr>
      </w:pPr>
      <w:r w:rsidRPr="00A96C0A">
        <w:rPr>
          <w:rFonts w:asciiTheme="minorHAnsi" w:hAnsiTheme="minorHAnsi" w:cstheme="minorHAnsi"/>
          <w:b/>
        </w:rPr>
        <w:t>Odvodené ukazovatele efektívnosti systémov ETC</w:t>
      </w:r>
    </w:p>
    <w:p w:rsidR="004D4959" w:rsidRPr="00C471B1" w:rsidRDefault="004D4959" w:rsidP="00D95B44">
      <w:pPr>
        <w:pStyle w:val="Normaltext"/>
        <w:numPr>
          <w:ilvl w:val="0"/>
          <w:numId w:val="32"/>
        </w:numPr>
        <w:spacing w:line="276" w:lineRule="auto"/>
        <w:rPr>
          <w:rFonts w:asciiTheme="minorHAnsi" w:hAnsiTheme="minorHAnsi" w:cstheme="minorHAnsi"/>
          <w:b/>
        </w:rPr>
      </w:pPr>
      <w:r w:rsidRPr="00C471B1">
        <w:rPr>
          <w:rFonts w:asciiTheme="minorHAnsi" w:hAnsiTheme="minorHAnsi" w:cstheme="minorHAnsi"/>
          <w:b/>
        </w:rPr>
        <w:t>Kilometrická efektívnosť</w:t>
      </w:r>
    </w:p>
    <w:p w:rsidR="00C471B1" w:rsidRDefault="00C471B1" w:rsidP="00C471B1">
      <w:pPr>
        <w:pStyle w:val="Normaltext"/>
        <w:spacing w:line="276" w:lineRule="auto"/>
        <w:rPr>
          <w:rFonts w:asciiTheme="minorHAnsi" w:hAnsiTheme="minorHAnsi" w:cstheme="minorHAnsi"/>
          <w:lang w:eastAsia="sk-SK"/>
        </w:rPr>
      </w:pPr>
      <w:r w:rsidRPr="00C471B1">
        <w:rPr>
          <w:rFonts w:asciiTheme="minorHAnsi" w:hAnsiTheme="minorHAnsi" w:cstheme="minorHAnsi"/>
          <w:lang w:eastAsia="sk-SK"/>
        </w:rPr>
        <w:t xml:space="preserve">Parameter dĺžky siete ovplyvňuje výnosovú aj nákladovú stránku efektívnosti systému. Dlhšia spoplatnená sieť produkuje vyššie výnosy z výberu mýta </w:t>
      </w:r>
      <w:r w:rsidR="005F12ED">
        <w:rPr>
          <w:rFonts w:asciiTheme="minorHAnsi" w:hAnsiTheme="minorHAnsi" w:cstheme="minorHAnsi"/>
          <w:lang w:eastAsia="sk-SK"/>
        </w:rPr>
        <w:t xml:space="preserve">(v závislosti od intenzít vozidiel) </w:t>
      </w:r>
      <w:r w:rsidRPr="00C471B1">
        <w:rPr>
          <w:rFonts w:asciiTheme="minorHAnsi" w:hAnsiTheme="minorHAnsi" w:cstheme="minorHAnsi"/>
          <w:lang w:eastAsia="sk-SK"/>
        </w:rPr>
        <w:t xml:space="preserve">ale súčasne spotrebúva vyššie náklady na vybudovanie a prevádzku systému. Táto úroveň pomerov výnosov a nákladov systému k dĺžke siete bola vyjadrená prostredníctvom odvodených ukazovateľov efektívnosti - </w:t>
      </w:r>
      <w:r w:rsidRPr="00C471B1">
        <w:rPr>
          <w:rFonts w:asciiTheme="minorHAnsi" w:hAnsiTheme="minorHAnsi" w:cstheme="minorHAnsi"/>
          <w:i/>
          <w:lang w:eastAsia="sk-SK"/>
        </w:rPr>
        <w:t>kilometrické výnosy</w:t>
      </w:r>
      <w:r w:rsidRPr="00C471B1">
        <w:rPr>
          <w:rFonts w:asciiTheme="minorHAnsi" w:hAnsiTheme="minorHAnsi" w:cstheme="minorHAnsi"/>
          <w:lang w:eastAsia="sk-SK"/>
        </w:rPr>
        <w:t xml:space="preserve"> a </w:t>
      </w:r>
      <w:r w:rsidRPr="00C471B1">
        <w:rPr>
          <w:rFonts w:asciiTheme="minorHAnsi" w:hAnsiTheme="minorHAnsi" w:cstheme="minorHAnsi"/>
          <w:i/>
          <w:lang w:eastAsia="sk-SK"/>
        </w:rPr>
        <w:t>kilometrické náklady</w:t>
      </w:r>
      <w:r w:rsidRPr="00C471B1">
        <w:rPr>
          <w:rFonts w:asciiTheme="minorHAnsi" w:hAnsiTheme="minorHAnsi" w:cstheme="minorHAnsi"/>
          <w:lang w:eastAsia="sk-SK"/>
        </w:rPr>
        <w:t>.</w:t>
      </w:r>
    </w:p>
    <w:p w:rsidR="00E7300C" w:rsidRDefault="00E7300C" w:rsidP="00D95B44">
      <w:pPr>
        <w:pStyle w:val="Normaltext"/>
        <w:numPr>
          <w:ilvl w:val="0"/>
          <w:numId w:val="33"/>
        </w:numPr>
        <w:spacing w:line="276" w:lineRule="auto"/>
        <w:ind w:left="1843"/>
        <w:jc w:val="left"/>
        <w:rPr>
          <w:rFonts w:asciiTheme="minorHAnsi" w:hAnsiTheme="minorHAnsi" w:cstheme="minorHAnsi"/>
          <w:b/>
        </w:rPr>
      </w:pPr>
      <w:r w:rsidRPr="00D948F2">
        <w:rPr>
          <w:rFonts w:asciiTheme="minorHAnsi" w:hAnsiTheme="minorHAnsi" w:cstheme="minorHAnsi"/>
          <w:b/>
        </w:rPr>
        <w:t xml:space="preserve">Kilometrické výnosy </w:t>
      </w:r>
    </w:p>
    <w:p w:rsidR="00AA6962" w:rsidRPr="00AA6962" w:rsidRDefault="00AA6962" w:rsidP="00AA6962">
      <w:pPr>
        <w:pStyle w:val="Normaltext"/>
        <w:spacing w:line="276" w:lineRule="auto"/>
        <w:rPr>
          <w:rFonts w:asciiTheme="minorHAnsi" w:hAnsiTheme="minorHAnsi" w:cstheme="minorHAnsi"/>
        </w:rPr>
      </w:pPr>
      <w:r>
        <w:rPr>
          <w:rFonts w:asciiTheme="minorHAnsi" w:hAnsiTheme="minorHAnsi" w:cstheme="minorHAnsi"/>
        </w:rPr>
        <w:t xml:space="preserve">Priemerné ročné kilometrické výnosy systému ETC sú najvyššie v Rakúsku a najnižšie na Slovensku, a to aj napriek dlhšej sieti vymedzených úsekov spoplatnených nenulovou sadzbou v SR ako </w:t>
      </w:r>
      <w:r w:rsidR="00F67C34">
        <w:rPr>
          <w:rFonts w:asciiTheme="minorHAnsi" w:hAnsiTheme="minorHAnsi" w:cstheme="minorHAnsi"/>
        </w:rPr>
        <w:t>v Rakúsku a Českej republike.</w:t>
      </w:r>
      <w:r>
        <w:rPr>
          <w:rFonts w:asciiTheme="minorHAnsi" w:hAnsiTheme="minorHAnsi" w:cstheme="minorHAnsi"/>
        </w:rPr>
        <w:t xml:space="preserve"> Na jeden kilometer siete pripadá na Slovensku výnos 79,7-80,3 tis. €, v ostatných  </w:t>
      </w:r>
      <w:r w:rsidR="00F67C34">
        <w:rPr>
          <w:rFonts w:asciiTheme="minorHAnsi" w:hAnsiTheme="minorHAnsi" w:cstheme="minorHAnsi"/>
        </w:rPr>
        <w:t>krajinách je tento výnos min.</w:t>
      </w:r>
      <w:r w:rsidR="00F70A83">
        <w:rPr>
          <w:rFonts w:asciiTheme="minorHAnsi" w:hAnsiTheme="minorHAnsi" w:cstheme="minorHAnsi"/>
        </w:rPr>
        <w:t xml:space="preserve"> 1,3 až 5,6-násobne vyšší. Z hľadiska tohto ukazovateľa možno hovoriť o najnižšej efektívnosti slovenského systému ETC. </w:t>
      </w:r>
    </w:p>
    <w:p w:rsidR="00D948F2" w:rsidRPr="00C471B1" w:rsidRDefault="002E367D" w:rsidP="002E367D">
      <w:pPr>
        <w:pStyle w:val="Normaltext"/>
        <w:spacing w:before="0" w:after="0" w:line="276" w:lineRule="auto"/>
        <w:ind w:left="2265" w:hanging="2265"/>
        <w:contextualSpacing/>
        <w:rPr>
          <w:rFonts w:asciiTheme="minorHAnsi" w:hAnsiTheme="minorHAnsi" w:cstheme="minorHAnsi"/>
          <w:b/>
          <w:lang w:eastAsia="sk-SK"/>
        </w:rPr>
      </w:pPr>
      <w:r w:rsidRPr="002E367D">
        <w:rPr>
          <w:rFonts w:asciiTheme="minorHAnsi" w:hAnsiTheme="minorHAnsi" w:cstheme="minorHAnsi"/>
          <w:lang w:eastAsia="sk-SK"/>
        </w:rPr>
        <w:t xml:space="preserve">Poradie </w:t>
      </w:r>
      <w:r>
        <w:rPr>
          <w:rFonts w:asciiTheme="minorHAnsi" w:hAnsiTheme="minorHAnsi" w:cstheme="minorHAnsi"/>
          <w:lang w:eastAsia="sk-SK"/>
        </w:rPr>
        <w:t>krajín</w:t>
      </w:r>
      <w:r w:rsidRPr="002E367D">
        <w:rPr>
          <w:rFonts w:asciiTheme="minorHAnsi" w:hAnsiTheme="minorHAnsi" w:cstheme="minorHAnsi"/>
          <w:lang w:eastAsia="sk-SK"/>
        </w:rPr>
        <w:t>:</w:t>
      </w:r>
      <w:r>
        <w:rPr>
          <w:rFonts w:asciiTheme="minorHAnsi" w:hAnsiTheme="minorHAnsi" w:cstheme="minorHAnsi"/>
          <w:b/>
          <w:lang w:eastAsia="sk-SK"/>
        </w:rPr>
        <w:tab/>
      </w:r>
      <w:r w:rsidR="00D948F2" w:rsidRPr="00C471B1">
        <w:rPr>
          <w:rFonts w:asciiTheme="minorHAnsi" w:hAnsiTheme="minorHAnsi" w:cstheme="minorHAnsi"/>
          <w:b/>
          <w:lang w:eastAsia="sk-SK"/>
        </w:rPr>
        <w:t xml:space="preserve">1. Rakúsko </w:t>
      </w:r>
      <w:r w:rsidR="00D948F2" w:rsidRPr="00C471B1">
        <w:rPr>
          <w:rFonts w:asciiTheme="minorHAnsi" w:hAnsiTheme="minorHAnsi" w:cstheme="minorHAnsi"/>
          <w:lang w:eastAsia="sk-SK"/>
        </w:rPr>
        <w:t>(451 tis. €/km), index 5,61 – 5,66</w:t>
      </w:r>
      <w:r w:rsidR="00C471B1" w:rsidRPr="00C471B1">
        <w:rPr>
          <w:rFonts w:asciiTheme="minorHAnsi" w:hAnsiTheme="minorHAnsi" w:cstheme="minorHAnsi"/>
          <w:lang w:eastAsia="sk-SK"/>
        </w:rPr>
        <w:t xml:space="preserve"> </w:t>
      </w:r>
      <w:r w:rsidR="00C471B1" w:rsidRPr="00C471B1">
        <w:rPr>
          <w:rFonts w:asciiTheme="minorHAnsi" w:hAnsiTheme="minorHAnsi" w:cstheme="minorHAnsi"/>
          <w:b/>
          <w:lang w:eastAsia="sk-SK"/>
        </w:rPr>
        <w:t xml:space="preserve">/ </w:t>
      </w:r>
      <w:r w:rsidR="00D948F2" w:rsidRPr="00C471B1">
        <w:rPr>
          <w:rFonts w:asciiTheme="minorHAnsi" w:hAnsiTheme="minorHAnsi" w:cstheme="minorHAnsi"/>
          <w:b/>
          <w:lang w:eastAsia="sk-SK"/>
        </w:rPr>
        <w:t xml:space="preserve">2. Nemecko  </w:t>
      </w:r>
      <w:r w:rsidR="00D948F2" w:rsidRPr="00C471B1">
        <w:rPr>
          <w:rFonts w:asciiTheme="minorHAnsi" w:hAnsiTheme="minorHAnsi" w:cstheme="minorHAnsi"/>
          <w:lang w:eastAsia="sk-SK"/>
        </w:rPr>
        <w:t>(296 tis. €/km), index 3,68 – 3,71</w:t>
      </w:r>
      <w:r w:rsidR="00C471B1" w:rsidRPr="00C471B1">
        <w:rPr>
          <w:rFonts w:asciiTheme="minorHAnsi" w:hAnsiTheme="minorHAnsi" w:cstheme="minorHAnsi"/>
          <w:b/>
          <w:lang w:eastAsia="sk-SK"/>
        </w:rPr>
        <w:t xml:space="preserve"> / </w:t>
      </w:r>
      <w:r w:rsidR="00D948F2" w:rsidRPr="00C471B1">
        <w:rPr>
          <w:rFonts w:asciiTheme="minorHAnsi" w:hAnsiTheme="minorHAnsi" w:cstheme="minorHAnsi"/>
          <w:b/>
          <w:lang w:eastAsia="sk-SK"/>
        </w:rPr>
        <w:t>3. Česká rep</w:t>
      </w:r>
      <w:r w:rsidR="00C471B1">
        <w:rPr>
          <w:rFonts w:asciiTheme="minorHAnsi" w:hAnsiTheme="minorHAnsi" w:cstheme="minorHAnsi"/>
          <w:b/>
          <w:lang w:eastAsia="sk-SK"/>
        </w:rPr>
        <w:t>ublika</w:t>
      </w:r>
      <w:r w:rsidR="00D948F2" w:rsidRPr="00C471B1">
        <w:rPr>
          <w:rFonts w:asciiTheme="minorHAnsi" w:hAnsiTheme="minorHAnsi" w:cstheme="minorHAnsi"/>
          <w:b/>
          <w:lang w:eastAsia="sk-SK"/>
        </w:rPr>
        <w:t xml:space="preserve"> </w:t>
      </w:r>
      <w:r w:rsidR="00D948F2" w:rsidRPr="00C471B1">
        <w:rPr>
          <w:rFonts w:asciiTheme="minorHAnsi" w:hAnsiTheme="minorHAnsi" w:cstheme="minorHAnsi"/>
          <w:lang w:eastAsia="sk-SK"/>
        </w:rPr>
        <w:t>(217 tis. €/km), index 2,70 – 2,72</w:t>
      </w:r>
      <w:r w:rsidR="00C471B1" w:rsidRPr="00C471B1">
        <w:rPr>
          <w:rFonts w:asciiTheme="minorHAnsi" w:hAnsiTheme="minorHAnsi" w:cstheme="minorHAnsi"/>
          <w:b/>
          <w:lang w:eastAsia="sk-SK"/>
        </w:rPr>
        <w:t xml:space="preserve"> / </w:t>
      </w:r>
      <w:r w:rsidR="00D948F2" w:rsidRPr="00C471B1">
        <w:rPr>
          <w:rFonts w:asciiTheme="minorHAnsi" w:hAnsiTheme="minorHAnsi" w:cstheme="minorHAnsi"/>
          <w:b/>
          <w:lang w:eastAsia="sk-SK"/>
        </w:rPr>
        <w:t xml:space="preserve">4. Poľsko </w:t>
      </w:r>
      <w:r w:rsidR="00D948F2" w:rsidRPr="00C471B1">
        <w:rPr>
          <w:rFonts w:asciiTheme="minorHAnsi" w:hAnsiTheme="minorHAnsi" w:cstheme="minorHAnsi"/>
          <w:lang w:eastAsia="sk-SK"/>
        </w:rPr>
        <w:t xml:space="preserve">(102,7 tis. €/km), index 1,28 – </w:t>
      </w:r>
      <w:r w:rsidR="00F67C34">
        <w:rPr>
          <w:rFonts w:asciiTheme="minorHAnsi" w:hAnsiTheme="minorHAnsi" w:cstheme="minorHAnsi"/>
          <w:lang w:eastAsia="sk-SK"/>
        </w:rPr>
        <w:t>1,29</w:t>
      </w:r>
      <w:r w:rsidR="00C471B1" w:rsidRPr="00C471B1">
        <w:rPr>
          <w:rFonts w:asciiTheme="minorHAnsi" w:hAnsiTheme="minorHAnsi" w:cstheme="minorHAnsi"/>
          <w:b/>
          <w:lang w:eastAsia="sk-SK"/>
        </w:rPr>
        <w:t xml:space="preserve"> / </w:t>
      </w:r>
      <w:r w:rsidR="00D948F2" w:rsidRPr="00C471B1">
        <w:rPr>
          <w:rFonts w:asciiTheme="minorHAnsi" w:hAnsiTheme="minorHAnsi" w:cstheme="minorHAnsi"/>
          <w:b/>
          <w:u w:val="single"/>
          <w:lang w:eastAsia="sk-SK"/>
        </w:rPr>
        <w:t xml:space="preserve">5. Slovensko </w:t>
      </w:r>
      <w:r w:rsidR="00D948F2" w:rsidRPr="00C471B1">
        <w:rPr>
          <w:rFonts w:asciiTheme="minorHAnsi" w:hAnsiTheme="minorHAnsi" w:cstheme="minorHAnsi"/>
          <w:u w:val="single"/>
          <w:lang w:eastAsia="sk-SK"/>
        </w:rPr>
        <w:t>(79,7- 80,3 tis. €/km), index 1</w:t>
      </w:r>
    </w:p>
    <w:p w:rsidR="004D4959" w:rsidRDefault="004D4959" w:rsidP="00D95B44">
      <w:pPr>
        <w:pStyle w:val="Normaltext"/>
        <w:numPr>
          <w:ilvl w:val="0"/>
          <w:numId w:val="33"/>
        </w:numPr>
        <w:spacing w:line="276" w:lineRule="auto"/>
        <w:ind w:left="1843"/>
        <w:rPr>
          <w:rFonts w:asciiTheme="minorHAnsi" w:hAnsiTheme="minorHAnsi" w:cstheme="minorHAnsi"/>
          <w:b/>
        </w:rPr>
      </w:pPr>
      <w:r w:rsidRPr="00D948F2">
        <w:rPr>
          <w:rFonts w:asciiTheme="minorHAnsi" w:hAnsiTheme="minorHAnsi" w:cstheme="minorHAnsi"/>
          <w:b/>
        </w:rPr>
        <w:t>Kilometrické náklady</w:t>
      </w:r>
    </w:p>
    <w:p w:rsidR="00F70A83" w:rsidRPr="00F70A83" w:rsidRDefault="00F70A83" w:rsidP="00296D71">
      <w:pPr>
        <w:pStyle w:val="Normaltext"/>
        <w:spacing w:line="276" w:lineRule="auto"/>
        <w:rPr>
          <w:rFonts w:asciiTheme="minorHAnsi" w:hAnsiTheme="minorHAnsi" w:cstheme="minorHAnsi"/>
        </w:rPr>
      </w:pPr>
      <w:r w:rsidRPr="00F70A83">
        <w:rPr>
          <w:rFonts w:asciiTheme="minorHAnsi" w:hAnsiTheme="minorHAnsi" w:cstheme="minorHAnsi"/>
        </w:rPr>
        <w:t xml:space="preserve">Priemerné </w:t>
      </w:r>
      <w:r>
        <w:rPr>
          <w:rFonts w:asciiTheme="minorHAnsi" w:hAnsiTheme="minorHAnsi" w:cstheme="minorHAnsi"/>
        </w:rPr>
        <w:t xml:space="preserve">ročné kilometrické náklady systému ETC sú v Slovenskej republike najnižšie. To znamená, že priemerný kilometer siete na Slovensku spotrebuje najmenej nákladov </w:t>
      </w:r>
      <w:r w:rsidR="00751219">
        <w:rPr>
          <w:rFonts w:asciiTheme="minorHAnsi" w:hAnsiTheme="minorHAnsi" w:cstheme="minorHAnsi"/>
        </w:rPr>
        <w:t xml:space="preserve">na vybudovanie a prevádzku systému </w:t>
      </w:r>
      <w:r>
        <w:rPr>
          <w:rFonts w:asciiTheme="minorHAnsi" w:hAnsiTheme="minorHAnsi" w:cstheme="minorHAnsi"/>
        </w:rPr>
        <w:t xml:space="preserve">v porovnaní s ostatnými štátmi, a to na úrovni 41-42,8 tis. €/km. Z tohto hľadiska možno hovoriť o najvyššej efektívnosti slovenského systému ETC. Naopak najnižšiu efektívnosť dosahuje český systém ETC, u ktorého sú náklady jednotkového kilometra spoplatnenej siete </w:t>
      </w:r>
      <w:r w:rsidR="004220DE">
        <w:rPr>
          <w:rFonts w:asciiTheme="minorHAnsi" w:hAnsiTheme="minorHAnsi" w:cstheme="minorHAnsi"/>
        </w:rPr>
        <w:t xml:space="preserve">najvyššie, a to </w:t>
      </w:r>
      <w:r>
        <w:rPr>
          <w:rFonts w:asciiTheme="minorHAnsi" w:hAnsiTheme="minorHAnsi" w:cstheme="minorHAnsi"/>
        </w:rPr>
        <w:t xml:space="preserve">na úrovni 74,6 tis. €.  </w:t>
      </w:r>
    </w:p>
    <w:p w:rsidR="00083771" w:rsidRPr="00C471B1" w:rsidRDefault="002E367D" w:rsidP="00296D71">
      <w:pPr>
        <w:pStyle w:val="Normaltext"/>
        <w:spacing w:line="276" w:lineRule="auto"/>
        <w:ind w:left="2265" w:hanging="2265"/>
        <w:rPr>
          <w:rFonts w:asciiTheme="minorHAnsi" w:hAnsiTheme="minorHAnsi" w:cstheme="minorHAnsi"/>
          <w:lang w:eastAsia="sk-SK"/>
        </w:rPr>
      </w:pPr>
      <w:r w:rsidRPr="002E367D">
        <w:rPr>
          <w:rFonts w:asciiTheme="minorHAnsi" w:hAnsiTheme="minorHAnsi" w:cstheme="minorHAnsi"/>
          <w:lang w:eastAsia="sk-SK"/>
        </w:rPr>
        <w:t xml:space="preserve">Poradie </w:t>
      </w:r>
      <w:r>
        <w:rPr>
          <w:rFonts w:asciiTheme="minorHAnsi" w:hAnsiTheme="minorHAnsi" w:cstheme="minorHAnsi"/>
          <w:lang w:eastAsia="sk-SK"/>
        </w:rPr>
        <w:t>krajín</w:t>
      </w:r>
      <w:r w:rsidRPr="002E367D">
        <w:rPr>
          <w:rFonts w:asciiTheme="minorHAnsi" w:hAnsiTheme="minorHAnsi" w:cstheme="minorHAnsi"/>
          <w:lang w:eastAsia="sk-SK"/>
        </w:rPr>
        <w:t>:</w:t>
      </w:r>
      <w:r w:rsidRPr="002E367D">
        <w:rPr>
          <w:rFonts w:asciiTheme="minorHAnsi" w:hAnsiTheme="minorHAnsi" w:cstheme="minorHAnsi"/>
          <w:b/>
          <w:lang w:eastAsia="sk-SK"/>
        </w:rPr>
        <w:tab/>
      </w:r>
      <w:r w:rsidR="00083771" w:rsidRPr="00C471B1">
        <w:rPr>
          <w:rFonts w:asciiTheme="minorHAnsi" w:hAnsiTheme="minorHAnsi" w:cstheme="minorHAnsi"/>
          <w:b/>
          <w:u w:val="single"/>
          <w:lang w:eastAsia="sk-SK"/>
        </w:rPr>
        <w:t xml:space="preserve">1. Slovensko </w:t>
      </w:r>
      <w:r w:rsidR="00083771" w:rsidRPr="00C471B1">
        <w:rPr>
          <w:rFonts w:asciiTheme="minorHAnsi" w:hAnsiTheme="minorHAnsi" w:cstheme="minorHAnsi"/>
          <w:u w:val="single"/>
          <w:lang w:eastAsia="sk-SK"/>
        </w:rPr>
        <w:t>(41-42,8 tis. €/km), index 1</w:t>
      </w:r>
      <w:r w:rsidR="00083771" w:rsidRPr="00C471B1">
        <w:rPr>
          <w:rFonts w:asciiTheme="minorHAnsi" w:hAnsiTheme="minorHAnsi" w:cstheme="minorHAnsi"/>
          <w:b/>
          <w:lang w:eastAsia="sk-SK"/>
        </w:rPr>
        <w:t xml:space="preserve"> </w:t>
      </w:r>
      <w:r w:rsidR="00C471B1" w:rsidRPr="00C471B1">
        <w:rPr>
          <w:rFonts w:asciiTheme="minorHAnsi" w:hAnsiTheme="minorHAnsi" w:cstheme="minorHAnsi"/>
          <w:b/>
          <w:lang w:eastAsia="sk-SK"/>
        </w:rPr>
        <w:t xml:space="preserve">/ </w:t>
      </w:r>
      <w:r w:rsidR="00083771" w:rsidRPr="00C471B1">
        <w:rPr>
          <w:rFonts w:asciiTheme="minorHAnsi" w:hAnsiTheme="minorHAnsi" w:cstheme="minorHAnsi"/>
          <w:b/>
          <w:lang w:eastAsia="sk-SK"/>
        </w:rPr>
        <w:t xml:space="preserve">2. Nemecko </w:t>
      </w:r>
      <w:r w:rsidR="00083771" w:rsidRPr="00C471B1">
        <w:rPr>
          <w:rFonts w:asciiTheme="minorHAnsi" w:hAnsiTheme="minorHAnsi" w:cstheme="minorHAnsi"/>
          <w:lang w:eastAsia="sk-SK"/>
        </w:rPr>
        <w:t>(43 tis. €/km), index 1-1,05</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 xml:space="preserve">3. Poľsko </w:t>
      </w:r>
      <w:r w:rsidR="00083771" w:rsidRPr="00C471B1">
        <w:rPr>
          <w:rFonts w:asciiTheme="minorHAnsi" w:hAnsiTheme="minorHAnsi" w:cstheme="minorHAnsi"/>
          <w:lang w:eastAsia="sk-SK"/>
        </w:rPr>
        <w:t xml:space="preserve">(48,8 tis. €/km), </w:t>
      </w:r>
      <w:r w:rsidR="005B0F82">
        <w:rPr>
          <w:rFonts w:asciiTheme="minorHAnsi" w:hAnsiTheme="minorHAnsi" w:cstheme="minorHAnsi"/>
          <w:lang w:eastAsia="sk-SK"/>
        </w:rPr>
        <w:t xml:space="preserve">index </w:t>
      </w:r>
      <w:r w:rsidR="00083771" w:rsidRPr="00C471B1">
        <w:rPr>
          <w:rFonts w:asciiTheme="minorHAnsi" w:hAnsiTheme="minorHAnsi" w:cstheme="minorHAnsi"/>
          <w:lang w:eastAsia="sk-SK"/>
        </w:rPr>
        <w:t>1,14 - 1,19</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 xml:space="preserve">4. Rakúsko </w:t>
      </w:r>
      <w:r w:rsidR="00083771" w:rsidRPr="00C471B1">
        <w:rPr>
          <w:rFonts w:asciiTheme="minorHAnsi" w:hAnsiTheme="minorHAnsi" w:cstheme="minorHAnsi"/>
          <w:lang w:eastAsia="sk-SK"/>
        </w:rPr>
        <w:t xml:space="preserve">(54,1 tis. €/km), </w:t>
      </w:r>
      <w:r w:rsidR="005B0F82">
        <w:rPr>
          <w:rFonts w:asciiTheme="minorHAnsi" w:hAnsiTheme="minorHAnsi" w:cstheme="minorHAnsi"/>
          <w:lang w:eastAsia="sk-SK"/>
        </w:rPr>
        <w:t xml:space="preserve">index </w:t>
      </w:r>
      <w:r w:rsidR="00083771" w:rsidRPr="00C471B1">
        <w:rPr>
          <w:rFonts w:asciiTheme="minorHAnsi" w:hAnsiTheme="minorHAnsi" w:cstheme="minorHAnsi"/>
          <w:lang w:eastAsia="sk-SK"/>
        </w:rPr>
        <w:t>1,26 -1,32</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5. Česká rep</w:t>
      </w:r>
      <w:r w:rsidR="00C471B1">
        <w:rPr>
          <w:rFonts w:asciiTheme="minorHAnsi" w:hAnsiTheme="minorHAnsi" w:cstheme="minorHAnsi"/>
          <w:b/>
          <w:lang w:eastAsia="sk-SK"/>
        </w:rPr>
        <w:t>ublika</w:t>
      </w:r>
      <w:r w:rsidR="00083771" w:rsidRPr="00C471B1">
        <w:rPr>
          <w:rFonts w:asciiTheme="minorHAnsi" w:hAnsiTheme="minorHAnsi" w:cstheme="minorHAnsi"/>
          <w:b/>
          <w:lang w:eastAsia="sk-SK"/>
        </w:rPr>
        <w:t xml:space="preserve"> </w:t>
      </w:r>
      <w:r w:rsidR="00083771" w:rsidRPr="00C471B1">
        <w:rPr>
          <w:rFonts w:asciiTheme="minorHAnsi" w:hAnsiTheme="minorHAnsi" w:cstheme="minorHAnsi"/>
          <w:lang w:eastAsia="sk-SK"/>
        </w:rPr>
        <w:t xml:space="preserve">(74,6 tis. €/km), </w:t>
      </w:r>
      <w:r w:rsidR="005B0F82">
        <w:rPr>
          <w:rFonts w:asciiTheme="minorHAnsi" w:hAnsiTheme="minorHAnsi" w:cstheme="minorHAnsi"/>
          <w:lang w:eastAsia="sk-SK"/>
        </w:rPr>
        <w:t xml:space="preserve">index </w:t>
      </w:r>
      <w:r w:rsidR="00083771" w:rsidRPr="00C471B1">
        <w:rPr>
          <w:rFonts w:asciiTheme="minorHAnsi" w:hAnsiTheme="minorHAnsi" w:cstheme="minorHAnsi"/>
          <w:lang w:eastAsia="sk-SK"/>
        </w:rPr>
        <w:t>1,74 – 1,82</w:t>
      </w:r>
    </w:p>
    <w:p w:rsidR="004D4959" w:rsidRDefault="004D4959" w:rsidP="00D95B44">
      <w:pPr>
        <w:pStyle w:val="Normaltext"/>
        <w:numPr>
          <w:ilvl w:val="0"/>
          <w:numId w:val="32"/>
        </w:numPr>
        <w:spacing w:line="276" w:lineRule="auto"/>
        <w:rPr>
          <w:rFonts w:asciiTheme="minorHAnsi" w:hAnsiTheme="minorHAnsi" w:cstheme="minorHAnsi"/>
          <w:b/>
        </w:rPr>
      </w:pPr>
      <w:r w:rsidRPr="00083771">
        <w:rPr>
          <w:rFonts w:asciiTheme="minorHAnsi" w:hAnsiTheme="minorHAnsi" w:cstheme="minorHAnsi"/>
          <w:b/>
        </w:rPr>
        <w:t>Vozokilmetrická efektívnosť</w:t>
      </w:r>
    </w:p>
    <w:p w:rsidR="006D00C1" w:rsidRPr="00363DBF" w:rsidRDefault="006D00C1" w:rsidP="00296D71">
      <w:pPr>
        <w:pStyle w:val="tabbielystyl"/>
        <w:spacing w:before="120" w:after="120"/>
        <w:jc w:val="both"/>
        <w:rPr>
          <w:sz w:val="22"/>
        </w:rPr>
      </w:pPr>
      <w:r>
        <w:rPr>
          <w:sz w:val="22"/>
        </w:rPr>
        <w:t>Dopravná i</w:t>
      </w:r>
      <w:r w:rsidRPr="00363DBF">
        <w:rPr>
          <w:sz w:val="22"/>
        </w:rPr>
        <w:t xml:space="preserve">ntenzita </w:t>
      </w:r>
      <w:r>
        <w:rPr>
          <w:sz w:val="22"/>
        </w:rPr>
        <w:t>povinných vozidiel ovplyvňuje najmä výšku výnosov systému ETC, v menš</w:t>
      </w:r>
      <w:r w:rsidR="00EC07A7">
        <w:rPr>
          <w:sz w:val="22"/>
        </w:rPr>
        <w:t>ej</w:t>
      </w:r>
      <w:r>
        <w:rPr>
          <w:sz w:val="22"/>
        </w:rPr>
        <w:t xml:space="preserve"> </w:t>
      </w:r>
      <w:r w:rsidR="00EC07A7">
        <w:rPr>
          <w:sz w:val="22"/>
        </w:rPr>
        <w:t xml:space="preserve">miere výšku </w:t>
      </w:r>
      <w:r>
        <w:rPr>
          <w:sz w:val="22"/>
        </w:rPr>
        <w:t>náklad</w:t>
      </w:r>
      <w:r w:rsidR="00EC07A7">
        <w:rPr>
          <w:sz w:val="22"/>
        </w:rPr>
        <w:t>ov</w:t>
      </w:r>
      <w:r>
        <w:rPr>
          <w:sz w:val="22"/>
        </w:rPr>
        <w:t xml:space="preserve"> systému súvisiac</w:t>
      </w:r>
      <w:r w:rsidR="00EC07A7">
        <w:rPr>
          <w:sz w:val="22"/>
        </w:rPr>
        <w:t>ich</w:t>
      </w:r>
      <w:r>
        <w:rPr>
          <w:sz w:val="22"/>
        </w:rPr>
        <w:t xml:space="preserve"> s výberom mýta (napr. náklady na enforcemnet, mýtn</w:t>
      </w:r>
      <w:r w:rsidR="009961AC">
        <w:rPr>
          <w:sz w:val="22"/>
        </w:rPr>
        <w:t>e</w:t>
      </w:r>
      <w:r>
        <w:rPr>
          <w:sz w:val="22"/>
        </w:rPr>
        <w:t xml:space="preserve"> transakcie</w:t>
      </w:r>
      <w:r w:rsidR="00751219">
        <w:rPr>
          <w:sz w:val="22"/>
        </w:rPr>
        <w:t xml:space="preserve"> a pod.).</w:t>
      </w:r>
      <w:r>
        <w:rPr>
          <w:sz w:val="22"/>
        </w:rPr>
        <w:t xml:space="preserve"> Krajiny s vyššou intenzitou vozidiel </w:t>
      </w:r>
      <w:r w:rsidR="00EC07A7">
        <w:rPr>
          <w:sz w:val="22"/>
        </w:rPr>
        <w:t xml:space="preserve">na spoplatnenej sieti </w:t>
      </w:r>
      <w:r>
        <w:rPr>
          <w:sz w:val="22"/>
        </w:rPr>
        <w:t>dosahujú</w:t>
      </w:r>
      <w:r w:rsidR="009C58A8">
        <w:rPr>
          <w:sz w:val="22"/>
        </w:rPr>
        <w:t xml:space="preserve"> </w:t>
      </w:r>
      <w:r w:rsidR="004220DE">
        <w:rPr>
          <w:sz w:val="22"/>
        </w:rPr>
        <w:t>spravidla</w:t>
      </w:r>
      <w:r>
        <w:rPr>
          <w:sz w:val="22"/>
        </w:rPr>
        <w:t xml:space="preserve"> vyššiu úroveň výnosov z elektronického výberu mýta</w:t>
      </w:r>
      <w:r w:rsidR="00751219">
        <w:rPr>
          <w:sz w:val="22"/>
        </w:rPr>
        <w:t xml:space="preserve"> a tým </w:t>
      </w:r>
      <w:r w:rsidR="005B0F82">
        <w:rPr>
          <w:sz w:val="22"/>
        </w:rPr>
        <w:t xml:space="preserve">aj </w:t>
      </w:r>
      <w:r w:rsidR="00751219">
        <w:rPr>
          <w:sz w:val="22"/>
        </w:rPr>
        <w:t xml:space="preserve">vyššiu úroveň celkovej efektívnosti. </w:t>
      </w:r>
      <w:r w:rsidR="00BF6209">
        <w:rPr>
          <w:sz w:val="22"/>
        </w:rPr>
        <w:t xml:space="preserve">Pomerový vzťah výnosov a nákladov </w:t>
      </w:r>
      <w:r w:rsidR="00EC07A7">
        <w:rPr>
          <w:sz w:val="22"/>
        </w:rPr>
        <w:t>k dopravným výkonom na sieti vyjadrujú odv</w:t>
      </w:r>
      <w:r w:rsidR="009C58A8">
        <w:rPr>
          <w:sz w:val="22"/>
        </w:rPr>
        <w:t xml:space="preserve">odené ukazovatele efektívnosti </w:t>
      </w:r>
      <w:r w:rsidR="00EC07A7">
        <w:rPr>
          <w:sz w:val="22"/>
        </w:rPr>
        <w:t xml:space="preserve">- </w:t>
      </w:r>
      <w:r w:rsidR="00EC07A7" w:rsidRPr="00EC07A7">
        <w:rPr>
          <w:i/>
          <w:sz w:val="22"/>
        </w:rPr>
        <w:t>vozokilometrické výnosy</w:t>
      </w:r>
      <w:r w:rsidR="00EC07A7">
        <w:rPr>
          <w:sz w:val="22"/>
        </w:rPr>
        <w:t xml:space="preserve"> a </w:t>
      </w:r>
      <w:r w:rsidR="00EC07A7" w:rsidRPr="00EC07A7">
        <w:rPr>
          <w:i/>
          <w:sz w:val="22"/>
        </w:rPr>
        <w:t>vozokilometrické náklady</w:t>
      </w:r>
      <w:r w:rsidR="00EC07A7">
        <w:rPr>
          <w:sz w:val="22"/>
        </w:rPr>
        <w:t xml:space="preserve">. </w:t>
      </w:r>
      <w:r w:rsidR="00BF6209">
        <w:rPr>
          <w:sz w:val="22"/>
        </w:rPr>
        <w:t xml:space="preserve"> </w:t>
      </w:r>
      <w:r>
        <w:rPr>
          <w:sz w:val="22"/>
        </w:rPr>
        <w:t xml:space="preserve">    </w:t>
      </w:r>
    </w:p>
    <w:p w:rsidR="004D4959" w:rsidRDefault="004D4959" w:rsidP="00D95B44">
      <w:pPr>
        <w:pStyle w:val="Normaltext"/>
        <w:numPr>
          <w:ilvl w:val="0"/>
          <w:numId w:val="34"/>
        </w:numPr>
        <w:spacing w:line="276" w:lineRule="auto"/>
        <w:ind w:left="1560"/>
        <w:rPr>
          <w:rFonts w:asciiTheme="minorHAnsi" w:hAnsiTheme="minorHAnsi" w:cstheme="minorHAnsi"/>
          <w:b/>
        </w:rPr>
      </w:pPr>
      <w:r w:rsidRPr="00083771">
        <w:rPr>
          <w:rFonts w:asciiTheme="minorHAnsi" w:hAnsiTheme="minorHAnsi" w:cstheme="minorHAnsi"/>
          <w:b/>
        </w:rPr>
        <w:t xml:space="preserve">Vozokilometrické výnosy </w:t>
      </w:r>
    </w:p>
    <w:p w:rsidR="009961AC" w:rsidRPr="009961AC" w:rsidRDefault="009961AC" w:rsidP="00296D71">
      <w:pPr>
        <w:pStyle w:val="Normaltext"/>
        <w:spacing w:line="276" w:lineRule="auto"/>
        <w:rPr>
          <w:rFonts w:asciiTheme="minorHAnsi" w:hAnsiTheme="minorHAnsi" w:cstheme="minorHAnsi"/>
        </w:rPr>
      </w:pPr>
      <w:r>
        <w:rPr>
          <w:rFonts w:asciiTheme="minorHAnsi" w:hAnsiTheme="minorHAnsi" w:cstheme="minorHAnsi"/>
        </w:rPr>
        <w:t>Najvyššie p</w:t>
      </w:r>
      <w:r w:rsidRPr="009961AC">
        <w:rPr>
          <w:rFonts w:asciiTheme="minorHAnsi" w:hAnsiTheme="minorHAnsi" w:cstheme="minorHAnsi"/>
        </w:rPr>
        <w:t xml:space="preserve">riemerné ročné vozokilometrické výnosy dosahuje </w:t>
      </w:r>
      <w:r>
        <w:rPr>
          <w:rFonts w:asciiTheme="minorHAnsi" w:hAnsiTheme="minorHAnsi" w:cstheme="minorHAnsi"/>
        </w:rPr>
        <w:t xml:space="preserve">systém elektronického výberu mýta v Rakúsku a najnižšie v Poľsku. V prípade slovenského systému ETC zaplatí priemerné vozidlo za prejazd 1 km spoplatnenej siete 0,154 €, podobne ako v ČR a Nemecku. </w:t>
      </w:r>
    </w:p>
    <w:p w:rsidR="00083771" w:rsidRDefault="00657417" w:rsidP="00296D71">
      <w:pPr>
        <w:pStyle w:val="Normaltext"/>
        <w:spacing w:line="276" w:lineRule="auto"/>
        <w:ind w:left="2265" w:hanging="2265"/>
        <w:rPr>
          <w:rFonts w:asciiTheme="minorHAnsi" w:hAnsiTheme="minorHAnsi" w:cstheme="minorHAnsi"/>
          <w:lang w:eastAsia="sk-SK"/>
        </w:rPr>
      </w:pPr>
      <w:r w:rsidRPr="00EC07A7">
        <w:rPr>
          <w:rFonts w:asciiTheme="minorHAnsi" w:hAnsiTheme="minorHAnsi" w:cstheme="minorHAnsi"/>
          <w:lang w:eastAsia="sk-SK"/>
        </w:rPr>
        <w:t>Poradie krajín:</w:t>
      </w:r>
      <w:r>
        <w:rPr>
          <w:rFonts w:asciiTheme="minorHAnsi" w:hAnsiTheme="minorHAnsi" w:cstheme="minorHAnsi"/>
          <w:b/>
          <w:lang w:eastAsia="sk-SK"/>
        </w:rPr>
        <w:tab/>
      </w:r>
      <w:r>
        <w:rPr>
          <w:rFonts w:asciiTheme="minorHAnsi" w:hAnsiTheme="minorHAnsi" w:cstheme="minorHAnsi"/>
          <w:b/>
          <w:lang w:eastAsia="sk-SK"/>
        </w:rPr>
        <w:tab/>
      </w:r>
      <w:r w:rsidR="00083771" w:rsidRPr="00C471B1">
        <w:rPr>
          <w:rFonts w:asciiTheme="minorHAnsi" w:hAnsiTheme="minorHAnsi" w:cstheme="minorHAnsi"/>
          <w:b/>
          <w:lang w:eastAsia="sk-SK"/>
        </w:rPr>
        <w:t xml:space="preserve">1. Rakúsko </w:t>
      </w:r>
      <w:r w:rsidR="00083771" w:rsidRPr="00C471B1">
        <w:rPr>
          <w:rFonts w:asciiTheme="minorHAnsi" w:hAnsiTheme="minorHAnsi" w:cstheme="minorHAnsi"/>
          <w:lang w:eastAsia="sk-SK"/>
        </w:rPr>
        <w:t>(0,317 €/vkm), index 2,05 – 2,07</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u w:val="single"/>
          <w:lang w:eastAsia="sk-SK"/>
        </w:rPr>
        <w:t xml:space="preserve">2. Slovensko </w:t>
      </w:r>
      <w:r w:rsidR="00083771" w:rsidRPr="00C471B1">
        <w:rPr>
          <w:rFonts w:asciiTheme="minorHAnsi" w:hAnsiTheme="minorHAnsi" w:cstheme="minorHAnsi"/>
          <w:u w:val="single"/>
          <w:lang w:eastAsia="sk-SK"/>
        </w:rPr>
        <w:t>(SkyToll: 0,154 €/vkm)</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3. Česká rep</w:t>
      </w:r>
      <w:r w:rsidR="00C471B1">
        <w:rPr>
          <w:rFonts w:asciiTheme="minorHAnsi" w:hAnsiTheme="minorHAnsi" w:cstheme="minorHAnsi"/>
          <w:b/>
          <w:lang w:eastAsia="sk-SK"/>
        </w:rPr>
        <w:t>ublika</w:t>
      </w:r>
      <w:r w:rsidR="00083771" w:rsidRPr="00C471B1">
        <w:rPr>
          <w:rFonts w:asciiTheme="minorHAnsi" w:hAnsiTheme="minorHAnsi" w:cstheme="minorHAnsi"/>
          <w:b/>
          <w:lang w:eastAsia="sk-SK"/>
        </w:rPr>
        <w:t xml:space="preserve"> </w:t>
      </w:r>
      <w:r w:rsidR="00083771" w:rsidRPr="00C471B1">
        <w:rPr>
          <w:rFonts w:asciiTheme="minorHAnsi" w:hAnsiTheme="minorHAnsi" w:cstheme="minorHAnsi"/>
          <w:lang w:eastAsia="sk-SK"/>
        </w:rPr>
        <w:t>(0,154 €/vkm), index 1 – 1,01</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u w:val="single"/>
          <w:lang w:eastAsia="sk-SK"/>
        </w:rPr>
        <w:t xml:space="preserve">4. Slovensko </w:t>
      </w:r>
      <w:r w:rsidR="00083771" w:rsidRPr="00C471B1">
        <w:rPr>
          <w:rFonts w:asciiTheme="minorHAnsi" w:hAnsiTheme="minorHAnsi" w:cstheme="minorHAnsi"/>
          <w:u w:val="single"/>
          <w:lang w:eastAsia="sk-SK"/>
        </w:rPr>
        <w:t>(NDS: 0,153 €/vkm)</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 xml:space="preserve">5. Nemecko </w:t>
      </w:r>
      <w:r w:rsidR="00083771" w:rsidRPr="00C471B1">
        <w:rPr>
          <w:rFonts w:asciiTheme="minorHAnsi" w:hAnsiTheme="minorHAnsi" w:cstheme="minorHAnsi"/>
          <w:lang w:eastAsia="sk-SK"/>
        </w:rPr>
        <w:t>(0,147 €/vkm), index 0,95 – 0,96</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 xml:space="preserve">6. Poľsko </w:t>
      </w:r>
      <w:r w:rsidR="00083771" w:rsidRPr="00C471B1">
        <w:rPr>
          <w:rFonts w:asciiTheme="minorHAnsi" w:hAnsiTheme="minorHAnsi" w:cstheme="minorHAnsi"/>
          <w:lang w:eastAsia="sk-SK"/>
        </w:rPr>
        <w:t>(0,067 €/vkm), index 0,44</w:t>
      </w:r>
    </w:p>
    <w:p w:rsidR="00346207" w:rsidRDefault="009961AC" w:rsidP="007500F8">
      <w:pPr>
        <w:pStyle w:val="Normaltext"/>
        <w:spacing w:line="276" w:lineRule="auto"/>
        <w:rPr>
          <w:rFonts w:asciiTheme="minorHAnsi" w:hAnsiTheme="minorHAnsi" w:cstheme="minorHAnsi"/>
        </w:rPr>
      </w:pPr>
      <w:r>
        <w:rPr>
          <w:rFonts w:asciiTheme="minorHAnsi" w:hAnsiTheme="minorHAnsi" w:cstheme="minorHAnsi"/>
        </w:rPr>
        <w:t>Vypočítaná priemerná sadzba mýta odráža výnos systému z 1 vkm.</w:t>
      </w:r>
      <w:r w:rsidR="00296D71">
        <w:rPr>
          <w:rFonts w:asciiTheme="minorHAnsi" w:hAnsiTheme="minorHAnsi" w:cstheme="minorHAnsi"/>
        </w:rPr>
        <w:t xml:space="preserve"> </w:t>
      </w:r>
      <w:r w:rsidR="00346207">
        <w:rPr>
          <w:rFonts w:asciiTheme="minorHAnsi" w:hAnsiTheme="minorHAnsi" w:cstheme="minorHAnsi"/>
        </w:rPr>
        <w:t>Vzhľadom na vysoké intenzity povinných vozidiel v Rakúsku a Poľsku možno konštatovať najvyššiu úroveň efektívnosti v Rakúsku a najnižšiu v</w:t>
      </w:r>
      <w:r w:rsidR="00785D86">
        <w:rPr>
          <w:rFonts w:asciiTheme="minorHAnsi" w:hAnsiTheme="minorHAnsi" w:cstheme="minorHAnsi"/>
        </w:rPr>
        <w:t> </w:t>
      </w:r>
      <w:r w:rsidR="00346207">
        <w:rPr>
          <w:rFonts w:asciiTheme="minorHAnsi" w:hAnsiTheme="minorHAnsi" w:cstheme="minorHAnsi"/>
        </w:rPr>
        <w:t>Poľsku</w:t>
      </w:r>
      <w:r w:rsidR="00785D86">
        <w:rPr>
          <w:rFonts w:asciiTheme="minorHAnsi" w:hAnsiTheme="minorHAnsi" w:cstheme="minorHAnsi"/>
        </w:rPr>
        <w:t xml:space="preserve">. </w:t>
      </w:r>
      <w:r w:rsidR="00346207">
        <w:rPr>
          <w:rFonts w:asciiTheme="minorHAnsi" w:hAnsiTheme="minorHAnsi" w:cstheme="minorHAnsi"/>
        </w:rPr>
        <w:t xml:space="preserve">V Slovenskej republike </w:t>
      </w:r>
      <w:r w:rsidR="009C58A8">
        <w:rPr>
          <w:rFonts w:asciiTheme="minorHAnsi" w:hAnsiTheme="minorHAnsi" w:cstheme="minorHAnsi"/>
        </w:rPr>
        <w:t xml:space="preserve">je </w:t>
      </w:r>
      <w:r w:rsidR="00346207">
        <w:rPr>
          <w:rFonts w:asciiTheme="minorHAnsi" w:hAnsiTheme="minorHAnsi" w:cstheme="minorHAnsi"/>
        </w:rPr>
        <w:t>aj napriek najnižším intenzitám</w:t>
      </w:r>
      <w:r w:rsidR="009C58A8">
        <w:rPr>
          <w:rFonts w:asciiTheme="minorHAnsi" w:hAnsiTheme="minorHAnsi" w:cstheme="minorHAnsi"/>
        </w:rPr>
        <w:t xml:space="preserve"> </w:t>
      </w:r>
      <w:r w:rsidR="00346207">
        <w:rPr>
          <w:rFonts w:asciiTheme="minorHAnsi" w:hAnsiTheme="minorHAnsi" w:cstheme="minorHAnsi"/>
        </w:rPr>
        <w:t xml:space="preserve">efektívnosť systému </w:t>
      </w:r>
      <w:r w:rsidR="009C58A8">
        <w:rPr>
          <w:rFonts w:asciiTheme="minorHAnsi" w:hAnsiTheme="minorHAnsi" w:cstheme="minorHAnsi"/>
        </w:rPr>
        <w:t xml:space="preserve">porovnateľná so systémom ETC </w:t>
      </w:r>
      <w:r w:rsidR="00346207">
        <w:rPr>
          <w:rFonts w:asciiTheme="minorHAnsi" w:hAnsiTheme="minorHAnsi" w:cstheme="minorHAnsi"/>
        </w:rPr>
        <w:t xml:space="preserve">v Nemecku a Českej republike. </w:t>
      </w:r>
      <w:r w:rsidR="009C58A8">
        <w:rPr>
          <w:rFonts w:asciiTheme="minorHAnsi" w:hAnsiTheme="minorHAnsi" w:cstheme="minorHAnsi"/>
        </w:rPr>
        <w:t xml:space="preserve"> </w:t>
      </w:r>
    </w:p>
    <w:p w:rsidR="00785D86" w:rsidRDefault="00346207" w:rsidP="007500F8">
      <w:pPr>
        <w:pStyle w:val="Normaltext"/>
        <w:spacing w:line="276" w:lineRule="auto"/>
        <w:rPr>
          <w:rFonts w:asciiTheme="minorHAnsi" w:hAnsiTheme="minorHAnsi" w:cstheme="minorHAnsi"/>
        </w:rPr>
      </w:pPr>
      <w:r>
        <w:rPr>
          <w:rFonts w:asciiTheme="minorHAnsi" w:hAnsiTheme="minorHAnsi" w:cstheme="minorHAnsi"/>
        </w:rPr>
        <w:t xml:space="preserve">Za účelom zhodnotenia vplyvu intenzít na efektívnosť systému boli realizované prepočty vozokilometrických výnosov </w:t>
      </w:r>
      <w:r w:rsidR="00D23C3A">
        <w:rPr>
          <w:rFonts w:asciiTheme="minorHAnsi" w:hAnsiTheme="minorHAnsi" w:cstheme="minorHAnsi"/>
        </w:rPr>
        <w:t xml:space="preserve">v SR </w:t>
      </w:r>
      <w:r>
        <w:rPr>
          <w:rFonts w:asciiTheme="minorHAnsi" w:hAnsiTheme="minorHAnsi" w:cstheme="minorHAnsi"/>
        </w:rPr>
        <w:t xml:space="preserve">s použitím intenzít Českej republiky na slovenskej sieti. </w:t>
      </w:r>
      <w:r w:rsidR="00296D71">
        <w:rPr>
          <w:rFonts w:asciiTheme="minorHAnsi" w:hAnsiTheme="minorHAnsi" w:cstheme="minorHAnsi"/>
        </w:rPr>
        <w:t xml:space="preserve">Pri stabilizácií priemernej sadzby a náraste intenzít </w:t>
      </w:r>
      <w:r w:rsidR="00785D86">
        <w:rPr>
          <w:rFonts w:asciiTheme="minorHAnsi" w:hAnsiTheme="minorHAnsi" w:cstheme="minorHAnsi"/>
        </w:rPr>
        <w:t>dosahovala</w:t>
      </w:r>
      <w:r w:rsidR="00296D71">
        <w:rPr>
          <w:rFonts w:asciiTheme="minorHAnsi" w:hAnsiTheme="minorHAnsi" w:cstheme="minorHAnsi"/>
        </w:rPr>
        <w:t xml:space="preserve"> </w:t>
      </w:r>
      <w:r w:rsidR="00785D86">
        <w:rPr>
          <w:rFonts w:asciiTheme="minorHAnsi" w:hAnsiTheme="minorHAnsi" w:cstheme="minorHAnsi"/>
        </w:rPr>
        <w:t>výška</w:t>
      </w:r>
      <w:r w:rsidR="00296D71">
        <w:rPr>
          <w:rFonts w:asciiTheme="minorHAnsi" w:hAnsiTheme="minorHAnsi" w:cstheme="minorHAnsi"/>
        </w:rPr>
        <w:t xml:space="preserve"> výnosov </w:t>
      </w:r>
      <w:r w:rsidR="009637AE">
        <w:rPr>
          <w:rFonts w:asciiTheme="minorHAnsi" w:hAnsiTheme="minorHAnsi" w:cstheme="minorHAnsi"/>
        </w:rPr>
        <w:t xml:space="preserve">slovenského </w:t>
      </w:r>
      <w:r w:rsidR="00296D71">
        <w:rPr>
          <w:rFonts w:asciiTheme="minorHAnsi" w:hAnsiTheme="minorHAnsi" w:cstheme="minorHAnsi"/>
        </w:rPr>
        <w:t>systému</w:t>
      </w:r>
      <w:r w:rsidR="00785D86">
        <w:rPr>
          <w:rFonts w:asciiTheme="minorHAnsi" w:hAnsiTheme="minorHAnsi" w:cstheme="minorHAnsi"/>
        </w:rPr>
        <w:t xml:space="preserve"> </w:t>
      </w:r>
      <w:r w:rsidR="009637AE">
        <w:rPr>
          <w:rFonts w:asciiTheme="minorHAnsi" w:hAnsiTheme="minorHAnsi" w:cstheme="minorHAnsi"/>
        </w:rPr>
        <w:t xml:space="preserve">ETC </w:t>
      </w:r>
      <w:r w:rsidR="00785D86">
        <w:rPr>
          <w:rFonts w:asciiTheme="minorHAnsi" w:hAnsiTheme="minorHAnsi" w:cstheme="minorHAnsi"/>
        </w:rPr>
        <w:t>úroveň 2,7-násobne vyššiu ako v súčasnosti a pri stabilizácii výšky výnosov a náraste intenzít na sieti bola vypočítaná priemerná sadzba najnižšia z porovnávaných štátov (0,057€/vkm).</w:t>
      </w:r>
      <w:r w:rsidR="009637AE">
        <w:rPr>
          <w:rFonts w:asciiTheme="minorHAnsi" w:hAnsiTheme="minorHAnsi" w:cstheme="minorHAnsi"/>
        </w:rPr>
        <w:t xml:space="preserve"> </w:t>
      </w:r>
    </w:p>
    <w:p w:rsidR="004D4959" w:rsidRDefault="004D4959" w:rsidP="00D95B44">
      <w:pPr>
        <w:pStyle w:val="Normaltext"/>
        <w:numPr>
          <w:ilvl w:val="0"/>
          <w:numId w:val="34"/>
        </w:numPr>
        <w:spacing w:line="276" w:lineRule="auto"/>
        <w:ind w:left="1560"/>
        <w:rPr>
          <w:rFonts w:asciiTheme="minorHAnsi" w:hAnsiTheme="minorHAnsi" w:cstheme="minorHAnsi"/>
          <w:b/>
        </w:rPr>
      </w:pPr>
      <w:r w:rsidRPr="00083771">
        <w:rPr>
          <w:rFonts w:asciiTheme="minorHAnsi" w:hAnsiTheme="minorHAnsi" w:cstheme="minorHAnsi"/>
          <w:b/>
        </w:rPr>
        <w:t>Vozokilometrické náklady</w:t>
      </w:r>
    </w:p>
    <w:p w:rsidR="009C58A8" w:rsidRPr="009C58A8" w:rsidRDefault="009C58A8" w:rsidP="009C58A8">
      <w:pPr>
        <w:pStyle w:val="Normaltext"/>
        <w:spacing w:line="276" w:lineRule="auto"/>
        <w:rPr>
          <w:rFonts w:asciiTheme="minorHAnsi" w:hAnsiTheme="minorHAnsi" w:cstheme="minorHAnsi"/>
        </w:rPr>
      </w:pPr>
      <w:r w:rsidRPr="009C58A8">
        <w:rPr>
          <w:rFonts w:asciiTheme="minorHAnsi" w:hAnsiTheme="minorHAnsi" w:cstheme="minorHAnsi"/>
        </w:rPr>
        <w:t xml:space="preserve">Najvyššie </w:t>
      </w:r>
      <w:r>
        <w:rPr>
          <w:rFonts w:asciiTheme="minorHAnsi" w:hAnsiTheme="minorHAnsi" w:cstheme="minorHAnsi"/>
        </w:rPr>
        <w:t xml:space="preserve">priemerné ročné </w:t>
      </w:r>
      <w:r w:rsidRPr="009C58A8">
        <w:rPr>
          <w:rFonts w:asciiTheme="minorHAnsi" w:hAnsiTheme="minorHAnsi" w:cstheme="minorHAnsi"/>
        </w:rPr>
        <w:t xml:space="preserve">vozokilometrické náklady </w:t>
      </w:r>
      <w:r>
        <w:rPr>
          <w:rFonts w:asciiTheme="minorHAnsi" w:hAnsiTheme="minorHAnsi" w:cstheme="minorHAnsi"/>
        </w:rPr>
        <w:t>systému ETC sú na Slovensk</w:t>
      </w:r>
      <w:r w:rsidR="00A347C9">
        <w:rPr>
          <w:rFonts w:asciiTheme="minorHAnsi" w:hAnsiTheme="minorHAnsi" w:cstheme="minorHAnsi"/>
        </w:rPr>
        <w:t>u</w:t>
      </w:r>
      <w:r>
        <w:rPr>
          <w:rFonts w:asciiTheme="minorHAnsi" w:hAnsiTheme="minorHAnsi" w:cstheme="minorHAnsi"/>
        </w:rPr>
        <w:t xml:space="preserve"> najnižšie v Nemecku. Aj napriek najnižšej nomináln</w:t>
      </w:r>
      <w:r w:rsidR="009021E3">
        <w:rPr>
          <w:rFonts w:asciiTheme="minorHAnsi" w:hAnsiTheme="minorHAnsi" w:cstheme="minorHAnsi"/>
        </w:rPr>
        <w:t>ej</w:t>
      </w:r>
      <w:r>
        <w:rPr>
          <w:rFonts w:asciiTheme="minorHAnsi" w:hAnsiTheme="minorHAnsi" w:cstheme="minorHAnsi"/>
        </w:rPr>
        <w:t xml:space="preserve"> úrovn</w:t>
      </w:r>
      <w:r w:rsidR="009021E3">
        <w:rPr>
          <w:rFonts w:asciiTheme="minorHAnsi" w:hAnsiTheme="minorHAnsi" w:cstheme="minorHAnsi"/>
        </w:rPr>
        <w:t>i</w:t>
      </w:r>
      <w:r>
        <w:rPr>
          <w:rFonts w:asciiTheme="minorHAnsi" w:hAnsiTheme="minorHAnsi" w:cstheme="minorHAnsi"/>
        </w:rPr>
        <w:t xml:space="preserve"> nákladov ako aj kilometrických nákladov systému ETC v v SR je </w:t>
      </w:r>
      <w:r w:rsidR="009021E3">
        <w:rPr>
          <w:rFonts w:asciiTheme="minorHAnsi" w:hAnsiTheme="minorHAnsi" w:cstheme="minorHAnsi"/>
        </w:rPr>
        <w:t xml:space="preserve">z hľadiska intenzity povinných vozidiel na sieti </w:t>
      </w:r>
      <w:r>
        <w:rPr>
          <w:rFonts w:asciiTheme="minorHAnsi" w:hAnsiTheme="minorHAnsi" w:cstheme="minorHAnsi"/>
        </w:rPr>
        <w:t>efektívnosť slovenského systému</w:t>
      </w:r>
      <w:r w:rsidR="009021E3">
        <w:rPr>
          <w:rFonts w:asciiTheme="minorHAnsi" w:hAnsiTheme="minorHAnsi" w:cstheme="minorHAnsi"/>
        </w:rPr>
        <w:t xml:space="preserve"> </w:t>
      </w:r>
      <w:r>
        <w:rPr>
          <w:rFonts w:asciiTheme="minorHAnsi" w:hAnsiTheme="minorHAnsi" w:cstheme="minorHAnsi"/>
        </w:rPr>
        <w:t xml:space="preserve">najnižšia z porovnávaných štátov.  </w:t>
      </w:r>
      <w:r w:rsidR="009021E3">
        <w:rPr>
          <w:rFonts w:asciiTheme="minorHAnsi" w:hAnsiTheme="minorHAnsi" w:cstheme="minorHAnsi"/>
        </w:rPr>
        <w:t xml:space="preserve"> </w:t>
      </w:r>
    </w:p>
    <w:p w:rsidR="00083771" w:rsidRDefault="00346207" w:rsidP="00346207">
      <w:pPr>
        <w:pStyle w:val="Normaltext"/>
        <w:spacing w:before="0" w:after="0" w:line="276" w:lineRule="auto"/>
        <w:ind w:left="2265" w:hanging="2265"/>
        <w:contextualSpacing/>
        <w:rPr>
          <w:rFonts w:asciiTheme="minorHAnsi" w:hAnsiTheme="minorHAnsi" w:cstheme="minorHAnsi"/>
          <w:b/>
          <w:lang w:eastAsia="sk-SK"/>
        </w:rPr>
      </w:pPr>
      <w:r w:rsidRPr="00346207">
        <w:rPr>
          <w:rFonts w:asciiTheme="minorHAnsi" w:hAnsiTheme="minorHAnsi" w:cstheme="minorHAnsi"/>
          <w:lang w:eastAsia="sk-SK"/>
        </w:rPr>
        <w:t>Poradie krajín:</w:t>
      </w:r>
      <w:r>
        <w:rPr>
          <w:rFonts w:asciiTheme="minorHAnsi" w:hAnsiTheme="minorHAnsi" w:cstheme="minorHAnsi"/>
          <w:b/>
          <w:lang w:eastAsia="sk-SK"/>
        </w:rPr>
        <w:tab/>
      </w:r>
      <w:r>
        <w:rPr>
          <w:rFonts w:asciiTheme="minorHAnsi" w:hAnsiTheme="minorHAnsi" w:cstheme="minorHAnsi"/>
          <w:b/>
          <w:lang w:eastAsia="sk-SK"/>
        </w:rPr>
        <w:tab/>
      </w:r>
      <w:r w:rsidR="00083771" w:rsidRPr="00C471B1">
        <w:rPr>
          <w:rFonts w:asciiTheme="minorHAnsi" w:hAnsiTheme="minorHAnsi" w:cstheme="minorHAnsi"/>
          <w:b/>
          <w:lang w:eastAsia="sk-SK"/>
        </w:rPr>
        <w:t xml:space="preserve">1. Nemecko </w:t>
      </w:r>
      <w:r w:rsidR="00083771" w:rsidRPr="00C471B1">
        <w:rPr>
          <w:rFonts w:asciiTheme="minorHAnsi" w:hAnsiTheme="minorHAnsi" w:cstheme="minorHAnsi"/>
          <w:lang w:eastAsia="sk-SK"/>
        </w:rPr>
        <w:t>(0,021 €/vkm), index 0,26</w:t>
      </w:r>
      <w:r w:rsidR="00083771" w:rsidRPr="00C471B1">
        <w:rPr>
          <w:rFonts w:asciiTheme="minorHAnsi" w:hAnsiTheme="minorHAnsi" w:cstheme="minorHAnsi"/>
          <w:b/>
          <w:lang w:eastAsia="sk-SK"/>
        </w:rPr>
        <w:t xml:space="preserve"> </w:t>
      </w:r>
      <w:r w:rsidR="00C471B1" w:rsidRPr="00C471B1">
        <w:rPr>
          <w:rFonts w:asciiTheme="minorHAnsi" w:hAnsiTheme="minorHAnsi" w:cstheme="minorHAnsi"/>
          <w:b/>
          <w:lang w:eastAsia="sk-SK"/>
        </w:rPr>
        <w:t xml:space="preserve">/ </w:t>
      </w:r>
      <w:r w:rsidR="00083771" w:rsidRPr="00C471B1">
        <w:rPr>
          <w:rFonts w:asciiTheme="minorHAnsi" w:hAnsiTheme="minorHAnsi" w:cstheme="minorHAnsi"/>
          <w:b/>
          <w:lang w:eastAsia="sk-SK"/>
        </w:rPr>
        <w:t xml:space="preserve">2. Poľsko </w:t>
      </w:r>
      <w:r w:rsidR="00083771" w:rsidRPr="00C471B1">
        <w:rPr>
          <w:rFonts w:asciiTheme="minorHAnsi" w:hAnsiTheme="minorHAnsi" w:cstheme="minorHAnsi"/>
          <w:lang w:eastAsia="sk-SK"/>
        </w:rPr>
        <w:t>(0,03 €/vkm), index 0,36 – 0,38</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lang w:eastAsia="sk-SK"/>
        </w:rPr>
        <w:t xml:space="preserve">3. Rakúsko </w:t>
      </w:r>
      <w:r w:rsidR="00083771" w:rsidRPr="00C471B1">
        <w:rPr>
          <w:rFonts w:asciiTheme="minorHAnsi" w:hAnsiTheme="minorHAnsi" w:cstheme="minorHAnsi"/>
          <w:lang w:eastAsia="sk-SK"/>
        </w:rPr>
        <w:t>(0,038 €/vkm), index 0,46 – 0,48</w:t>
      </w:r>
      <w:r w:rsidR="00C471B1" w:rsidRPr="00C471B1">
        <w:rPr>
          <w:rFonts w:asciiTheme="minorHAnsi" w:hAnsiTheme="minorHAnsi" w:cstheme="minorHAnsi"/>
          <w:lang w:eastAsia="sk-SK"/>
        </w:rPr>
        <w:t xml:space="preserve"> </w:t>
      </w:r>
      <w:r w:rsidR="00C471B1" w:rsidRPr="00C471B1">
        <w:rPr>
          <w:rFonts w:asciiTheme="minorHAnsi" w:hAnsiTheme="minorHAnsi" w:cstheme="minorHAnsi"/>
          <w:b/>
          <w:lang w:eastAsia="sk-SK"/>
        </w:rPr>
        <w:t xml:space="preserve">/ </w:t>
      </w:r>
      <w:r w:rsidR="00083771" w:rsidRPr="00C471B1">
        <w:rPr>
          <w:rFonts w:asciiTheme="minorHAnsi" w:hAnsiTheme="minorHAnsi" w:cstheme="minorHAnsi"/>
          <w:b/>
          <w:lang w:eastAsia="sk-SK"/>
        </w:rPr>
        <w:t>4. Česká rep</w:t>
      </w:r>
      <w:r w:rsidR="00C471B1">
        <w:rPr>
          <w:rFonts w:asciiTheme="minorHAnsi" w:hAnsiTheme="minorHAnsi" w:cstheme="minorHAnsi"/>
          <w:b/>
          <w:lang w:eastAsia="sk-SK"/>
        </w:rPr>
        <w:t>ublika</w:t>
      </w:r>
      <w:r w:rsidR="00083771" w:rsidRPr="00C471B1">
        <w:rPr>
          <w:rFonts w:asciiTheme="minorHAnsi" w:hAnsiTheme="minorHAnsi" w:cstheme="minorHAnsi"/>
          <w:b/>
          <w:lang w:eastAsia="sk-SK"/>
        </w:rPr>
        <w:t xml:space="preserve"> </w:t>
      </w:r>
      <w:r w:rsidR="00083771" w:rsidRPr="00C471B1">
        <w:rPr>
          <w:rFonts w:asciiTheme="minorHAnsi" w:hAnsiTheme="minorHAnsi" w:cstheme="minorHAnsi"/>
          <w:lang w:eastAsia="sk-SK"/>
        </w:rPr>
        <w:t>(0,055 €/vkm), index 0,67 – 0,69</w:t>
      </w:r>
      <w:r w:rsidR="00C471B1" w:rsidRPr="00C471B1">
        <w:rPr>
          <w:rFonts w:asciiTheme="minorHAnsi" w:hAnsiTheme="minorHAnsi" w:cstheme="minorHAnsi"/>
          <w:b/>
          <w:lang w:eastAsia="sk-SK"/>
        </w:rPr>
        <w:t xml:space="preserve"> / </w:t>
      </w:r>
      <w:r w:rsidR="00083771" w:rsidRPr="00C471B1">
        <w:rPr>
          <w:rFonts w:asciiTheme="minorHAnsi" w:hAnsiTheme="minorHAnsi" w:cstheme="minorHAnsi"/>
          <w:b/>
          <w:u w:val="single"/>
          <w:lang w:eastAsia="sk-SK"/>
        </w:rPr>
        <w:t xml:space="preserve">5. Slovensko </w:t>
      </w:r>
      <w:r w:rsidR="00083771" w:rsidRPr="00C471B1">
        <w:rPr>
          <w:rFonts w:asciiTheme="minorHAnsi" w:hAnsiTheme="minorHAnsi" w:cstheme="minorHAnsi"/>
          <w:u w:val="single"/>
          <w:lang w:eastAsia="sk-SK"/>
        </w:rPr>
        <w:t>(0,08-0,083 €/vkm), index 1</w:t>
      </w:r>
      <w:r w:rsidR="00083771" w:rsidRPr="00C471B1">
        <w:rPr>
          <w:rFonts w:asciiTheme="minorHAnsi" w:hAnsiTheme="minorHAnsi" w:cstheme="minorHAnsi"/>
          <w:b/>
          <w:lang w:eastAsia="sk-SK"/>
        </w:rPr>
        <w:t xml:space="preserve"> </w:t>
      </w:r>
    </w:p>
    <w:p w:rsidR="004220DE" w:rsidRDefault="004220DE" w:rsidP="009021E3">
      <w:pPr>
        <w:pStyle w:val="Normaltext"/>
        <w:spacing w:line="276" w:lineRule="auto"/>
        <w:rPr>
          <w:rFonts w:asciiTheme="minorHAnsi" w:hAnsiTheme="minorHAnsi" w:cstheme="minorHAnsi"/>
          <w:lang w:eastAsia="sk-SK"/>
        </w:rPr>
      </w:pPr>
      <w:r>
        <w:rPr>
          <w:rFonts w:asciiTheme="minorHAnsi" w:hAnsiTheme="minorHAnsi" w:cstheme="minorHAnsi"/>
          <w:lang w:eastAsia="sk-SK"/>
        </w:rPr>
        <w:t xml:space="preserve">Na základe </w:t>
      </w:r>
      <w:r w:rsidR="009021E3">
        <w:rPr>
          <w:rFonts w:asciiTheme="minorHAnsi" w:hAnsiTheme="minorHAnsi" w:cstheme="minorHAnsi"/>
          <w:lang w:eastAsia="sk-SK"/>
        </w:rPr>
        <w:t>r</w:t>
      </w:r>
      <w:r w:rsidR="009021E3" w:rsidRPr="009021E3">
        <w:rPr>
          <w:rFonts w:asciiTheme="minorHAnsi" w:hAnsiTheme="minorHAnsi" w:cstheme="minorHAnsi"/>
          <w:lang w:eastAsia="sk-SK"/>
        </w:rPr>
        <w:t>ealizovan</w:t>
      </w:r>
      <w:r w:rsidR="009021E3">
        <w:rPr>
          <w:rFonts w:asciiTheme="minorHAnsi" w:hAnsiTheme="minorHAnsi" w:cstheme="minorHAnsi"/>
          <w:lang w:eastAsia="sk-SK"/>
        </w:rPr>
        <w:t>ého</w:t>
      </w:r>
      <w:r w:rsidR="009021E3" w:rsidRPr="009021E3">
        <w:rPr>
          <w:rFonts w:asciiTheme="minorHAnsi" w:hAnsiTheme="minorHAnsi" w:cstheme="minorHAnsi"/>
          <w:lang w:eastAsia="sk-SK"/>
        </w:rPr>
        <w:t xml:space="preserve"> prepoč</w:t>
      </w:r>
      <w:r w:rsidR="009021E3">
        <w:rPr>
          <w:rFonts w:asciiTheme="minorHAnsi" w:hAnsiTheme="minorHAnsi" w:cstheme="minorHAnsi"/>
          <w:lang w:eastAsia="sk-SK"/>
        </w:rPr>
        <w:t xml:space="preserve">tu </w:t>
      </w:r>
      <w:r w:rsidR="009021E3" w:rsidRPr="009021E3">
        <w:rPr>
          <w:rFonts w:asciiTheme="minorHAnsi" w:hAnsiTheme="minorHAnsi" w:cstheme="minorHAnsi"/>
          <w:lang w:eastAsia="sk-SK"/>
        </w:rPr>
        <w:t>vozokilometrických nákladov slovenského systému</w:t>
      </w:r>
      <w:r w:rsidR="009021E3">
        <w:rPr>
          <w:rFonts w:asciiTheme="minorHAnsi" w:hAnsiTheme="minorHAnsi" w:cstheme="minorHAnsi"/>
          <w:lang w:eastAsia="sk-SK"/>
        </w:rPr>
        <w:t xml:space="preserve"> ETC</w:t>
      </w:r>
      <w:r w:rsidR="009021E3" w:rsidRPr="009021E3">
        <w:rPr>
          <w:rFonts w:asciiTheme="minorHAnsi" w:hAnsiTheme="minorHAnsi" w:cstheme="minorHAnsi"/>
          <w:lang w:eastAsia="sk-SK"/>
        </w:rPr>
        <w:t xml:space="preserve"> </w:t>
      </w:r>
      <w:r>
        <w:rPr>
          <w:rFonts w:asciiTheme="minorHAnsi" w:hAnsiTheme="minorHAnsi" w:cstheme="minorHAnsi"/>
          <w:lang w:eastAsia="sk-SK"/>
        </w:rPr>
        <w:t>s použitím</w:t>
      </w:r>
      <w:r w:rsidR="009021E3">
        <w:rPr>
          <w:rFonts w:asciiTheme="minorHAnsi" w:hAnsiTheme="minorHAnsi" w:cstheme="minorHAnsi"/>
          <w:lang w:eastAsia="sk-SK"/>
        </w:rPr>
        <w:t xml:space="preserve"> </w:t>
      </w:r>
      <w:r w:rsidR="009021E3" w:rsidRPr="009021E3">
        <w:rPr>
          <w:rFonts w:asciiTheme="minorHAnsi" w:hAnsiTheme="minorHAnsi" w:cstheme="minorHAnsi"/>
          <w:lang w:eastAsia="sk-SK"/>
        </w:rPr>
        <w:t>intenz</w:t>
      </w:r>
      <w:r>
        <w:rPr>
          <w:rFonts w:asciiTheme="minorHAnsi" w:hAnsiTheme="minorHAnsi" w:cstheme="minorHAnsi"/>
          <w:lang w:eastAsia="sk-SK"/>
        </w:rPr>
        <w:t>ít</w:t>
      </w:r>
      <w:r w:rsidR="009021E3" w:rsidRPr="009021E3">
        <w:rPr>
          <w:rFonts w:asciiTheme="minorHAnsi" w:hAnsiTheme="minorHAnsi" w:cstheme="minorHAnsi"/>
          <w:lang w:eastAsia="sk-SK"/>
        </w:rPr>
        <w:t xml:space="preserve"> Českej republiky na spoplatnenej sieti v</w:t>
      </w:r>
      <w:r w:rsidR="009021E3">
        <w:rPr>
          <w:rFonts w:asciiTheme="minorHAnsi" w:hAnsiTheme="minorHAnsi" w:cstheme="minorHAnsi"/>
          <w:lang w:eastAsia="sk-SK"/>
        </w:rPr>
        <w:t> </w:t>
      </w:r>
      <w:r w:rsidR="009021E3" w:rsidRPr="009021E3">
        <w:rPr>
          <w:rFonts w:asciiTheme="minorHAnsi" w:hAnsiTheme="minorHAnsi" w:cstheme="minorHAnsi"/>
          <w:lang w:eastAsia="sk-SK"/>
        </w:rPr>
        <w:t>SR</w:t>
      </w:r>
      <w:r w:rsidR="009021E3">
        <w:rPr>
          <w:rFonts w:asciiTheme="minorHAnsi" w:hAnsiTheme="minorHAnsi" w:cstheme="minorHAnsi"/>
          <w:lang w:eastAsia="sk-SK"/>
        </w:rPr>
        <w:t xml:space="preserve"> </w:t>
      </w:r>
      <w:r>
        <w:rPr>
          <w:rFonts w:asciiTheme="minorHAnsi" w:hAnsiTheme="minorHAnsi" w:cstheme="minorHAnsi"/>
          <w:lang w:eastAsia="sk-SK"/>
        </w:rPr>
        <w:t xml:space="preserve">bola zistená významná zmena výslednej hodnoty indikátora, a to na úrovni 0,029-0,031 €/vkm, podľa ktorej by bol slovenský systém ETC v poradí druhým systémom s najvyššou efektívnosťou z hľadiska vozokilometrických nákladov.    </w:t>
      </w:r>
    </w:p>
    <w:p w:rsidR="004B7EA7" w:rsidRDefault="004B7EA7" w:rsidP="004B7EA7">
      <w:pPr>
        <w:pStyle w:val="Normaltext"/>
        <w:spacing w:line="276" w:lineRule="auto"/>
        <w:rPr>
          <w:rFonts w:asciiTheme="minorHAnsi" w:hAnsiTheme="minorHAnsi" w:cstheme="minorHAnsi"/>
          <w:b/>
        </w:rPr>
      </w:pPr>
      <w:r w:rsidRPr="009C58A8">
        <w:rPr>
          <w:rFonts w:asciiTheme="minorHAnsi" w:hAnsiTheme="minorHAnsi" w:cstheme="minorHAnsi"/>
          <w:b/>
        </w:rPr>
        <w:t>Na základe získaných výsledkov komparatívnej analýzy možno konštatovať, že problémom nízkej efektívnosti slovenského systému ETC nie sú náklady systému, ktoré sú z porovnávaných krajín najnižšie, či už v nominálnej hodnote alebo prepočítané na kilometer siete, ale hlavným problémom je nízka výnosnosť slovenského systému ETC</w:t>
      </w:r>
      <w:r w:rsidR="009C58A8" w:rsidRPr="009C58A8">
        <w:rPr>
          <w:rFonts w:asciiTheme="minorHAnsi" w:hAnsiTheme="minorHAnsi" w:cstheme="minorHAnsi"/>
          <w:b/>
        </w:rPr>
        <w:t xml:space="preserve"> vyplývajúca najmä z nízkych intenzít povinných vozidiel na sieti</w:t>
      </w:r>
      <w:r w:rsidR="005B0F82">
        <w:rPr>
          <w:rFonts w:asciiTheme="minorHAnsi" w:hAnsiTheme="minorHAnsi" w:cstheme="minorHAnsi"/>
          <w:b/>
        </w:rPr>
        <w:t xml:space="preserve">. </w:t>
      </w:r>
      <w:r w:rsidR="009021E3">
        <w:rPr>
          <w:rFonts w:asciiTheme="minorHAnsi" w:hAnsiTheme="minorHAnsi" w:cstheme="minorHAnsi"/>
          <w:b/>
        </w:rPr>
        <w:t xml:space="preserve"> </w:t>
      </w:r>
      <w:r w:rsidR="009C58A8" w:rsidRPr="009C58A8">
        <w:rPr>
          <w:rFonts w:asciiTheme="minorHAnsi" w:hAnsiTheme="minorHAnsi" w:cstheme="minorHAnsi"/>
          <w:b/>
        </w:rPr>
        <w:t xml:space="preserve"> </w:t>
      </w:r>
    </w:p>
    <w:p w:rsidR="006703FB" w:rsidRPr="00993F8D" w:rsidRDefault="00993F8D" w:rsidP="00993F8D">
      <w:pPr>
        <w:pStyle w:val="Nadpis1"/>
      </w:pPr>
      <w:bookmarkStart w:id="266" w:name="_Toc36664407"/>
      <w:r w:rsidRPr="00993F8D">
        <w:t xml:space="preserve">Analýza očakávanej a dosiahnutej výnosnosti </w:t>
      </w:r>
      <w:r>
        <w:t>EMS na</w:t>
      </w:r>
      <w:r w:rsidRPr="00993F8D">
        <w:t xml:space="preserve"> základe vybraných ukazovateľov</w:t>
      </w:r>
      <w:bookmarkEnd w:id="266"/>
    </w:p>
    <w:p w:rsidR="008B6765" w:rsidRDefault="008B6765" w:rsidP="006703FB">
      <w:pPr>
        <w:pStyle w:val="Nadpis2"/>
        <w:rPr>
          <w:rFonts w:asciiTheme="minorHAnsi" w:hAnsiTheme="minorHAnsi" w:cstheme="minorHAnsi"/>
        </w:rPr>
      </w:pPr>
      <w:bookmarkStart w:id="267" w:name="_Toc36664408"/>
      <w:bookmarkStart w:id="268" w:name="_Toc20687967"/>
      <w:r>
        <w:rPr>
          <w:rFonts w:asciiTheme="minorHAnsi" w:hAnsiTheme="minorHAnsi" w:cstheme="minorHAnsi"/>
        </w:rPr>
        <w:t>P</w:t>
      </w:r>
      <w:r w:rsidR="00794647">
        <w:rPr>
          <w:rFonts w:asciiTheme="minorHAnsi" w:hAnsiTheme="minorHAnsi" w:cstheme="minorHAnsi"/>
        </w:rPr>
        <w:t>rognózovaná</w:t>
      </w:r>
      <w:r>
        <w:rPr>
          <w:rFonts w:asciiTheme="minorHAnsi" w:hAnsiTheme="minorHAnsi" w:cstheme="minorHAnsi"/>
        </w:rPr>
        <w:t xml:space="preserve"> a skutočná výnosnosť EMS</w:t>
      </w:r>
      <w:r w:rsidR="00794647">
        <w:rPr>
          <w:rFonts w:asciiTheme="minorHAnsi" w:hAnsiTheme="minorHAnsi" w:cstheme="minorHAnsi"/>
        </w:rPr>
        <w:t xml:space="preserve"> SR</w:t>
      </w:r>
      <w:bookmarkEnd w:id="267"/>
    </w:p>
    <w:p w:rsidR="008B6765" w:rsidRDefault="008B6765" w:rsidP="008B6765">
      <w:pPr>
        <w:pStyle w:val="Odsekzoznamu"/>
        <w:ind w:left="0"/>
        <w:contextualSpacing w:val="0"/>
      </w:pPr>
      <w:r>
        <w:t>Výskumný ústav dopravný, a.s. riešil problematiku zavedenia elektronického výberu mýta od roku 2004 najskôr pre ministerstvo dopravy, neskôr aj pre Národnú diaľničnú spoločnosť,</w:t>
      </w:r>
      <w:r w:rsidR="001B133E">
        <w:t xml:space="preserve"> a.s.</w:t>
      </w:r>
      <w:r>
        <w:t xml:space="preserve"> najmä v období pred zavedením mýtneho systému do prevádzky. Najdôležitejším výstupom bol výpočet sadzieb mýta a predikcia výnosov z mýtneho systému. </w:t>
      </w:r>
    </w:p>
    <w:p w:rsidR="00FA1C74" w:rsidRDefault="008B6765" w:rsidP="00FA1C74">
      <w:pPr>
        <w:pStyle w:val="Odsekzoznamu"/>
        <w:ind w:left="0"/>
      </w:pPr>
      <w:r>
        <w:t xml:space="preserve">Podľa pôvodne nastavených parametrov boli v roku 2009 </w:t>
      </w:r>
      <w:r w:rsidR="00AE5B8A" w:rsidRPr="00751643">
        <w:t>prepočítané výnosy</w:t>
      </w:r>
      <w:r>
        <w:t xml:space="preserve"> mýtneho systému </w:t>
      </w:r>
      <w:r w:rsidRPr="0002555C">
        <w:t>v rokoch 2010 – 2022 v</w:t>
      </w:r>
      <w:r>
        <w:t> celkovej výške</w:t>
      </w:r>
      <w:r w:rsidRPr="0002555C">
        <w:t xml:space="preserve"> približne </w:t>
      </w:r>
      <w:r w:rsidRPr="000E4928">
        <w:t>3,4 mld</w:t>
      </w:r>
      <w:r w:rsidR="00BA0389">
        <w:t>.</w:t>
      </w:r>
      <w:r w:rsidRPr="000E4928">
        <w:t xml:space="preserve"> EUR</w:t>
      </w:r>
      <w:r>
        <w:t>. Pri výpočtoch boli uvažované p</w:t>
      </w:r>
      <w:r w:rsidR="001B133E">
        <w:t>rognózované</w:t>
      </w:r>
      <w:r>
        <w:t xml:space="preserve"> intenzity, ekonomické mýto a dodržanie termínov odovzdávania nových úsekov diaľnic a rýchlostných ciest.</w:t>
      </w:r>
      <w:r w:rsidR="00FA1C74">
        <w:t xml:space="preserve"> </w:t>
      </w:r>
      <w:r w:rsidR="00FA1C74" w:rsidRPr="00112ACC">
        <w:t>Nasledujúc</w:t>
      </w:r>
      <w:r w:rsidR="00FA1C74">
        <w:t>e</w:t>
      </w:r>
      <w:r w:rsidR="00FA1C74" w:rsidRPr="00112ACC">
        <w:t xml:space="preserve"> graf</w:t>
      </w:r>
      <w:r w:rsidR="00FA1C74">
        <w:t>y</w:t>
      </w:r>
      <w:r w:rsidR="00FA1C74" w:rsidRPr="00112ACC">
        <w:t xml:space="preserve"> </w:t>
      </w:r>
      <w:r w:rsidR="00FA1C74">
        <w:t>znázorňujú pôvodne vypočítanú a skutočnú výšku výnosov</w:t>
      </w:r>
      <w:r w:rsidR="00436F97">
        <w:t xml:space="preserve"> </w:t>
      </w:r>
      <w:r w:rsidR="00FA1C74">
        <w:t>mýtneho systému  (</w:t>
      </w:r>
      <w:r w:rsidR="00AE5B8A">
        <w:fldChar w:fldCharType="begin"/>
      </w:r>
      <w:r w:rsidR="00FA1C74">
        <w:instrText xml:space="preserve"> REF _Ref23061177 \h </w:instrText>
      </w:r>
      <w:r w:rsidR="00AE5B8A">
        <w:fldChar w:fldCharType="separate"/>
      </w:r>
      <w:r w:rsidR="001E4C1C">
        <w:t xml:space="preserve">Obr. </w:t>
      </w:r>
      <w:r w:rsidR="001E4C1C">
        <w:rPr>
          <w:noProof/>
        </w:rPr>
        <w:t>3</w:t>
      </w:r>
      <w:r w:rsidR="001E4C1C">
        <w:noBreakHyphen/>
      </w:r>
      <w:r w:rsidR="001E4C1C">
        <w:rPr>
          <w:noProof/>
        </w:rPr>
        <w:t>3</w:t>
      </w:r>
      <w:r w:rsidR="00AE5B8A">
        <w:fldChar w:fldCharType="end"/>
      </w:r>
      <w:r w:rsidR="00FA1C74">
        <w:t xml:space="preserve">, </w:t>
      </w:r>
      <w:r w:rsidR="00AE5B8A">
        <w:fldChar w:fldCharType="begin"/>
      </w:r>
      <w:r w:rsidR="00FA1C74">
        <w:instrText xml:space="preserve"> REF _Ref22841995 \h </w:instrText>
      </w:r>
      <w:r w:rsidR="00AE5B8A">
        <w:fldChar w:fldCharType="separate"/>
      </w:r>
      <w:r w:rsidR="001E4C1C">
        <w:t xml:space="preserve">Obr. </w:t>
      </w:r>
      <w:r w:rsidR="001E4C1C">
        <w:rPr>
          <w:noProof/>
        </w:rPr>
        <w:t>3</w:t>
      </w:r>
      <w:r w:rsidR="001E4C1C">
        <w:noBreakHyphen/>
      </w:r>
      <w:r w:rsidR="001E4C1C">
        <w:rPr>
          <w:noProof/>
        </w:rPr>
        <w:t>4</w:t>
      </w:r>
      <w:r w:rsidR="00AE5B8A">
        <w:fldChar w:fldCharType="end"/>
      </w:r>
      <w:r w:rsidR="00FA1C74">
        <w:t xml:space="preserve">). </w:t>
      </w:r>
    </w:p>
    <w:p w:rsidR="00FA1C74" w:rsidRDefault="00FA1C74" w:rsidP="00FA1C74">
      <w:pPr>
        <w:pStyle w:val="Odsekzoznamu"/>
        <w:ind w:left="0"/>
      </w:pPr>
    </w:p>
    <w:p w:rsidR="00FA1C74" w:rsidRDefault="00BA0389" w:rsidP="00FA1C74">
      <w:pPr>
        <w:pStyle w:val="Odsekzoznamu"/>
        <w:ind w:left="0"/>
        <w:contextualSpacing w:val="0"/>
      </w:pPr>
      <w:r w:rsidRPr="00BA0389">
        <w:rPr>
          <w:noProof/>
          <w:lang w:eastAsia="sk-SK"/>
        </w:rPr>
        <w:drawing>
          <wp:inline distT="0" distB="0" distL="0" distR="0">
            <wp:extent cx="5951855" cy="2160000"/>
            <wp:effectExtent l="19050" t="0" r="10795" b="0"/>
            <wp:docPr id="52"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BA0389" w:rsidRDefault="00BA0389" w:rsidP="001B133E">
      <w:pPr>
        <w:pStyle w:val="Popis"/>
      </w:pPr>
      <w:bookmarkStart w:id="269" w:name="_Toc36664532"/>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w:t>
      </w:r>
      <w:r w:rsidR="00C40D3F">
        <w:rPr>
          <w:noProof/>
        </w:rPr>
        <w:fldChar w:fldCharType="end"/>
      </w:r>
      <w:r>
        <w:tab/>
        <w:t xml:space="preserve">Prepočítané </w:t>
      </w:r>
      <w:r w:rsidRPr="00BA0389">
        <w:t>(2009) tržby z mýta 2010 - 2022 (mil.</w:t>
      </w:r>
      <w:r w:rsidR="001B133E">
        <w:t xml:space="preserve"> </w:t>
      </w:r>
      <w:r w:rsidRPr="00BA0389">
        <w:t>€)</w:t>
      </w:r>
      <w:bookmarkEnd w:id="269"/>
    </w:p>
    <w:p w:rsidR="00031356" w:rsidRDefault="00031356" w:rsidP="008B6765">
      <w:pPr>
        <w:pStyle w:val="Odsekzoznamu"/>
        <w:ind w:left="0"/>
        <w:contextualSpacing w:val="0"/>
      </w:pPr>
      <w:r w:rsidRPr="00031356">
        <w:rPr>
          <w:noProof/>
          <w:lang w:eastAsia="sk-SK"/>
        </w:rPr>
        <w:drawing>
          <wp:inline distT="0" distB="0" distL="0" distR="0">
            <wp:extent cx="5949315" cy="2160000"/>
            <wp:effectExtent l="19050" t="0" r="13335" b="0"/>
            <wp:docPr id="50"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BA0389" w:rsidRDefault="00BA0389" w:rsidP="00BA0389">
      <w:pPr>
        <w:pStyle w:val="Popis"/>
      </w:pPr>
      <w:bookmarkStart w:id="270" w:name="_Toc36664533"/>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w:t>
      </w:r>
      <w:r w:rsidR="00C40D3F">
        <w:rPr>
          <w:noProof/>
        </w:rPr>
        <w:fldChar w:fldCharType="end"/>
      </w:r>
      <w:r>
        <w:tab/>
        <w:t xml:space="preserve">Skutočné </w:t>
      </w:r>
      <w:r w:rsidRPr="00BA0389">
        <w:t>tržby z mýta 2010 - 20</w:t>
      </w:r>
      <w:r>
        <w:t>18</w:t>
      </w:r>
      <w:r w:rsidRPr="00BA0389">
        <w:t xml:space="preserve"> (mil.</w:t>
      </w:r>
      <w:r w:rsidR="001B133E">
        <w:t xml:space="preserve"> </w:t>
      </w:r>
      <w:r w:rsidRPr="00BA0389">
        <w:t>€)</w:t>
      </w:r>
      <w:bookmarkEnd w:id="270"/>
    </w:p>
    <w:p w:rsidR="008B6765" w:rsidRDefault="008B6765" w:rsidP="008B6765">
      <w:pPr>
        <w:pStyle w:val="Odsekzoznamu"/>
        <w:ind w:left="0"/>
      </w:pPr>
      <w:r>
        <w:t xml:space="preserve"> </w:t>
      </w:r>
    </w:p>
    <w:p w:rsidR="00C569C3" w:rsidRDefault="00C569C3" w:rsidP="001B133E">
      <w:r w:rsidRPr="00112ACC">
        <w:rPr>
          <w:noProof/>
          <w:lang w:eastAsia="sk-SK"/>
        </w:rPr>
        <w:t xml:space="preserve">Z grafov </w:t>
      </w:r>
      <w:r w:rsidR="001B133E">
        <w:rPr>
          <w:noProof/>
          <w:lang w:eastAsia="sk-SK"/>
        </w:rPr>
        <w:t>vyplýva</w:t>
      </w:r>
      <w:r w:rsidRPr="00112ACC">
        <w:rPr>
          <w:noProof/>
          <w:lang w:eastAsia="sk-SK"/>
        </w:rPr>
        <w:t>, že</w:t>
      </w:r>
      <w:r>
        <w:rPr>
          <w:noProof/>
          <w:lang w:eastAsia="sk-SK"/>
        </w:rPr>
        <w:t xml:space="preserve"> výber mýta</w:t>
      </w:r>
      <w:r w:rsidRPr="00112ACC">
        <w:rPr>
          <w:noProof/>
          <w:lang w:eastAsia="sk-SK"/>
        </w:rPr>
        <w:t xml:space="preserve"> má </w:t>
      </w:r>
      <w:r w:rsidR="00436F97">
        <w:rPr>
          <w:noProof/>
          <w:lang w:eastAsia="sk-SK"/>
        </w:rPr>
        <w:t xml:space="preserve">v súčasnosti </w:t>
      </w:r>
      <w:r w:rsidRPr="00112ACC">
        <w:rPr>
          <w:noProof/>
          <w:lang w:eastAsia="sk-SK"/>
        </w:rPr>
        <w:t xml:space="preserve">rastúcu tendenciu, </w:t>
      </w:r>
      <w:r w:rsidR="00436F97">
        <w:rPr>
          <w:noProof/>
          <w:lang w:eastAsia="sk-SK"/>
        </w:rPr>
        <w:t>avšak</w:t>
      </w:r>
      <w:r w:rsidRPr="00112ACC">
        <w:rPr>
          <w:noProof/>
          <w:lang w:eastAsia="sk-SK"/>
        </w:rPr>
        <w:t xml:space="preserve"> nie takým</w:t>
      </w:r>
      <w:r>
        <w:rPr>
          <w:noProof/>
          <w:lang w:eastAsia="sk-SK"/>
        </w:rPr>
        <w:t xml:space="preserve"> </w:t>
      </w:r>
      <w:r w:rsidRPr="00112ACC">
        <w:rPr>
          <w:noProof/>
          <w:lang w:eastAsia="sk-SK"/>
        </w:rPr>
        <w:t xml:space="preserve">tempom ako </w:t>
      </w:r>
      <w:r w:rsidR="001B133E">
        <w:rPr>
          <w:noProof/>
          <w:lang w:eastAsia="sk-SK"/>
        </w:rPr>
        <w:t xml:space="preserve">bolo </w:t>
      </w:r>
      <w:r w:rsidR="00350D5C">
        <w:rPr>
          <w:noProof/>
          <w:lang w:eastAsia="sk-SK"/>
        </w:rPr>
        <w:t>pôvodne prognózované</w:t>
      </w:r>
      <w:r w:rsidRPr="00112ACC">
        <w:rPr>
          <w:noProof/>
          <w:lang w:eastAsia="sk-SK"/>
        </w:rPr>
        <w:t>.</w:t>
      </w:r>
      <w:r>
        <w:rPr>
          <w:noProof/>
          <w:lang w:eastAsia="sk-SK"/>
        </w:rPr>
        <w:t xml:space="preserve"> Najväčšie rozdiely sú vo výnosoch z</w:t>
      </w:r>
      <w:r w:rsidR="00602179">
        <w:rPr>
          <w:noProof/>
          <w:lang w:eastAsia="sk-SK"/>
        </w:rPr>
        <w:t xml:space="preserve">o spoplatnenia </w:t>
      </w:r>
      <w:r>
        <w:rPr>
          <w:noProof/>
          <w:lang w:eastAsia="sk-SK"/>
        </w:rPr>
        <w:t xml:space="preserve">diaľníc a rýchlostných </w:t>
      </w:r>
      <w:r w:rsidR="00602179">
        <w:rPr>
          <w:noProof/>
          <w:lang w:eastAsia="sk-SK"/>
        </w:rPr>
        <w:t xml:space="preserve">ciest, menšie vo výnosoch zo spoplatnenia </w:t>
      </w:r>
      <w:r>
        <w:rPr>
          <w:noProof/>
          <w:lang w:eastAsia="sk-SK"/>
        </w:rPr>
        <w:t>c</w:t>
      </w:r>
      <w:r w:rsidR="00602179">
        <w:rPr>
          <w:noProof/>
          <w:lang w:eastAsia="sk-SK"/>
        </w:rPr>
        <w:t>iest</w:t>
      </w:r>
      <w:r w:rsidR="001B133E">
        <w:rPr>
          <w:noProof/>
          <w:lang w:eastAsia="sk-SK"/>
        </w:rPr>
        <w:t xml:space="preserve"> </w:t>
      </w:r>
      <w:r>
        <w:rPr>
          <w:noProof/>
          <w:lang w:eastAsia="sk-SK"/>
        </w:rPr>
        <w:t xml:space="preserve">I. triedy. </w:t>
      </w:r>
      <w:r w:rsidR="00436F97">
        <w:rPr>
          <w:noProof/>
          <w:lang w:eastAsia="sk-SK"/>
        </w:rPr>
        <w:t>Ukazuje sa, že počas prevádzky systému došlo k neočakávaným skutočnostiam, ktoré celkovú úroveň výnosov ovplyvnili v negatívnom smere. Z vonkajších faktorov išlo najmä o prepuknutie hospodárskej krízy, ktorá spôsobila významné zníženie denných intenzít povinných vozidiel na diaľniciach (</w:t>
      </w:r>
      <w:r w:rsidR="00C40D3F">
        <w:fldChar w:fldCharType="begin"/>
      </w:r>
      <w:r w:rsidR="00C40D3F">
        <w:instrText xml:space="preserve"> REF _Ref19822693 \h  \* MERGEFORMAT </w:instrText>
      </w:r>
      <w:r w:rsidR="00C40D3F">
        <w:fldChar w:fldCharType="separate"/>
      </w:r>
      <w:r w:rsidR="001E4C1C" w:rsidRPr="004C1013">
        <w:t xml:space="preserve">Tab.  </w:t>
      </w:r>
      <w:r w:rsidR="001E4C1C">
        <w:rPr>
          <w:noProof/>
        </w:rPr>
        <w:t>1</w:t>
      </w:r>
      <w:r w:rsidR="001E4C1C">
        <w:rPr>
          <w:noProof/>
        </w:rPr>
        <w:noBreakHyphen/>
        <w:t>4</w:t>
      </w:r>
      <w:r w:rsidR="00C40D3F">
        <w:fldChar w:fldCharType="end"/>
      </w:r>
      <w:r w:rsidR="00436F97">
        <w:rPr>
          <w:noProof/>
          <w:lang w:eastAsia="sk-SK"/>
        </w:rPr>
        <w:t xml:space="preserve">) a </w:t>
      </w:r>
      <w:r w:rsidR="00436F97">
        <w:t>neodovzdanie nových úsekov diaľnic a rýchlostných ciest plánované v dobe spustenia mýtneho systému</w:t>
      </w:r>
      <w:r w:rsidR="004C4E29">
        <w:t xml:space="preserve">. </w:t>
      </w:r>
      <w:r>
        <w:t xml:space="preserve">Na druhej strane je </w:t>
      </w:r>
      <w:r w:rsidR="004C4E29">
        <w:t xml:space="preserve">tiež </w:t>
      </w:r>
      <w:r>
        <w:t xml:space="preserve">zrejmé, že ekonomické sadzby použité vo výpočte predpokladaných tržieb z mýta neboli </w:t>
      </w:r>
      <w:r w:rsidR="00350D5C">
        <w:t xml:space="preserve">v roku 2009 </w:t>
      </w:r>
      <w:r>
        <w:t xml:space="preserve">zo strany spoplatňovateľa (NDS, a.s.) uplatnené.  </w:t>
      </w:r>
      <w:r w:rsidR="001B133E">
        <w:t xml:space="preserve"> </w:t>
      </w:r>
    </w:p>
    <w:p w:rsidR="00480D58" w:rsidRDefault="00480D58" w:rsidP="006703FB">
      <w:pPr>
        <w:pStyle w:val="Nadpis2"/>
        <w:rPr>
          <w:rFonts w:asciiTheme="minorHAnsi" w:hAnsiTheme="minorHAnsi" w:cstheme="minorHAnsi"/>
        </w:rPr>
      </w:pPr>
      <w:bookmarkStart w:id="271" w:name="_Toc36664409"/>
      <w:r>
        <w:rPr>
          <w:rFonts w:asciiTheme="minorHAnsi" w:hAnsiTheme="minorHAnsi" w:cstheme="minorHAnsi"/>
        </w:rPr>
        <w:t>Analýza príčin nízkej výnosnosti EMS</w:t>
      </w:r>
      <w:r w:rsidR="00794647">
        <w:rPr>
          <w:rFonts w:asciiTheme="minorHAnsi" w:hAnsiTheme="minorHAnsi" w:cstheme="minorHAnsi"/>
        </w:rPr>
        <w:t xml:space="preserve"> SR</w:t>
      </w:r>
      <w:bookmarkEnd w:id="271"/>
    </w:p>
    <w:p w:rsidR="00C569C3" w:rsidRDefault="00C569C3" w:rsidP="00C569C3">
      <w:r>
        <w:t xml:space="preserve">Z porovnania základných finančných ukazovateľov a vyplývajúcej efektívnosti systému ETC v SR so zahraničnými systémami vyplýva, že náklady slovenského systému sú v nominálnej a kilometrickej úrovni najnižšie, najvyššie sú v prepočtoch na jednotku dopravného výkonu vzhľadom na najnižšie intenzity povinných vozidiel na sieti. Na druhej strane, nominálna, kilometrická ale tiež vozokilometrická úroveň výnosov systému SR je výraznejšie nižšia ako výnosová úroveň systémov porovnávaných štátov, čo má za následok najnižšiu finančnú efektívnosť systému SR v porovnaní s ostatnými krajinami. V tomto kontexte je potrebné hľadať dôvody a príčiny, prečo systém neprináša také výnosy, aké boli pôvodne predikované. </w:t>
      </w:r>
    </w:p>
    <w:p w:rsidR="008353C4" w:rsidRDefault="00624F4E" w:rsidP="008353C4">
      <w:r>
        <w:t xml:space="preserve">Z toho dôvodu sú v tejto podkapitole analyzované plánované a skutočné parametre základných </w:t>
      </w:r>
      <w:r w:rsidR="00D150FE">
        <w:t>premenn</w:t>
      </w:r>
      <w:r>
        <w:t>ých</w:t>
      </w:r>
      <w:r w:rsidR="00C6035C">
        <w:t xml:space="preserve"> </w:t>
      </w:r>
      <w:r w:rsidR="00D150FE">
        <w:t>ovplyvňujúc</w:t>
      </w:r>
      <w:r>
        <w:t>ich</w:t>
      </w:r>
      <w:r w:rsidR="00350D5C">
        <w:t xml:space="preserve"> </w:t>
      </w:r>
      <w:r w:rsidR="00D150FE">
        <w:t xml:space="preserve">výšku výnosov </w:t>
      </w:r>
      <w:r w:rsidR="008353C4">
        <w:t>mýtneho systému:</w:t>
      </w:r>
    </w:p>
    <w:p w:rsidR="008353C4" w:rsidRPr="008353C4" w:rsidRDefault="008353C4" w:rsidP="00D95B44">
      <w:pPr>
        <w:pStyle w:val="Odsekzoznamu"/>
        <w:numPr>
          <w:ilvl w:val="0"/>
          <w:numId w:val="37"/>
        </w:numPr>
        <w:ind w:left="709"/>
        <w:contextualSpacing w:val="0"/>
        <w:jc w:val="left"/>
      </w:pPr>
      <w:r w:rsidRPr="008353C4">
        <w:t xml:space="preserve">dĺžka </w:t>
      </w:r>
      <w:r w:rsidR="00174247">
        <w:t>spoplatnených úsekov</w:t>
      </w:r>
      <w:r w:rsidRPr="008353C4">
        <w:t>,</w:t>
      </w:r>
    </w:p>
    <w:p w:rsidR="008353C4" w:rsidRPr="008353C4" w:rsidRDefault="008353C4" w:rsidP="00D95B44">
      <w:pPr>
        <w:pStyle w:val="Odsekzoznamu"/>
        <w:numPr>
          <w:ilvl w:val="0"/>
          <w:numId w:val="37"/>
        </w:numPr>
        <w:ind w:left="709"/>
        <w:contextualSpacing w:val="0"/>
        <w:jc w:val="left"/>
      </w:pPr>
      <w:r w:rsidRPr="008353C4">
        <w:t>mýtne sadzby,</w:t>
      </w:r>
    </w:p>
    <w:p w:rsidR="008353C4" w:rsidRDefault="008353C4" w:rsidP="00D95B44">
      <w:pPr>
        <w:pStyle w:val="Odsekzoznamu"/>
        <w:numPr>
          <w:ilvl w:val="0"/>
          <w:numId w:val="37"/>
        </w:numPr>
        <w:ind w:left="709"/>
        <w:contextualSpacing w:val="0"/>
        <w:jc w:val="left"/>
      </w:pPr>
      <w:r w:rsidRPr="008353C4">
        <w:t xml:space="preserve">vývoj ročných priemerných denných intenzít </w:t>
      </w:r>
      <w:r w:rsidR="00174247">
        <w:t xml:space="preserve">povinných </w:t>
      </w:r>
      <w:r w:rsidRPr="008353C4">
        <w:t>vozidiel</w:t>
      </w:r>
      <w:r w:rsidR="00174247">
        <w:t xml:space="preserve"> na spoplatnenej sieti</w:t>
      </w:r>
      <w:r w:rsidRPr="008353C4">
        <w:t>.</w:t>
      </w:r>
    </w:p>
    <w:p w:rsidR="006F0F70" w:rsidRDefault="008353C4">
      <w:pPr>
        <w:pStyle w:val="Nadpis3"/>
      </w:pPr>
      <w:bookmarkStart w:id="272" w:name="_Toc36664410"/>
      <w:r>
        <w:t>Dĺžka spoplatnených úsekov</w:t>
      </w:r>
      <w:bookmarkEnd w:id="272"/>
      <w:r w:rsidR="00E24785">
        <w:t xml:space="preserve"> </w:t>
      </w:r>
    </w:p>
    <w:p w:rsidR="008353C4" w:rsidRDefault="008353C4" w:rsidP="008353C4">
      <w:pPr>
        <w:rPr>
          <w:b/>
        </w:rPr>
      </w:pPr>
      <w:r>
        <w:t xml:space="preserve">V roku </w:t>
      </w:r>
      <w:r w:rsidRPr="00D53BFE">
        <w:t>20</w:t>
      </w:r>
      <w:r>
        <w:t>09 bola pre pripravovaný mýtny systém stanovená c</w:t>
      </w:r>
      <w:r w:rsidRPr="00D53BFE">
        <w:t>elková</w:t>
      </w:r>
      <w:r>
        <w:t xml:space="preserve"> spoplatnená </w:t>
      </w:r>
      <w:r w:rsidRPr="00D53BFE">
        <w:t xml:space="preserve">dĺžka diaľnic a ciest pre motorové vozidlá </w:t>
      </w:r>
      <w:r w:rsidR="006F0F70" w:rsidRPr="00D53BFE">
        <w:t>5</w:t>
      </w:r>
      <w:r w:rsidR="006F0F70">
        <w:t>69</w:t>
      </w:r>
      <w:r w:rsidR="006F0F70" w:rsidRPr="00D53BFE">
        <w:t xml:space="preserve"> </w:t>
      </w:r>
      <w:r w:rsidRPr="00D53BFE">
        <w:t>km</w:t>
      </w:r>
      <w:r w:rsidR="00FE0285">
        <w:t xml:space="preserve">, pre rok 2010 celkom 618 km. Vzhľadom na posun termínu uvedenia mýtneho systému do prevádzky z roku 2009 na začiatok roku 2010 bolo v prvom roku prevádzky systému spoplatnených </w:t>
      </w:r>
      <w:r w:rsidR="00FE0285" w:rsidRPr="00D53BFE">
        <w:t xml:space="preserve"> </w:t>
      </w:r>
      <w:r w:rsidR="00FE0285" w:rsidRPr="001B133E">
        <w:t xml:space="preserve">563,50 km. </w:t>
      </w:r>
      <w:r w:rsidRPr="001B133E">
        <w:t>Celková dĺžka ciest I. triedy (pre rok 2009) bola 3317 km, z toho spoplatnená dĺžka bola 1384,70 km. Spolu teda bolo na začiatku fungovania mýtneho systému spoplatnených 1948,2</w:t>
      </w:r>
      <w:r w:rsidR="0074191B" w:rsidRPr="001B133E">
        <w:t xml:space="preserve"> </w:t>
      </w:r>
      <w:r w:rsidRPr="001B133E">
        <w:t xml:space="preserve">km. Na rok 2021 bola prognózovaná dĺžka spoplatnených diaľnic a rýchlostných ciest 1519,57 km, ciest 1. triedy </w:t>
      </w:r>
      <w:r w:rsidR="001B133E">
        <w:t>949,5</w:t>
      </w:r>
      <w:r w:rsidRPr="001B133E">
        <w:t xml:space="preserve"> km, teda </w:t>
      </w:r>
      <w:r w:rsidRPr="001B133E">
        <w:rPr>
          <w:bCs/>
        </w:rPr>
        <w:t xml:space="preserve">spolu </w:t>
      </w:r>
      <w:r w:rsidR="001B133E">
        <w:rPr>
          <w:bCs/>
        </w:rPr>
        <w:t>2469</w:t>
      </w:r>
      <w:r w:rsidRPr="001B133E">
        <w:rPr>
          <w:bCs/>
        </w:rPr>
        <w:t xml:space="preserve"> km. V súčasnosti je spoplatnených </w:t>
      </w:r>
      <w:r w:rsidRPr="001B133E">
        <w:t>735,60 km diaľnic a rýchlostných ciest vrátane privádzačov, 1630,35 km ciest I. triedy, spolu 2365,95 km.</w:t>
      </w:r>
      <w:r>
        <w:rPr>
          <w:b/>
        </w:rPr>
        <w:t xml:space="preserve"> </w:t>
      </w:r>
    </w:p>
    <w:p w:rsidR="005779EE" w:rsidRDefault="005779EE" w:rsidP="006E1623">
      <w:r w:rsidRPr="00F221B2">
        <w:t>Spoplatnená sieť sa mala rozširovať podľa vtedy (2009) platného plánu výstavby diaľnic a rýchlostných komunikácií. V roku 2011 bol p</w:t>
      </w:r>
      <w:r w:rsidR="00A13A8B" w:rsidRPr="00F221B2">
        <w:t>rijatý</w:t>
      </w:r>
      <w:r w:rsidRPr="00F221B2">
        <w:t xml:space="preserve"> nový Plán výstavby diaľnic a rýchlostných ciest, dokonca v dvoch verziách - NDS,</w:t>
      </w:r>
      <w:r w:rsidR="00FE0285" w:rsidRPr="00F221B2">
        <w:t xml:space="preserve"> </w:t>
      </w:r>
      <w:r w:rsidRPr="00F221B2">
        <w:t>a.s. a MD VRR SR. Aj ten sa líši od skutočnej dĺžky postavených a odovzdaných úsekov</w:t>
      </w:r>
      <w:r w:rsidR="006E1623">
        <w:t xml:space="preserve"> (</w:t>
      </w:r>
      <w:r w:rsidR="00AE5B8A">
        <w:fldChar w:fldCharType="begin"/>
      </w:r>
      <w:r w:rsidR="006E1623">
        <w:instrText xml:space="preserve"> REF _Ref23061177 \h </w:instrText>
      </w:r>
      <w:r w:rsidR="00AE5B8A">
        <w:fldChar w:fldCharType="separate"/>
      </w:r>
      <w:r w:rsidR="001E4C1C">
        <w:t xml:space="preserve">Obr. </w:t>
      </w:r>
      <w:r w:rsidR="001E4C1C">
        <w:rPr>
          <w:noProof/>
        </w:rPr>
        <w:t>3</w:t>
      </w:r>
      <w:r w:rsidR="001E4C1C">
        <w:noBreakHyphen/>
      </w:r>
      <w:r w:rsidR="001E4C1C">
        <w:rPr>
          <w:noProof/>
        </w:rPr>
        <w:t>3</w:t>
      </w:r>
      <w:r w:rsidR="00AE5B8A">
        <w:fldChar w:fldCharType="end"/>
      </w:r>
      <w:r w:rsidR="006E1623">
        <w:t>)</w:t>
      </w:r>
      <w:r>
        <w:rPr>
          <w:noProof/>
          <w:lang w:eastAsia="sk-SK"/>
        </w:rPr>
        <w:t>.</w:t>
      </w:r>
      <w:r w:rsidR="00EF1B65">
        <w:rPr>
          <w:noProof/>
          <w:lang w:eastAsia="sk-SK"/>
        </w:rPr>
        <w:t xml:space="preserve"> </w:t>
      </w:r>
    </w:p>
    <w:p w:rsidR="0058659D" w:rsidRDefault="006F0F70">
      <w:pPr>
        <w:pStyle w:val="Popis"/>
      </w:pPr>
      <w:r>
        <w:rPr>
          <w:noProof/>
          <w:lang w:eastAsia="sk-SK"/>
        </w:rPr>
        <w:drawing>
          <wp:inline distT="0" distB="0" distL="0" distR="0">
            <wp:extent cx="5942951" cy="2160000"/>
            <wp:effectExtent l="19050" t="0" r="19699" b="0"/>
            <wp:docPr id="84" name="Graf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bookmarkStart w:id="273" w:name="_Ref21911718"/>
    </w:p>
    <w:p w:rsidR="006F0F70" w:rsidRDefault="00E24785">
      <w:pPr>
        <w:pStyle w:val="Popis"/>
      </w:pPr>
      <w:bookmarkStart w:id="274" w:name="_Ref23061177"/>
      <w:bookmarkStart w:id="275" w:name="_Toc36664534"/>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3</w:t>
      </w:r>
      <w:r w:rsidR="00C40D3F">
        <w:rPr>
          <w:noProof/>
        </w:rPr>
        <w:fldChar w:fldCharType="end"/>
      </w:r>
      <w:bookmarkEnd w:id="273"/>
      <w:bookmarkEnd w:id="274"/>
      <w:r w:rsidR="006800E8">
        <w:tab/>
      </w:r>
      <w:r w:rsidR="00A13A8B" w:rsidRPr="00A13A8B">
        <w:t>Plánovaná (</w:t>
      </w:r>
      <w:r w:rsidR="009F5D37">
        <w:t xml:space="preserve">2009, </w:t>
      </w:r>
      <w:r w:rsidR="00A13A8B" w:rsidRPr="00A13A8B">
        <w:t xml:space="preserve">2011) a skutočná dĺžka </w:t>
      </w:r>
      <w:r w:rsidR="009F5D37">
        <w:t>siete</w:t>
      </w:r>
      <w:r w:rsidR="00A13A8B" w:rsidRPr="00A13A8B">
        <w:t xml:space="preserve"> D a</w:t>
      </w:r>
      <w:r w:rsidR="00A13A8B">
        <w:t> </w:t>
      </w:r>
      <w:r w:rsidR="00A13A8B" w:rsidRPr="00A13A8B">
        <w:t>RC</w:t>
      </w:r>
      <w:r w:rsidR="00A13A8B">
        <w:t xml:space="preserve"> počas prevádzky EMS</w:t>
      </w:r>
      <w:r w:rsidR="00A13A8B" w:rsidRPr="00A13A8B">
        <w:t xml:space="preserve"> (km)</w:t>
      </w:r>
      <w:bookmarkEnd w:id="275"/>
    </w:p>
    <w:p w:rsidR="001E1543" w:rsidRDefault="004373A4" w:rsidP="00E05653">
      <w:r>
        <w:t xml:space="preserve">Na základe porovnania plánovaných a skutočných dĺžok </w:t>
      </w:r>
      <w:r w:rsidR="00EF1B65">
        <w:t>disponibilnej siete</w:t>
      </w:r>
      <w:r>
        <w:t xml:space="preserve"> diaľnic a rýchlostných ciest v SR možno konštatovať, že </w:t>
      </w:r>
      <w:r w:rsidR="004D03E4">
        <w:t xml:space="preserve">už </w:t>
      </w:r>
      <w:r>
        <w:t xml:space="preserve">od </w:t>
      </w:r>
      <w:r w:rsidR="00EF1B65">
        <w:t>1</w:t>
      </w:r>
      <w:r>
        <w:t>. roku prevádzky EMS sa začal prejavovať trend zvyšovania rozdielov medzi plán</w:t>
      </w:r>
      <w:r w:rsidR="00EF1B65">
        <w:t xml:space="preserve">mi </w:t>
      </w:r>
      <w:r>
        <w:t xml:space="preserve">a skutočnosťou. </w:t>
      </w:r>
      <w:r w:rsidR="001E1543">
        <w:t xml:space="preserve">Najvyššie rozdiely boli zistené medzi skutočnosťou </w:t>
      </w:r>
      <w:r w:rsidR="002C0F91">
        <w:t xml:space="preserve">a plánom </w:t>
      </w:r>
      <w:r w:rsidR="001E1543">
        <w:t xml:space="preserve">z roku </w:t>
      </w:r>
      <w:r w:rsidR="002C0F91">
        <w:t xml:space="preserve">2009, </w:t>
      </w:r>
      <w:r w:rsidR="001E1543">
        <w:t>kde tento rozdiel predstavoval v prvom roku prevádzky systému 72 km a ku koncu roku 2018 až 557 km, tzn. len 58%</w:t>
      </w:r>
      <w:r w:rsidR="00E645FA">
        <w:t>-né</w:t>
      </w:r>
      <w:r w:rsidR="001E1543">
        <w:t xml:space="preserve"> splnenie pôvodného plánu. </w:t>
      </w:r>
      <w:r w:rsidR="002C0F91">
        <w:t>Plán</w:t>
      </w:r>
      <w:r w:rsidR="00A65554">
        <w:t xml:space="preserve"> NDS, a.s.</w:t>
      </w:r>
      <w:r w:rsidR="002C0F91">
        <w:t xml:space="preserve"> z roku 2011 </w:t>
      </w:r>
      <w:r w:rsidR="00A65554">
        <w:t>bol</w:t>
      </w:r>
      <w:r w:rsidR="002C0F91">
        <w:t xml:space="preserve"> ku koncu roku 2018 splnený na </w:t>
      </w:r>
      <w:r w:rsidR="00A65554">
        <w:t xml:space="preserve">76% (rozdiel 250 km) a plán MD VRR na 66% (rozdiel 403 km). </w:t>
      </w:r>
    </w:p>
    <w:p w:rsidR="007B6506" w:rsidRDefault="006B025A" w:rsidP="00E05653">
      <w:r>
        <w:t>V</w:t>
      </w:r>
      <w:r w:rsidR="007B6506">
        <w:t xml:space="preserve"> súvislosti s vyššie uvedeným nedodržaním plánu výstavby a odovzdania nových úsekov </w:t>
      </w:r>
      <w:r>
        <w:t>diaľnic</w:t>
      </w:r>
      <w:r w:rsidR="007B6506">
        <w:t xml:space="preserve"> a rýchlostných ciest nemohla byť dodržaná ani plánovaná dĺžka spoplatnen</w:t>
      </w:r>
      <w:r>
        <w:t>ia</w:t>
      </w:r>
      <w:r w:rsidR="007B6506">
        <w:t xml:space="preserve"> úsekov diaľnic a </w:t>
      </w:r>
      <w:r>
        <w:t>rýchl</w:t>
      </w:r>
      <w:r w:rsidR="007B6506">
        <w:t>o</w:t>
      </w:r>
      <w:r>
        <w:t>s</w:t>
      </w:r>
      <w:r w:rsidR="007B6506">
        <w:t>tný</w:t>
      </w:r>
      <w:r>
        <w:t>c</w:t>
      </w:r>
      <w:r w:rsidR="007B6506">
        <w:t xml:space="preserve">h ciest. </w:t>
      </w:r>
      <w:r>
        <w:t xml:space="preserve">Z porovnania plánovanej (2009) a skutočnej dĺžky spoplatnenej siete D a RC vyplývajú rozdiely už od prvého roku prevádzky systému </w:t>
      </w:r>
      <w:r w:rsidR="007B6506">
        <w:t>(</w:t>
      </w:r>
      <w:r w:rsidR="00AE5B8A">
        <w:fldChar w:fldCharType="begin"/>
      </w:r>
      <w:r w:rsidR="007B6506">
        <w:instrText xml:space="preserve"> REF _Ref22841995 \h </w:instrText>
      </w:r>
      <w:r w:rsidR="00AE5B8A">
        <w:fldChar w:fldCharType="separate"/>
      </w:r>
      <w:r w:rsidR="001E4C1C">
        <w:t xml:space="preserve">Obr. </w:t>
      </w:r>
      <w:r w:rsidR="001E4C1C">
        <w:rPr>
          <w:noProof/>
        </w:rPr>
        <w:t>3</w:t>
      </w:r>
      <w:r w:rsidR="001E4C1C">
        <w:noBreakHyphen/>
      </w:r>
      <w:r w:rsidR="001E4C1C">
        <w:rPr>
          <w:noProof/>
        </w:rPr>
        <w:t>4</w:t>
      </w:r>
      <w:r w:rsidR="00AE5B8A">
        <w:fldChar w:fldCharType="end"/>
      </w:r>
      <w:r w:rsidR="007B6506">
        <w:t>)</w:t>
      </w:r>
      <w:r>
        <w:t xml:space="preserve">. </w:t>
      </w:r>
    </w:p>
    <w:p w:rsidR="001A372F" w:rsidRDefault="003A3ABD" w:rsidP="001E1543">
      <w:r w:rsidRPr="003A3ABD">
        <w:rPr>
          <w:noProof/>
          <w:lang w:eastAsia="sk-SK"/>
        </w:rPr>
        <w:drawing>
          <wp:inline distT="0" distB="0" distL="0" distR="0">
            <wp:extent cx="5944856" cy="2160000"/>
            <wp:effectExtent l="19050" t="0" r="17794" b="0"/>
            <wp:docPr id="47"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1A372F" w:rsidRDefault="001A372F" w:rsidP="001A372F">
      <w:pPr>
        <w:pStyle w:val="Popis"/>
      </w:pPr>
      <w:bookmarkStart w:id="276" w:name="_Ref22841995"/>
      <w:bookmarkStart w:id="277" w:name="_Toc36664535"/>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4</w:t>
      </w:r>
      <w:r w:rsidR="00C40D3F">
        <w:rPr>
          <w:noProof/>
        </w:rPr>
        <w:fldChar w:fldCharType="end"/>
      </w:r>
      <w:bookmarkEnd w:id="276"/>
      <w:r>
        <w:tab/>
        <w:t>P</w:t>
      </w:r>
      <w:r w:rsidRPr="00A13A8B">
        <w:t>lánovaná (</w:t>
      </w:r>
      <w:r>
        <w:t>2009</w:t>
      </w:r>
      <w:r w:rsidRPr="00A13A8B">
        <w:t>)</w:t>
      </w:r>
      <w:r>
        <w:t xml:space="preserve"> a skutočná</w:t>
      </w:r>
      <w:r w:rsidRPr="00A13A8B">
        <w:t xml:space="preserve"> dĺžka</w:t>
      </w:r>
      <w:r>
        <w:t xml:space="preserve"> spoplatnených úsekov </w:t>
      </w:r>
      <w:r w:rsidRPr="00A13A8B">
        <w:t>D a</w:t>
      </w:r>
      <w:r>
        <w:t> </w:t>
      </w:r>
      <w:r w:rsidRPr="00A13A8B">
        <w:t>RC</w:t>
      </w:r>
      <w:r>
        <w:t xml:space="preserve"> počas prevádzky EMS</w:t>
      </w:r>
      <w:r w:rsidRPr="00A13A8B">
        <w:t xml:space="preserve"> (km)</w:t>
      </w:r>
      <w:bookmarkEnd w:id="277"/>
    </w:p>
    <w:p w:rsidR="006B6490" w:rsidRDefault="006B6490" w:rsidP="006B6490">
      <w:pPr>
        <w:spacing w:before="0" w:after="200"/>
      </w:pPr>
      <w:r>
        <w:t xml:space="preserve">V roku 2010 bol dosiahnutý rozdiel 54 km, čo predstavovalo 9% z celkovej plánovanej dĺžky. </w:t>
      </w:r>
      <w:r w:rsidRPr="00DC040B">
        <w:t xml:space="preserve">V ďalších rokoch </w:t>
      </w:r>
      <w:r>
        <w:t xml:space="preserve">prevádzky systému </w:t>
      </w:r>
      <w:r w:rsidRPr="00DC040B">
        <w:t xml:space="preserve">sa rozdiely medzi plánom a skutočnosťou </w:t>
      </w:r>
      <w:r>
        <w:t xml:space="preserve">spoplatnených dĺžok diaľnic a rýchlostných ciest </w:t>
      </w:r>
      <w:r w:rsidRPr="00DC040B">
        <w:t xml:space="preserve">ešte prehlbujú a v roku 2018 </w:t>
      </w:r>
      <w:r>
        <w:t xml:space="preserve">je pôvodný plán splnený </w:t>
      </w:r>
      <w:r w:rsidR="006B025A">
        <w:t xml:space="preserve">len </w:t>
      </w:r>
      <w:r>
        <w:t xml:space="preserve">na 56% (rozdiel 582 km). </w:t>
      </w:r>
    </w:p>
    <w:p w:rsidR="006B6490" w:rsidRDefault="006B6490" w:rsidP="006B6490">
      <w:r>
        <w:t>V súčasnosti sú zo siete spoplatnených úsekov diaľnic a rýchlostných ciest stále vylúčené úseky v celkovej dĺžky 43,729 km</w:t>
      </w:r>
      <w:r w:rsidR="006B025A">
        <w:t>.</w:t>
      </w:r>
      <w:r>
        <w:t xml:space="preserve"> Ide o</w:t>
      </w:r>
      <w:r w:rsidR="00E310B9">
        <w:t> </w:t>
      </w:r>
      <w:r>
        <w:t>úseky:</w:t>
      </w:r>
    </w:p>
    <w:p w:rsidR="006B6490" w:rsidRDefault="006B6490" w:rsidP="000A4510">
      <w:pPr>
        <w:pStyle w:val="Odsekzoznamu"/>
        <w:numPr>
          <w:ilvl w:val="0"/>
          <w:numId w:val="39"/>
        </w:numPr>
        <w:ind w:left="714" w:hanging="357"/>
        <w:contextualSpacing w:val="0"/>
      </w:pPr>
      <w:r>
        <w:t>diaľnice D1 a D2 v Bratislave v dĺžke 23,206 km,</w:t>
      </w:r>
    </w:p>
    <w:p w:rsidR="006B6490" w:rsidRDefault="006B6490" w:rsidP="000A4510">
      <w:pPr>
        <w:pStyle w:val="Odsekzoznamu"/>
        <w:numPr>
          <w:ilvl w:val="0"/>
          <w:numId w:val="39"/>
        </w:numPr>
        <w:ind w:left="714" w:hanging="357"/>
        <w:contextualSpacing w:val="0"/>
      </w:pPr>
      <w:r>
        <w:t xml:space="preserve">rýchlostných ciest R2 a R4 v Košiciach v celkovej dĺžke 10,798 km, </w:t>
      </w:r>
    </w:p>
    <w:p w:rsidR="000C0CA2" w:rsidRDefault="006B6490" w:rsidP="000A4510">
      <w:pPr>
        <w:pStyle w:val="Odsekzoznamu"/>
        <w:numPr>
          <w:ilvl w:val="0"/>
          <w:numId w:val="39"/>
        </w:numPr>
        <w:ind w:left="714" w:hanging="357"/>
        <w:contextualSpacing w:val="0"/>
      </w:pPr>
      <w:r>
        <w:t xml:space="preserve">rýchlostnej cesty R1 v Banskej Bystrici v dĺžke 9,725 km. </w:t>
      </w:r>
    </w:p>
    <w:p w:rsidR="004C3A9C" w:rsidRDefault="003454D8" w:rsidP="006B025A">
      <w:r w:rsidRPr="003454D8">
        <w:t>Opačným trendom sa vyvíjala dĺžka spoplatnených úsekov ciest I. triedy</w:t>
      </w:r>
      <w:r>
        <w:t>, ktorá vo všetkých rokoch prevádzky prevyšovala pôvodný plán z roku 2009. V prvom roku prevádzky bola dĺžka spoplatnených úsekov ciest I. triedy väčšia o 43 km, v roku 2018 až o 561 km. Rozdiely medzi plánom a skutočnosťou sa preh</w:t>
      </w:r>
      <w:r w:rsidR="004C3A9C">
        <w:t>lbujú</w:t>
      </w:r>
      <w:r>
        <w:t xml:space="preserve"> od roku 2014, </w:t>
      </w:r>
      <w:r w:rsidR="004C3A9C">
        <w:t xml:space="preserve">kedy sa pristúpilo k dvojakému spoplatneniu ciest I. triedy podľa ich charakteru - súbežné a nesúbežné s diaľnicami a rýchlostnými cestami </w:t>
      </w:r>
      <w:r w:rsidR="004C3A9C" w:rsidRPr="004C3A9C">
        <w:t>(Obr. 3 5)</w:t>
      </w:r>
      <w:r w:rsidR="004C3A9C">
        <w:t xml:space="preserve">. </w:t>
      </w:r>
    </w:p>
    <w:p w:rsidR="003A3ABD" w:rsidRDefault="003A3ABD" w:rsidP="006B025A">
      <w:r w:rsidRPr="003A3ABD">
        <w:rPr>
          <w:noProof/>
          <w:lang w:eastAsia="sk-SK"/>
        </w:rPr>
        <w:drawing>
          <wp:inline distT="0" distB="0" distL="0" distR="0">
            <wp:extent cx="5944856" cy="2160000"/>
            <wp:effectExtent l="19050" t="0" r="17794" b="0"/>
            <wp:docPr id="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5549E1" w:rsidRDefault="005549E1" w:rsidP="005549E1">
      <w:pPr>
        <w:pStyle w:val="Popis"/>
      </w:pPr>
      <w:bookmarkStart w:id="278" w:name="_Ref22882998"/>
      <w:bookmarkStart w:id="279" w:name="_Toc36664536"/>
      <w:r w:rsidRPr="00121D8F">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5</w:t>
      </w:r>
      <w:r w:rsidR="00C40D3F">
        <w:rPr>
          <w:noProof/>
        </w:rPr>
        <w:fldChar w:fldCharType="end"/>
      </w:r>
      <w:bookmarkEnd w:id="278"/>
      <w:r w:rsidRPr="00121D8F">
        <w:tab/>
      </w:r>
      <w:r>
        <w:t>P</w:t>
      </w:r>
      <w:r w:rsidRPr="00121D8F">
        <w:t xml:space="preserve">lánovaná (2009) </w:t>
      </w:r>
      <w:r>
        <w:t xml:space="preserve">a skutočná </w:t>
      </w:r>
      <w:r w:rsidRPr="00121D8F">
        <w:t xml:space="preserve">dĺžka spoplatnených úsekov </w:t>
      </w:r>
      <w:r>
        <w:t xml:space="preserve">ciest I. triedy </w:t>
      </w:r>
      <w:r w:rsidRPr="00121D8F">
        <w:t>počas prevádzky EMS (km)</w:t>
      </w:r>
      <w:bookmarkEnd w:id="279"/>
    </w:p>
    <w:p w:rsidR="005549E1" w:rsidRDefault="005549E1" w:rsidP="006B025A">
      <w:r>
        <w:t xml:space="preserve">Nedostavané úseky diaľnic a rýchlostných ciest a s tým súvisiace výpadky z výnosov systému sa štát snažil kompenzovať spoplatnením </w:t>
      </w:r>
      <w:r w:rsidR="00C35491">
        <w:t>ďalších úsekov</w:t>
      </w:r>
      <w:r>
        <w:t xml:space="preserve"> ciest I. triedy, avšak výnosy z ich spoplatnenia </w:t>
      </w:r>
      <w:r w:rsidR="00F5777F">
        <w:t xml:space="preserve">nedokážu nahradiť </w:t>
      </w:r>
      <w:r>
        <w:t>výnosy dosiahnuté</w:t>
      </w:r>
      <w:r w:rsidR="00C35491">
        <w:t xml:space="preserve"> na diaľniciach a rýchlostných cestách v dôsledku nárastu intenzít</w:t>
      </w:r>
      <w:r w:rsidRPr="005549E1">
        <w:t xml:space="preserve"> povinných vozidiel (predovšetkým zahraničných dopravcov) po vybudovaní kompletnej siet</w:t>
      </w:r>
      <w:r w:rsidR="00C35491">
        <w:t>e</w:t>
      </w:r>
      <w:r w:rsidRPr="005549E1">
        <w:t xml:space="preserve"> diaľnic a rýchlostných ciest</w:t>
      </w:r>
      <w:r>
        <w:t xml:space="preserve">. </w:t>
      </w:r>
    </w:p>
    <w:p w:rsidR="005549E1" w:rsidRDefault="005549E1" w:rsidP="006B025A">
      <w:r w:rsidRPr="005549E1">
        <w:t>Súčasne tiež možno konštatovať, že vybrané úseky ciest I. triedy vedúce súbežne s trasou budúcich rýchlostných ciest sú v súčasnosti spoplatnené nulovou sadzbou (napr. cesta I/75 v úseku Horné Semerovce - Lučenec).</w:t>
      </w:r>
      <w:r>
        <w:t xml:space="preserve"> Nulovou sadzbou je aktuálne spoplatnených </w:t>
      </w:r>
      <w:r w:rsidR="00C35491">
        <w:t xml:space="preserve">552 km ciest I. triedy mimo intravilánu a 1101 km ciest I. triedy prechádzajúcich intravilánom miest a obcí. </w:t>
      </w:r>
    </w:p>
    <w:p w:rsidR="00C35491" w:rsidRDefault="00E05653" w:rsidP="00252F91">
      <w:pPr>
        <w:pStyle w:val="Odsekzoznamu"/>
        <w:ind w:left="0"/>
        <w:contextualSpacing w:val="0"/>
      </w:pPr>
      <w:r w:rsidRPr="00C35491">
        <w:t xml:space="preserve">Z hľadiska celkovej dĺžky spoplatnených úsekov ciest možno konštatovať, že skutočná dĺžka siete bola v každom roku prevádzky systému </w:t>
      </w:r>
      <w:r w:rsidR="00C35491">
        <w:t>porovnateľná s pôvodným plánom z roku 2009</w:t>
      </w:r>
      <w:r w:rsidR="00BF51DC">
        <w:t xml:space="preserve"> </w:t>
      </w:r>
      <w:r w:rsidR="00BF51DC" w:rsidRPr="00C35491">
        <w:t>(</w:t>
      </w:r>
      <w:r w:rsidR="00C40D3F">
        <w:fldChar w:fldCharType="begin"/>
      </w:r>
      <w:r w:rsidR="00C40D3F">
        <w:instrText xml:space="preserve"> REF _Ref22889816 \h  \* MERGEFORMAT </w:instrText>
      </w:r>
      <w:r w:rsidR="00C40D3F">
        <w:fldChar w:fldCharType="separate"/>
      </w:r>
      <w:r w:rsidR="001E4C1C" w:rsidRPr="00104F7F">
        <w:t xml:space="preserve">Obr. </w:t>
      </w:r>
      <w:r w:rsidR="001E4C1C">
        <w:t>3</w:t>
      </w:r>
      <w:r w:rsidR="001E4C1C">
        <w:noBreakHyphen/>
        <w:t>6</w:t>
      </w:r>
      <w:r w:rsidR="00C40D3F">
        <w:fldChar w:fldCharType="end"/>
      </w:r>
      <w:r w:rsidR="00BF51DC" w:rsidRPr="00C35491">
        <w:t>).</w:t>
      </w:r>
      <w:r w:rsidR="00C35491">
        <w:t xml:space="preserve"> V prvých rokoch prevádzky (2010 – 2013) bola skutočná dĺžka ciest nižšia ako plánovaná (najväčší rozdiel 57 km v r. 2013), od roku 2014 bola skutočná dĺžka všetkých spoplatnených úsekov ciest naopak dlhšia (najväčší rozdiel 103 km v r. 2016)</w:t>
      </w:r>
      <w:r w:rsidR="00BF51DC">
        <w:t>.</w:t>
      </w:r>
      <w:r w:rsidR="00C35491">
        <w:t xml:space="preserve"> </w:t>
      </w:r>
      <w:r w:rsidR="00BF51DC">
        <w:t xml:space="preserve"> </w:t>
      </w:r>
      <w:r w:rsidR="00C35491">
        <w:t xml:space="preserve">Aj napriek </w:t>
      </w:r>
      <w:r w:rsidR="00B66EA8">
        <w:t xml:space="preserve">týmto nízkym rozdielom medzi </w:t>
      </w:r>
      <w:r w:rsidR="00BF51DC">
        <w:t xml:space="preserve">plánom a skutočnosťou možno </w:t>
      </w:r>
      <w:r w:rsidR="00C35491">
        <w:t xml:space="preserve">pokles výnosov </w:t>
      </w:r>
      <w:r w:rsidR="00BF51DC">
        <w:t xml:space="preserve">zo systému EMS v SR odôvodniť, ako bolo vyššie uvedené, </w:t>
      </w:r>
      <w:r w:rsidR="003D5DA7">
        <w:t xml:space="preserve">práve </w:t>
      </w:r>
      <w:r w:rsidR="00C35491">
        <w:t>ne</w:t>
      </w:r>
      <w:r w:rsidR="00BF51DC">
        <w:t>dostavanou sieťou diaľnic a rýchlostných ciest</w:t>
      </w:r>
      <w:r w:rsidR="00F5777F">
        <w:t xml:space="preserve"> a chýbajúcim intenzitám povinných vozidiel na sieti. </w:t>
      </w:r>
      <w:r w:rsidR="00BF51DC">
        <w:t>Táto problematika je bližšie rozpracovaná v</w:t>
      </w:r>
      <w:r w:rsidR="004C3689">
        <w:t> </w:t>
      </w:r>
      <w:r w:rsidR="00BF51DC">
        <w:t>kapitole</w:t>
      </w:r>
      <w:r w:rsidR="004C3689">
        <w:t xml:space="preserve"> </w:t>
      </w:r>
      <w:r w:rsidR="00AE5B8A">
        <w:fldChar w:fldCharType="begin"/>
      </w:r>
      <w:r w:rsidR="004C3689">
        <w:instrText xml:space="preserve"> REF _Ref23951774 \r \h </w:instrText>
      </w:r>
      <w:r w:rsidR="00AE5B8A">
        <w:fldChar w:fldCharType="separate"/>
      </w:r>
      <w:r w:rsidR="001E4C1C">
        <w:t>3.2.3</w:t>
      </w:r>
      <w:r w:rsidR="00AE5B8A">
        <w:fldChar w:fldCharType="end"/>
      </w:r>
      <w:r w:rsidR="00BF51DC">
        <w:t xml:space="preserve">.  </w:t>
      </w:r>
      <w:r w:rsidR="00C35491">
        <w:t xml:space="preserve"> </w:t>
      </w:r>
    </w:p>
    <w:p w:rsidR="006F0F70" w:rsidRDefault="003A3ABD">
      <w:pPr>
        <w:pStyle w:val="Normaltext"/>
      </w:pPr>
      <w:r w:rsidRPr="003A3ABD">
        <w:rPr>
          <w:noProof/>
          <w:lang w:eastAsia="sk-SK"/>
        </w:rPr>
        <w:drawing>
          <wp:inline distT="0" distB="0" distL="0" distR="0">
            <wp:extent cx="5944856" cy="2160000"/>
            <wp:effectExtent l="19050" t="0" r="17794" b="0"/>
            <wp:docPr id="48"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6F0F70" w:rsidRDefault="00104F7F" w:rsidP="00991EA3">
      <w:pPr>
        <w:pStyle w:val="obrnazov"/>
      </w:pPr>
      <w:bookmarkStart w:id="280" w:name="_Ref22889816"/>
      <w:bookmarkStart w:id="281" w:name="_Toc36664537"/>
      <w:r w:rsidRPr="00104F7F">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6</w:t>
      </w:r>
      <w:r w:rsidR="00C40D3F">
        <w:rPr>
          <w:noProof/>
        </w:rPr>
        <w:fldChar w:fldCharType="end"/>
      </w:r>
      <w:bookmarkEnd w:id="280"/>
      <w:r w:rsidRPr="00104F7F">
        <w:tab/>
      </w:r>
      <w:r w:rsidR="004C3C2D">
        <w:t>P</w:t>
      </w:r>
      <w:r w:rsidRPr="00104F7F">
        <w:t xml:space="preserve">lánovaná (2009) </w:t>
      </w:r>
      <w:r w:rsidR="004C3C2D">
        <w:t xml:space="preserve">a skutočná </w:t>
      </w:r>
      <w:r w:rsidRPr="00104F7F">
        <w:t>celková dĺžka spoplatnených úsekov ciest počas prevádzky EMS (km)</w:t>
      </w:r>
      <w:bookmarkEnd w:id="281"/>
    </w:p>
    <w:p w:rsidR="006800E8" w:rsidRDefault="006800E8" w:rsidP="006800E8">
      <w:pPr>
        <w:pStyle w:val="Nadpis3"/>
      </w:pPr>
      <w:bookmarkStart w:id="282" w:name="_Toc36664411"/>
      <w:r>
        <w:t>Mýtne sadzby</w:t>
      </w:r>
      <w:bookmarkEnd w:id="282"/>
    </w:p>
    <w:p w:rsidR="005E1F0D" w:rsidRPr="005E1F0D" w:rsidRDefault="0068094D" w:rsidP="003D0983">
      <w:pPr>
        <w:pStyle w:val="Nadpis4"/>
      </w:pPr>
      <w:bookmarkStart w:id="283" w:name="_Toc36664412"/>
      <w:r>
        <w:t>Po</w:t>
      </w:r>
      <w:r w:rsidR="005E1F0D">
        <w:t>rovnanie skuto</w:t>
      </w:r>
      <w:r w:rsidR="0094275F">
        <w:t>č</w:t>
      </w:r>
      <w:r w:rsidR="005E1F0D">
        <w:t>ných a ekonomických sadzieb mýta</w:t>
      </w:r>
      <w:r w:rsidR="00ED6D25">
        <w:t xml:space="preserve"> v SR</w:t>
      </w:r>
      <w:bookmarkEnd w:id="283"/>
    </w:p>
    <w:p w:rsidR="006800E8" w:rsidRDefault="006800E8" w:rsidP="006800E8">
      <w:r>
        <w:t>Mýtny systém bol zavedený preto, aby vozidlá, ktoré prechádzajú po spoplatnenom úseku cesty zaplatili skutočné náklady, ktoré vzniknú ich jazdou. Do nákladov patria:</w:t>
      </w:r>
    </w:p>
    <w:p w:rsidR="006800E8" w:rsidRDefault="00E310B9" w:rsidP="005E1F0D">
      <w:pPr>
        <w:pStyle w:val="Odsekzoznamu"/>
        <w:numPr>
          <w:ilvl w:val="0"/>
          <w:numId w:val="38"/>
        </w:numPr>
        <w:ind w:left="714" w:hanging="357"/>
        <w:contextualSpacing w:val="0"/>
      </w:pPr>
      <w:r>
        <w:t>e</w:t>
      </w:r>
      <w:r w:rsidR="006800E8">
        <w:t xml:space="preserve">kologické vplyvy konkrétneho vozidla na znečisťovanie ovzdušia, </w:t>
      </w:r>
      <w:r>
        <w:t xml:space="preserve">kvôli ktorým </w:t>
      </w:r>
      <w:r w:rsidR="006800E8">
        <w:t>bola zavedená e</w:t>
      </w:r>
      <w:r w:rsidR="006800E8" w:rsidRPr="00B75488">
        <w:t>kol</w:t>
      </w:r>
      <w:r w:rsidR="006800E8">
        <w:t>ogická k</w:t>
      </w:r>
      <w:r w:rsidR="006800E8" w:rsidRPr="00B75488">
        <w:t xml:space="preserve">ategorizácia </w:t>
      </w:r>
      <w:r w:rsidR="006800E8">
        <w:t xml:space="preserve">vozidiel v skupinách </w:t>
      </w:r>
      <w:r w:rsidR="006800E8" w:rsidRPr="00B75488">
        <w:t>Euro 0-II</w:t>
      </w:r>
      <w:r w:rsidR="006800E8">
        <w:t xml:space="preserve">, </w:t>
      </w:r>
      <w:r w:rsidR="006800E8" w:rsidRPr="00B75488">
        <w:t>Euro III</w:t>
      </w:r>
      <w:r w:rsidR="006800E8">
        <w:t>,</w:t>
      </w:r>
      <w:r w:rsidR="006800E8" w:rsidRPr="00B75488">
        <w:t xml:space="preserve">  Euro IV a menej znečisťujúce</w:t>
      </w:r>
      <w:r w:rsidR="006800E8">
        <w:t>,</w:t>
      </w:r>
    </w:p>
    <w:p w:rsidR="006800E8" w:rsidRDefault="00E310B9" w:rsidP="005E1F0D">
      <w:pPr>
        <w:pStyle w:val="Odsekzoznamu"/>
        <w:numPr>
          <w:ilvl w:val="0"/>
          <w:numId w:val="38"/>
        </w:numPr>
        <w:ind w:left="714" w:hanging="357"/>
        <w:contextualSpacing w:val="0"/>
      </w:pPr>
      <w:r>
        <w:t>n</w:t>
      </w:r>
      <w:r w:rsidR="006800E8" w:rsidRPr="00A96FEA">
        <w:t>áklady na opravu a údržbu infraštruktúry = požadované výdavky NDS (SSÚD,</w:t>
      </w:r>
      <w:r>
        <w:t xml:space="preserve"> </w:t>
      </w:r>
      <w:r w:rsidR="006800E8" w:rsidRPr="00A96FEA">
        <w:t>SSÚR</w:t>
      </w:r>
      <w:r>
        <w:t>,</w:t>
      </w:r>
      <w:r w:rsidRPr="00A96FEA">
        <w:t xml:space="preserve"> </w:t>
      </w:r>
      <w:r w:rsidR="006800E8" w:rsidRPr="00A96FEA">
        <w:t>NDS</w:t>
      </w:r>
      <w:r w:rsidR="006800E8">
        <w:t>, SSC</w:t>
      </w:r>
      <w:r w:rsidR="006800E8" w:rsidRPr="00A96FEA">
        <w:t>)</w:t>
      </w:r>
      <w:r w:rsidR="006800E8">
        <w:t>.</w:t>
      </w:r>
    </w:p>
    <w:p w:rsidR="006800E8" w:rsidRDefault="006800E8" w:rsidP="006800E8">
      <w:r>
        <w:t xml:space="preserve">V roku 2009 VÚD, a.s. vypočítal </w:t>
      </w:r>
      <w:r w:rsidRPr="00A96FEA">
        <w:rPr>
          <w:bCs/>
        </w:rPr>
        <w:t>podľa metodiky Smernice 2006/38/ES</w:t>
      </w:r>
      <w:r>
        <w:t xml:space="preserve"> ekonomické sadzby mýta, ktoré zodpovedali skutočným škodlivým účinkom jazdy jednotlivých typov nákladných vozidiel na vozovku. </w:t>
      </w:r>
    </w:p>
    <w:p w:rsidR="00E777EA" w:rsidRDefault="00E777EA" w:rsidP="006800E8">
      <w:r>
        <w:t>Porovnanie s</w:t>
      </w:r>
      <w:r w:rsidRPr="00E777EA">
        <w:t>adz</w:t>
      </w:r>
      <w:r>
        <w:t>ieb</w:t>
      </w:r>
      <w:r w:rsidRPr="00E777EA">
        <w:t xml:space="preserve"> mýta za </w:t>
      </w:r>
      <w:r w:rsidRPr="0094275F">
        <w:rPr>
          <w:b/>
        </w:rPr>
        <w:t>užívanie vymedzených úsekov ciest</w:t>
      </w:r>
      <w:r w:rsidR="000C6B9B" w:rsidRPr="0094275F">
        <w:rPr>
          <w:b/>
        </w:rPr>
        <w:t xml:space="preserve"> diaľnic a rýchlostných ciest</w:t>
      </w:r>
      <w:r w:rsidR="000C6B9B">
        <w:t xml:space="preserve"> s vypočítanými ekonomickými sadzbami pre tieto kategórie cestnej komunikácie uvádza nasledujúca tabuľka (</w:t>
      </w:r>
      <w:r w:rsidR="00AE5B8A">
        <w:fldChar w:fldCharType="begin"/>
      </w:r>
      <w:r w:rsidR="000C6B9B">
        <w:instrText xml:space="preserve"> REF _Ref21913353 \h </w:instrText>
      </w:r>
      <w:r w:rsidR="00AE5B8A">
        <w:fldChar w:fldCharType="separate"/>
      </w:r>
      <w:r w:rsidR="001E4C1C">
        <w:t xml:space="preserve">Tab.  </w:t>
      </w:r>
      <w:r w:rsidR="001E4C1C">
        <w:rPr>
          <w:noProof/>
        </w:rPr>
        <w:t>3</w:t>
      </w:r>
      <w:r w:rsidR="001E4C1C">
        <w:noBreakHyphen/>
      </w:r>
      <w:r w:rsidR="001E4C1C">
        <w:rPr>
          <w:noProof/>
        </w:rPr>
        <w:t>1</w:t>
      </w:r>
      <w:r w:rsidR="00AE5B8A">
        <w:fldChar w:fldCharType="end"/>
      </w:r>
      <w:r w:rsidR="000C6B9B">
        <w:t>)</w:t>
      </w:r>
      <w:r w:rsidR="005E1F0D">
        <w:t xml:space="preserve"> a</w:t>
      </w:r>
      <w:r w:rsidR="00C520CC">
        <w:t> </w:t>
      </w:r>
      <w:r w:rsidR="005E1F0D" w:rsidRPr="006E1623">
        <w:t>obráz</w:t>
      </w:r>
      <w:r w:rsidR="00C520CC" w:rsidRPr="006E1623">
        <w:t>ky</w:t>
      </w:r>
      <w:r w:rsidR="00C520CC">
        <w:t xml:space="preserve"> </w:t>
      </w:r>
      <w:r w:rsidR="005E1F0D">
        <w:t xml:space="preserve"> </w:t>
      </w:r>
      <w:r w:rsidR="006E1623">
        <w:t>(</w:t>
      </w:r>
      <w:r w:rsidR="00C40D3F">
        <w:fldChar w:fldCharType="begin"/>
      </w:r>
      <w:r w:rsidR="00C40D3F">
        <w:instrText xml:space="preserve"> REF _Ref23928713 \h  \* MERGEFORMAT </w:instrText>
      </w:r>
      <w:r w:rsidR="00C40D3F">
        <w:fldChar w:fldCharType="separate"/>
      </w:r>
      <w:r w:rsidR="001E4C1C" w:rsidRPr="00104F7F">
        <w:t xml:space="preserve">Obr. </w:t>
      </w:r>
      <w:r w:rsidR="001E4C1C">
        <w:t>3</w:t>
      </w:r>
      <w:r w:rsidR="001E4C1C">
        <w:noBreakHyphen/>
        <w:t>7</w:t>
      </w:r>
      <w:r w:rsidR="00C40D3F">
        <w:fldChar w:fldCharType="end"/>
      </w:r>
      <w:r w:rsidR="006E1623">
        <w:t xml:space="preserve">, </w:t>
      </w:r>
      <w:r w:rsidR="00C40D3F">
        <w:fldChar w:fldCharType="begin"/>
      </w:r>
      <w:r w:rsidR="00C40D3F">
        <w:instrText xml:space="preserve"> REF _Ref23928493 \h  \* MERGEFORMAT </w:instrText>
      </w:r>
      <w:r w:rsidR="00C40D3F">
        <w:fldChar w:fldCharType="separate"/>
      </w:r>
      <w:r w:rsidR="001E4C1C" w:rsidRPr="00104F7F">
        <w:t xml:space="preserve">Obr. </w:t>
      </w:r>
      <w:r w:rsidR="001E4C1C">
        <w:t>3</w:t>
      </w:r>
      <w:r w:rsidR="001E4C1C">
        <w:noBreakHyphen/>
        <w:t>8</w:t>
      </w:r>
      <w:r w:rsidR="00C40D3F">
        <w:fldChar w:fldCharType="end"/>
      </w:r>
      <w:r w:rsidR="006E1623">
        <w:t xml:space="preserve">). </w:t>
      </w:r>
    </w:p>
    <w:p w:rsidR="00E777EA" w:rsidRDefault="00E777EA" w:rsidP="00E777EA">
      <w:pPr>
        <w:pStyle w:val="tabstyl"/>
      </w:pPr>
      <w:bookmarkStart w:id="284" w:name="_Ref21913353"/>
      <w:bookmarkStart w:id="285" w:name="_Toc36664495"/>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w:t>
      </w:r>
      <w:r w:rsidR="00C40D3F">
        <w:rPr>
          <w:noProof/>
        </w:rPr>
        <w:fldChar w:fldCharType="end"/>
      </w:r>
      <w:bookmarkEnd w:id="284"/>
      <w:r>
        <w:tab/>
      </w:r>
      <w:r w:rsidR="00011F70" w:rsidRPr="006118FC">
        <w:t xml:space="preserve">Porovnanie </w:t>
      </w:r>
      <w:r w:rsidR="00011F70">
        <w:t xml:space="preserve">skutočných  (2018) a ekonomických (2009) </w:t>
      </w:r>
      <w:r w:rsidR="00011F70" w:rsidRPr="006118FC">
        <w:t>sadzieb mýta</w:t>
      </w:r>
      <w:r w:rsidR="00011F70">
        <w:t xml:space="preserve"> v SR </w:t>
      </w:r>
      <w:r w:rsidR="00011F70" w:rsidRPr="006118FC">
        <w:t xml:space="preserve"> </w:t>
      </w:r>
      <w:r w:rsidR="0068094D">
        <w:t>– diaľnice a rýchlostné cesty (€/km)</w:t>
      </w:r>
      <w:bookmarkEnd w:id="285"/>
      <w:r w:rsidR="0068094D">
        <w:t xml:space="preserve"> </w:t>
      </w:r>
      <w:r w:rsidR="00E310B9">
        <w:t xml:space="preserve"> </w:t>
      </w:r>
      <w:r w:rsidR="00011F70">
        <w:t xml:space="preserve"> </w:t>
      </w:r>
    </w:p>
    <w:tbl>
      <w:tblPr>
        <w:tblStyle w:val="tabulkaVUD"/>
        <w:tblW w:w="0" w:type="auto"/>
        <w:tblLook w:val="04A0" w:firstRow="1" w:lastRow="0" w:firstColumn="1" w:lastColumn="0" w:noHBand="0" w:noVBand="1"/>
      </w:tblPr>
      <w:tblGrid>
        <w:gridCol w:w="394"/>
        <w:gridCol w:w="889"/>
        <w:gridCol w:w="876"/>
        <w:gridCol w:w="1208"/>
        <w:gridCol w:w="1209"/>
        <w:gridCol w:w="1208"/>
        <w:gridCol w:w="1209"/>
        <w:gridCol w:w="1208"/>
        <w:gridCol w:w="1209"/>
      </w:tblGrid>
      <w:tr w:rsidR="00402AF5" w:rsidRPr="00A96FEA" w:rsidTr="000D1001">
        <w:trPr>
          <w:cnfStyle w:val="100000000000" w:firstRow="1" w:lastRow="0" w:firstColumn="0" w:lastColumn="0" w:oddVBand="0" w:evenVBand="0" w:oddHBand="0" w:evenHBand="0" w:firstRowFirstColumn="0" w:firstRowLastColumn="0" w:lastRowFirstColumn="0" w:lastRowLastColumn="0"/>
          <w:cantSplit/>
          <w:trHeight w:val="340"/>
        </w:trPr>
        <w:tc>
          <w:tcPr>
            <w:tcW w:w="0" w:type="auto"/>
            <w:gridSpan w:val="3"/>
            <w:vMerge w:val="restart"/>
            <w:noWrap/>
            <w:hideMark/>
          </w:tcPr>
          <w:p w:rsidR="00402AF5" w:rsidRPr="00A96FEA" w:rsidRDefault="00402AF5" w:rsidP="00E777EA">
            <w:pPr>
              <w:spacing w:before="0" w:after="0" w:line="240" w:lineRule="auto"/>
              <w:rPr>
                <w:rFonts w:cs="Arial"/>
                <w:color w:val="000000"/>
                <w:sz w:val="18"/>
                <w:szCs w:val="18"/>
                <w:lang w:eastAsia="sk-SK"/>
              </w:rPr>
            </w:pPr>
            <w:r w:rsidRPr="00A96FEA">
              <w:rPr>
                <w:rFonts w:cs="Arial"/>
                <w:color w:val="000000"/>
                <w:sz w:val="18"/>
                <w:szCs w:val="18"/>
                <w:lang w:eastAsia="sk-SK"/>
              </w:rPr>
              <w:t> </w:t>
            </w:r>
          </w:p>
          <w:p w:rsidR="00402AF5" w:rsidRPr="00E777EA" w:rsidRDefault="00402AF5" w:rsidP="00E777EA">
            <w:pPr>
              <w:spacing w:before="0" w:after="0" w:line="240" w:lineRule="auto"/>
              <w:jc w:val="center"/>
              <w:rPr>
                <w:rFonts w:cs="Arial"/>
                <w:b/>
                <w:color w:val="FFFFFF" w:themeColor="background1"/>
                <w:sz w:val="18"/>
                <w:szCs w:val="18"/>
                <w:lang w:eastAsia="sk-SK"/>
              </w:rPr>
            </w:pPr>
            <w:r w:rsidRPr="00140493">
              <w:rPr>
                <w:rFonts w:cs="Arial"/>
                <w:b/>
                <w:color w:val="FFFFFF" w:themeColor="background1"/>
                <w:sz w:val="18"/>
                <w:szCs w:val="18"/>
                <w:lang w:eastAsia="sk-SK"/>
              </w:rPr>
              <w:t>Typ vozidla/</w:t>
            </w:r>
            <w:r w:rsidR="00140493">
              <w:rPr>
                <w:rFonts w:cs="Arial"/>
                <w:b/>
                <w:color w:val="FFFFFF" w:themeColor="background1"/>
                <w:sz w:val="18"/>
                <w:szCs w:val="18"/>
                <w:lang w:eastAsia="sk-SK"/>
              </w:rPr>
              <w:t>emisná trieda</w:t>
            </w:r>
          </w:p>
          <w:p w:rsidR="00402AF5" w:rsidRPr="00E777EA" w:rsidRDefault="00402AF5" w:rsidP="00E777EA">
            <w:pPr>
              <w:spacing w:before="0" w:after="0" w:line="240" w:lineRule="auto"/>
              <w:rPr>
                <w:rFonts w:cs="Arial"/>
                <w:color w:val="FFFFFF" w:themeColor="background1"/>
                <w:sz w:val="18"/>
                <w:szCs w:val="18"/>
                <w:lang w:eastAsia="sk-SK"/>
              </w:rPr>
            </w:pPr>
            <w:r w:rsidRPr="00E777EA">
              <w:rPr>
                <w:rFonts w:cs="Arial"/>
                <w:color w:val="FFFFFF" w:themeColor="background1"/>
                <w:sz w:val="18"/>
                <w:szCs w:val="18"/>
                <w:lang w:eastAsia="sk-SK"/>
              </w:rPr>
              <w:t> </w:t>
            </w:r>
          </w:p>
        </w:tc>
        <w:tc>
          <w:tcPr>
            <w:tcW w:w="2417" w:type="dxa"/>
            <w:gridSpan w:val="2"/>
            <w:shd w:val="clear" w:color="auto" w:fill="7F7F7F" w:themeFill="text1" w:themeFillTint="80"/>
            <w:noWrap/>
            <w:hideMark/>
          </w:tcPr>
          <w:p w:rsidR="00402AF5" w:rsidRPr="00E777EA" w:rsidRDefault="00402AF5" w:rsidP="00E777EA">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0 – II</w:t>
            </w:r>
          </w:p>
        </w:tc>
        <w:tc>
          <w:tcPr>
            <w:tcW w:w="2417" w:type="dxa"/>
            <w:gridSpan w:val="2"/>
            <w:shd w:val="clear" w:color="auto" w:fill="7F7F7F" w:themeFill="text1" w:themeFillTint="80"/>
            <w:noWrap/>
            <w:hideMark/>
          </w:tcPr>
          <w:p w:rsidR="00402AF5" w:rsidRPr="00E777EA" w:rsidRDefault="00402AF5" w:rsidP="00E777EA">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III, IV</w:t>
            </w:r>
          </w:p>
        </w:tc>
        <w:tc>
          <w:tcPr>
            <w:tcW w:w="2417" w:type="dxa"/>
            <w:gridSpan w:val="2"/>
            <w:shd w:val="clear" w:color="auto" w:fill="7F7F7F" w:themeFill="text1" w:themeFillTint="80"/>
            <w:noWrap/>
            <w:hideMark/>
          </w:tcPr>
          <w:p w:rsidR="00402AF5" w:rsidRPr="00E777EA" w:rsidRDefault="00402AF5" w:rsidP="00E777EA">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V, VI, EEV</w:t>
            </w:r>
          </w:p>
        </w:tc>
      </w:tr>
      <w:tr w:rsidR="00402AF5" w:rsidRPr="00A96FEA" w:rsidTr="000D1001">
        <w:trPr>
          <w:cantSplit/>
          <w:trHeight w:val="340"/>
        </w:trPr>
        <w:tc>
          <w:tcPr>
            <w:tcW w:w="0" w:type="auto"/>
            <w:gridSpan w:val="3"/>
            <w:vMerge/>
            <w:shd w:val="clear" w:color="auto" w:fill="7F7F7F" w:themeFill="text1" w:themeFillTint="80"/>
            <w:noWrap/>
            <w:hideMark/>
          </w:tcPr>
          <w:p w:rsidR="00402AF5" w:rsidRPr="00E777EA" w:rsidRDefault="00402AF5" w:rsidP="00E777EA">
            <w:pPr>
              <w:spacing w:before="0" w:after="0" w:line="240" w:lineRule="auto"/>
              <w:jc w:val="center"/>
              <w:rPr>
                <w:rFonts w:cs="Arial"/>
                <w:b/>
                <w:color w:val="FFFFFF" w:themeColor="background1"/>
                <w:sz w:val="20"/>
                <w:szCs w:val="18"/>
                <w:lang w:eastAsia="sk-SK"/>
              </w:rPr>
            </w:pPr>
          </w:p>
        </w:tc>
        <w:tc>
          <w:tcPr>
            <w:tcW w:w="1208" w:type="dxa"/>
            <w:shd w:val="clear" w:color="auto" w:fill="7F7F7F" w:themeFill="text1" w:themeFillTint="80"/>
            <w:noWrap/>
            <w:hideMark/>
          </w:tcPr>
          <w:p w:rsidR="00402AF5"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402AF5" w:rsidRPr="00E777EA"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1209" w:type="dxa"/>
            <w:shd w:val="clear" w:color="auto" w:fill="7F7F7F" w:themeFill="text1" w:themeFillTint="80"/>
          </w:tcPr>
          <w:p w:rsidR="00402AF5" w:rsidRPr="00E777EA"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c>
          <w:tcPr>
            <w:tcW w:w="1208" w:type="dxa"/>
            <w:shd w:val="clear" w:color="auto" w:fill="7F7F7F" w:themeFill="text1" w:themeFillTint="80"/>
            <w:noWrap/>
            <w:hideMark/>
          </w:tcPr>
          <w:p w:rsidR="00402AF5"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402AF5" w:rsidRPr="00E777EA"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1209" w:type="dxa"/>
            <w:shd w:val="clear" w:color="auto" w:fill="7F7F7F" w:themeFill="text1" w:themeFillTint="80"/>
          </w:tcPr>
          <w:p w:rsidR="00402AF5" w:rsidRPr="00E777EA"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c>
          <w:tcPr>
            <w:tcW w:w="1208" w:type="dxa"/>
            <w:shd w:val="clear" w:color="auto" w:fill="7F7F7F" w:themeFill="text1" w:themeFillTint="80"/>
            <w:noWrap/>
            <w:hideMark/>
          </w:tcPr>
          <w:p w:rsidR="00402AF5"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402AF5" w:rsidRPr="00E777EA"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1209" w:type="dxa"/>
            <w:shd w:val="clear" w:color="auto" w:fill="7F7F7F" w:themeFill="text1" w:themeFillTint="80"/>
          </w:tcPr>
          <w:p w:rsidR="00402AF5" w:rsidRPr="00E777EA" w:rsidRDefault="00402AF5"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r>
      <w:tr w:rsidR="00823842" w:rsidRPr="00A96FEA" w:rsidTr="00402AF5">
        <w:trPr>
          <w:cantSplit/>
          <w:trHeight w:val="380"/>
        </w:trPr>
        <w:tc>
          <w:tcPr>
            <w:tcW w:w="0" w:type="auto"/>
            <w:vMerge w:val="restart"/>
            <w:shd w:val="clear" w:color="auto" w:fill="7F7F7F" w:themeFill="text1" w:themeFillTint="80"/>
            <w:noWrap/>
            <w:hideMark/>
          </w:tcPr>
          <w:p w:rsidR="00823842" w:rsidRPr="00E777EA" w:rsidRDefault="00823842" w:rsidP="00E777EA">
            <w:pPr>
              <w:spacing w:before="0" w:after="0" w:line="240" w:lineRule="auto"/>
              <w:jc w:val="center"/>
              <w:rPr>
                <w:rFonts w:cs="Arial"/>
                <w:b/>
                <w:color w:val="FFFFFF" w:themeColor="background1"/>
                <w:sz w:val="20"/>
                <w:szCs w:val="18"/>
                <w:lang w:eastAsia="sk-SK"/>
              </w:rPr>
            </w:pPr>
            <w:r>
              <w:rPr>
                <w:rFonts w:cs="Arial"/>
                <w:b/>
                <w:color w:val="FFFFFF" w:themeColor="background1"/>
                <w:sz w:val="20"/>
                <w:szCs w:val="18"/>
                <w:lang w:eastAsia="sk-SK"/>
              </w:rPr>
              <w:t>NV</w:t>
            </w:r>
          </w:p>
        </w:tc>
        <w:tc>
          <w:tcPr>
            <w:tcW w:w="0" w:type="auto"/>
            <w:gridSpan w:val="2"/>
            <w:shd w:val="clear" w:color="auto" w:fill="7F7F7F" w:themeFill="text1" w:themeFillTint="80"/>
            <w:noWrap/>
            <w:hideMark/>
          </w:tcPr>
          <w:p w:rsidR="00823842" w:rsidRPr="00E777EA" w:rsidRDefault="00823842" w:rsidP="00E777EA">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3,5 t – do 12 t </w:t>
            </w:r>
          </w:p>
        </w:tc>
        <w:tc>
          <w:tcPr>
            <w:tcW w:w="1208" w:type="dxa"/>
            <w:noWrap/>
            <w:hideMark/>
          </w:tcPr>
          <w:p w:rsidR="00823842" w:rsidRPr="00A96FEA" w:rsidRDefault="00823842" w:rsidP="000C6B9B">
            <w:pPr>
              <w:pStyle w:val="tabbielystyl"/>
              <w:rPr>
                <w:rFonts w:cs="Arial"/>
                <w:color w:val="000000"/>
                <w:sz w:val="18"/>
                <w:szCs w:val="18"/>
              </w:rPr>
            </w:pPr>
            <w:r>
              <w:t xml:space="preserve">0,105 </w:t>
            </w:r>
          </w:p>
        </w:tc>
        <w:tc>
          <w:tcPr>
            <w:tcW w:w="1209" w:type="dxa"/>
          </w:tcPr>
          <w:p w:rsidR="00823842" w:rsidRDefault="00823842" w:rsidP="000C6B9B">
            <w:pPr>
              <w:pStyle w:val="tabbielystyl"/>
            </w:pPr>
            <w:r>
              <w:t>0,23</w:t>
            </w:r>
          </w:p>
        </w:tc>
        <w:tc>
          <w:tcPr>
            <w:tcW w:w="1208" w:type="dxa"/>
            <w:noWrap/>
            <w:hideMark/>
          </w:tcPr>
          <w:p w:rsidR="00823842" w:rsidRPr="00A96FEA" w:rsidRDefault="00823842" w:rsidP="000C6B9B">
            <w:pPr>
              <w:pStyle w:val="tabbielystyl"/>
              <w:rPr>
                <w:rFonts w:cs="Arial"/>
                <w:color w:val="000000"/>
                <w:sz w:val="18"/>
                <w:szCs w:val="18"/>
              </w:rPr>
            </w:pPr>
            <w:r>
              <w:t xml:space="preserve">0,095 </w:t>
            </w:r>
          </w:p>
        </w:tc>
        <w:tc>
          <w:tcPr>
            <w:tcW w:w="1209" w:type="dxa"/>
          </w:tcPr>
          <w:p w:rsidR="00823842" w:rsidRDefault="00823842" w:rsidP="000C6B9B">
            <w:pPr>
              <w:pStyle w:val="tabbielystyl"/>
            </w:pPr>
            <w:r>
              <w:t>0,21</w:t>
            </w:r>
          </w:p>
        </w:tc>
        <w:tc>
          <w:tcPr>
            <w:tcW w:w="1208" w:type="dxa"/>
            <w:noWrap/>
            <w:hideMark/>
          </w:tcPr>
          <w:p w:rsidR="00823842" w:rsidRPr="00A96FEA" w:rsidRDefault="00823842" w:rsidP="000C6B9B">
            <w:pPr>
              <w:pStyle w:val="tabbielystyl"/>
              <w:rPr>
                <w:rFonts w:cs="Arial"/>
                <w:color w:val="000000"/>
                <w:sz w:val="18"/>
                <w:szCs w:val="18"/>
              </w:rPr>
            </w:pPr>
            <w:r>
              <w:t xml:space="preserve">0,082 </w:t>
            </w:r>
          </w:p>
        </w:tc>
        <w:tc>
          <w:tcPr>
            <w:tcW w:w="1209" w:type="dxa"/>
          </w:tcPr>
          <w:p w:rsidR="00823842" w:rsidRDefault="00823842" w:rsidP="000C6B9B">
            <w:pPr>
              <w:pStyle w:val="tabbielystyl"/>
            </w:pPr>
            <w:r>
              <w:t>0,21</w:t>
            </w:r>
          </w:p>
        </w:tc>
      </w:tr>
      <w:tr w:rsidR="00823842" w:rsidRPr="00A96FEA" w:rsidTr="00402AF5">
        <w:trPr>
          <w:cantSplit/>
          <w:trHeight w:val="340"/>
        </w:trPr>
        <w:tc>
          <w:tcPr>
            <w:tcW w:w="0" w:type="auto"/>
            <w:vMerge/>
            <w:shd w:val="clear" w:color="auto" w:fill="7F7F7F" w:themeFill="text1" w:themeFillTint="80"/>
            <w:hideMark/>
          </w:tcPr>
          <w:p w:rsidR="00823842" w:rsidRPr="00E777EA" w:rsidRDefault="00823842" w:rsidP="00E777EA">
            <w:pPr>
              <w:spacing w:before="0" w:after="0" w:line="240" w:lineRule="auto"/>
              <w:jc w:val="center"/>
              <w:rPr>
                <w:rFonts w:cs="Arial"/>
                <w:b/>
                <w:color w:val="FFFFFF" w:themeColor="background1"/>
                <w:sz w:val="20"/>
                <w:szCs w:val="18"/>
                <w:lang w:eastAsia="sk-SK"/>
              </w:rPr>
            </w:pPr>
          </w:p>
        </w:tc>
        <w:tc>
          <w:tcPr>
            <w:tcW w:w="0" w:type="auto"/>
            <w:vMerge w:val="restart"/>
            <w:shd w:val="clear" w:color="auto" w:fill="7F7F7F" w:themeFill="text1" w:themeFillTint="80"/>
            <w:noWrap/>
            <w:hideMark/>
          </w:tcPr>
          <w:p w:rsidR="00823842" w:rsidRPr="00E777EA" w:rsidRDefault="00823842" w:rsidP="000D1001">
            <w:pPr>
              <w:spacing w:before="0" w:after="0" w:line="240" w:lineRule="auto"/>
              <w:jc w:val="center"/>
              <w:rPr>
                <w:rFonts w:cs="Arial"/>
                <w:b/>
                <w:color w:val="FFFFFF" w:themeColor="background1"/>
                <w:sz w:val="20"/>
                <w:szCs w:val="18"/>
                <w:lang w:eastAsia="sk-SK"/>
              </w:rPr>
            </w:pPr>
            <w:r>
              <w:rPr>
                <w:rFonts w:cs="Arial"/>
                <w:b/>
                <w:color w:val="FFFFFF" w:themeColor="background1"/>
                <w:sz w:val="20"/>
                <w:szCs w:val="18"/>
                <w:lang w:eastAsia="sk-SK"/>
              </w:rPr>
              <w:t>12 t a viac</w:t>
            </w:r>
          </w:p>
        </w:tc>
        <w:tc>
          <w:tcPr>
            <w:tcW w:w="0" w:type="auto"/>
            <w:shd w:val="clear" w:color="auto" w:fill="7F7F7F" w:themeFill="text1" w:themeFillTint="80"/>
          </w:tcPr>
          <w:p w:rsidR="00823842" w:rsidRPr="00E777EA" w:rsidRDefault="00823842" w:rsidP="000D1001">
            <w:pPr>
              <w:spacing w:before="0" w:after="0" w:line="240" w:lineRule="auto"/>
              <w:rPr>
                <w:rFonts w:cs="Arial"/>
                <w:b/>
                <w:color w:val="FFFFFF" w:themeColor="background1"/>
                <w:sz w:val="20"/>
                <w:szCs w:val="18"/>
                <w:lang w:eastAsia="sk-SK"/>
              </w:rPr>
            </w:pPr>
            <w:r w:rsidRPr="00E777EA">
              <w:rPr>
                <w:rFonts w:cs="Arial"/>
                <w:b/>
                <w:color w:val="FFFFFF" w:themeColor="background1"/>
                <w:sz w:val="20"/>
                <w:szCs w:val="18"/>
                <w:lang w:eastAsia="sk-SK"/>
              </w:rPr>
              <w:t>2 nápravy</w:t>
            </w:r>
          </w:p>
        </w:tc>
        <w:tc>
          <w:tcPr>
            <w:tcW w:w="1208" w:type="dxa"/>
            <w:noWrap/>
            <w:hideMark/>
          </w:tcPr>
          <w:p w:rsidR="00823842" w:rsidRPr="00A96FEA" w:rsidRDefault="00823842" w:rsidP="000C6B9B">
            <w:pPr>
              <w:pStyle w:val="tabbielystyl"/>
              <w:rPr>
                <w:rFonts w:cs="Arial"/>
                <w:color w:val="000000"/>
                <w:sz w:val="18"/>
                <w:szCs w:val="18"/>
              </w:rPr>
            </w:pPr>
            <w:r>
              <w:t xml:space="preserve">0,224 </w:t>
            </w:r>
          </w:p>
        </w:tc>
        <w:tc>
          <w:tcPr>
            <w:tcW w:w="1209" w:type="dxa"/>
          </w:tcPr>
          <w:p w:rsidR="00823842" w:rsidRDefault="00823842" w:rsidP="000C6B9B">
            <w:pPr>
              <w:pStyle w:val="tabbielystyl"/>
            </w:pPr>
            <w:r>
              <w:t>0,24</w:t>
            </w:r>
          </w:p>
        </w:tc>
        <w:tc>
          <w:tcPr>
            <w:tcW w:w="1208" w:type="dxa"/>
            <w:noWrap/>
            <w:hideMark/>
          </w:tcPr>
          <w:p w:rsidR="00823842" w:rsidRPr="00A96FEA" w:rsidRDefault="00823842" w:rsidP="000C6B9B">
            <w:pPr>
              <w:pStyle w:val="tabbielystyl"/>
              <w:rPr>
                <w:rFonts w:cs="Arial"/>
                <w:color w:val="000000"/>
                <w:sz w:val="18"/>
                <w:szCs w:val="18"/>
              </w:rPr>
            </w:pPr>
            <w:r>
              <w:t xml:space="preserve">0,203 </w:t>
            </w:r>
          </w:p>
        </w:tc>
        <w:tc>
          <w:tcPr>
            <w:tcW w:w="1209" w:type="dxa"/>
          </w:tcPr>
          <w:p w:rsidR="00823842" w:rsidRDefault="00823842" w:rsidP="000C6B9B">
            <w:pPr>
              <w:pStyle w:val="tabbielystyl"/>
            </w:pPr>
            <w:r>
              <w:t>0,23</w:t>
            </w:r>
          </w:p>
        </w:tc>
        <w:tc>
          <w:tcPr>
            <w:tcW w:w="1208" w:type="dxa"/>
            <w:noWrap/>
            <w:hideMark/>
          </w:tcPr>
          <w:p w:rsidR="00823842" w:rsidRPr="00A96FEA" w:rsidRDefault="00823842" w:rsidP="000C6B9B">
            <w:pPr>
              <w:pStyle w:val="tabbielystyl"/>
              <w:rPr>
                <w:rFonts w:cs="Arial"/>
                <w:color w:val="000000"/>
                <w:sz w:val="18"/>
                <w:szCs w:val="18"/>
              </w:rPr>
            </w:pPr>
            <w:r>
              <w:t xml:space="preserve">0,176 </w:t>
            </w:r>
          </w:p>
        </w:tc>
        <w:tc>
          <w:tcPr>
            <w:tcW w:w="1209" w:type="dxa"/>
          </w:tcPr>
          <w:p w:rsidR="00823842" w:rsidRDefault="00823842" w:rsidP="000C6B9B">
            <w:pPr>
              <w:pStyle w:val="tabbielystyl"/>
            </w:pPr>
            <w:r>
              <w:t>0,22</w:t>
            </w:r>
          </w:p>
        </w:tc>
      </w:tr>
      <w:tr w:rsidR="00823842" w:rsidRPr="00A96FEA" w:rsidTr="00402AF5">
        <w:trPr>
          <w:cantSplit/>
          <w:trHeight w:val="340"/>
        </w:trPr>
        <w:tc>
          <w:tcPr>
            <w:tcW w:w="0" w:type="auto"/>
            <w:vMerge/>
            <w:shd w:val="clear" w:color="auto" w:fill="7F7F7F" w:themeFill="text1" w:themeFillTint="80"/>
            <w:hideMark/>
          </w:tcPr>
          <w:p w:rsidR="00823842" w:rsidRPr="00E777EA" w:rsidRDefault="00823842" w:rsidP="00E777EA">
            <w:pPr>
              <w:spacing w:before="0" w:after="0" w:line="240" w:lineRule="auto"/>
              <w:jc w:val="center"/>
              <w:rPr>
                <w:rFonts w:cs="Arial"/>
                <w:b/>
                <w:color w:val="FFFFFF" w:themeColor="background1"/>
                <w:sz w:val="20"/>
                <w:szCs w:val="18"/>
                <w:lang w:eastAsia="sk-SK"/>
              </w:rPr>
            </w:pPr>
          </w:p>
        </w:tc>
        <w:tc>
          <w:tcPr>
            <w:tcW w:w="0" w:type="auto"/>
            <w:vMerge/>
            <w:shd w:val="clear" w:color="auto" w:fill="7F7F7F" w:themeFill="text1" w:themeFillTint="80"/>
            <w:noWrap/>
            <w:hideMark/>
          </w:tcPr>
          <w:p w:rsidR="00823842" w:rsidRPr="00E777EA" w:rsidRDefault="00823842" w:rsidP="00E777EA">
            <w:pPr>
              <w:spacing w:before="0" w:after="0" w:line="240" w:lineRule="auto"/>
              <w:rPr>
                <w:rFonts w:cs="Arial"/>
                <w:b/>
                <w:color w:val="FFFFFF" w:themeColor="background1"/>
                <w:sz w:val="20"/>
                <w:szCs w:val="18"/>
                <w:lang w:eastAsia="sk-SK"/>
              </w:rPr>
            </w:pPr>
          </w:p>
        </w:tc>
        <w:tc>
          <w:tcPr>
            <w:tcW w:w="0" w:type="auto"/>
            <w:shd w:val="clear" w:color="auto" w:fill="7F7F7F" w:themeFill="text1" w:themeFillTint="80"/>
          </w:tcPr>
          <w:p w:rsidR="00823842" w:rsidRPr="00E777EA" w:rsidRDefault="00823842" w:rsidP="00E777EA">
            <w:pPr>
              <w:spacing w:before="0" w:after="0" w:line="240" w:lineRule="auto"/>
              <w:rPr>
                <w:rFonts w:cs="Arial"/>
                <w:b/>
                <w:color w:val="FFFFFF" w:themeColor="background1"/>
                <w:sz w:val="20"/>
                <w:szCs w:val="18"/>
                <w:lang w:eastAsia="sk-SK"/>
              </w:rPr>
            </w:pPr>
            <w:r>
              <w:rPr>
                <w:rFonts w:cs="Arial"/>
                <w:b/>
                <w:color w:val="FFFFFF" w:themeColor="background1"/>
                <w:sz w:val="20"/>
                <w:szCs w:val="18"/>
                <w:lang w:eastAsia="sk-SK"/>
              </w:rPr>
              <w:t>3</w:t>
            </w:r>
            <w:r w:rsidRPr="00E777EA">
              <w:rPr>
                <w:rFonts w:cs="Arial"/>
                <w:b/>
                <w:color w:val="FFFFFF" w:themeColor="background1"/>
                <w:sz w:val="20"/>
                <w:szCs w:val="18"/>
                <w:lang w:eastAsia="sk-SK"/>
              </w:rPr>
              <w:t xml:space="preserve"> nápravy</w:t>
            </w:r>
          </w:p>
        </w:tc>
        <w:tc>
          <w:tcPr>
            <w:tcW w:w="1208" w:type="dxa"/>
            <w:noWrap/>
            <w:hideMark/>
          </w:tcPr>
          <w:p w:rsidR="00823842" w:rsidRPr="00A96FEA" w:rsidRDefault="00823842" w:rsidP="000C6B9B">
            <w:pPr>
              <w:pStyle w:val="tabbielystyl"/>
              <w:rPr>
                <w:rFonts w:cs="Arial"/>
                <w:color w:val="000000"/>
                <w:sz w:val="18"/>
                <w:szCs w:val="18"/>
              </w:rPr>
            </w:pPr>
            <w:r>
              <w:t xml:space="preserve">0,237 </w:t>
            </w:r>
          </w:p>
        </w:tc>
        <w:tc>
          <w:tcPr>
            <w:tcW w:w="1209" w:type="dxa"/>
          </w:tcPr>
          <w:p w:rsidR="00823842" w:rsidRDefault="00823842" w:rsidP="000C6B9B">
            <w:pPr>
              <w:pStyle w:val="tabbielystyl"/>
            </w:pPr>
            <w:r>
              <w:t>0,25</w:t>
            </w:r>
          </w:p>
        </w:tc>
        <w:tc>
          <w:tcPr>
            <w:tcW w:w="1208" w:type="dxa"/>
            <w:noWrap/>
            <w:hideMark/>
          </w:tcPr>
          <w:p w:rsidR="00823842" w:rsidRPr="00A96FEA" w:rsidRDefault="00823842" w:rsidP="000C6B9B">
            <w:pPr>
              <w:pStyle w:val="tabbielystyl"/>
              <w:rPr>
                <w:rFonts w:cs="Arial"/>
                <w:color w:val="000000"/>
                <w:sz w:val="18"/>
                <w:szCs w:val="18"/>
              </w:rPr>
            </w:pPr>
            <w:r>
              <w:t xml:space="preserve">0,214 </w:t>
            </w:r>
          </w:p>
        </w:tc>
        <w:tc>
          <w:tcPr>
            <w:tcW w:w="1209" w:type="dxa"/>
          </w:tcPr>
          <w:p w:rsidR="00823842" w:rsidRDefault="00823842" w:rsidP="000C6B9B">
            <w:pPr>
              <w:pStyle w:val="tabbielystyl"/>
            </w:pPr>
            <w:r>
              <w:t>0,24</w:t>
            </w:r>
          </w:p>
        </w:tc>
        <w:tc>
          <w:tcPr>
            <w:tcW w:w="1208" w:type="dxa"/>
            <w:noWrap/>
            <w:hideMark/>
          </w:tcPr>
          <w:p w:rsidR="00823842" w:rsidRPr="00A96FEA" w:rsidRDefault="00823842" w:rsidP="000C6B9B">
            <w:pPr>
              <w:pStyle w:val="tabbielystyl"/>
              <w:rPr>
                <w:rFonts w:cs="Arial"/>
                <w:color w:val="000000"/>
                <w:sz w:val="18"/>
                <w:szCs w:val="18"/>
              </w:rPr>
            </w:pPr>
            <w:r>
              <w:t xml:space="preserve">0,185 </w:t>
            </w:r>
          </w:p>
        </w:tc>
        <w:tc>
          <w:tcPr>
            <w:tcW w:w="1209" w:type="dxa"/>
          </w:tcPr>
          <w:p w:rsidR="00823842" w:rsidRDefault="00823842" w:rsidP="000C6B9B">
            <w:pPr>
              <w:pStyle w:val="tabbielystyl"/>
            </w:pPr>
            <w:r>
              <w:t>0,24</w:t>
            </w:r>
          </w:p>
        </w:tc>
      </w:tr>
      <w:tr w:rsidR="00823842" w:rsidRPr="00A96FEA" w:rsidTr="00402AF5">
        <w:trPr>
          <w:cantSplit/>
          <w:trHeight w:val="340"/>
        </w:trPr>
        <w:tc>
          <w:tcPr>
            <w:tcW w:w="0" w:type="auto"/>
            <w:vMerge/>
            <w:shd w:val="clear" w:color="auto" w:fill="7F7F7F" w:themeFill="text1" w:themeFillTint="80"/>
            <w:hideMark/>
          </w:tcPr>
          <w:p w:rsidR="00823842" w:rsidRPr="00E777EA" w:rsidRDefault="00823842" w:rsidP="00E777EA">
            <w:pPr>
              <w:spacing w:before="0" w:after="0" w:line="240" w:lineRule="auto"/>
              <w:jc w:val="center"/>
              <w:rPr>
                <w:rFonts w:cs="Arial"/>
                <w:b/>
                <w:color w:val="FFFFFF" w:themeColor="background1"/>
                <w:sz w:val="20"/>
                <w:szCs w:val="18"/>
                <w:lang w:eastAsia="sk-SK"/>
              </w:rPr>
            </w:pPr>
          </w:p>
        </w:tc>
        <w:tc>
          <w:tcPr>
            <w:tcW w:w="0" w:type="auto"/>
            <w:vMerge/>
            <w:shd w:val="clear" w:color="auto" w:fill="7F7F7F" w:themeFill="text1" w:themeFillTint="80"/>
            <w:noWrap/>
            <w:hideMark/>
          </w:tcPr>
          <w:p w:rsidR="00823842" w:rsidRPr="00E777EA" w:rsidRDefault="00823842" w:rsidP="00E777EA">
            <w:pPr>
              <w:spacing w:before="0" w:after="0" w:line="240" w:lineRule="auto"/>
              <w:rPr>
                <w:rFonts w:cs="Arial"/>
                <w:b/>
                <w:color w:val="FFFFFF" w:themeColor="background1"/>
                <w:sz w:val="20"/>
                <w:szCs w:val="18"/>
                <w:lang w:eastAsia="sk-SK"/>
              </w:rPr>
            </w:pPr>
          </w:p>
        </w:tc>
        <w:tc>
          <w:tcPr>
            <w:tcW w:w="0" w:type="auto"/>
            <w:shd w:val="clear" w:color="auto" w:fill="7F7F7F" w:themeFill="text1" w:themeFillTint="80"/>
          </w:tcPr>
          <w:p w:rsidR="00823842" w:rsidRPr="00E777EA" w:rsidRDefault="00823842" w:rsidP="00E777EA">
            <w:pPr>
              <w:spacing w:before="0" w:after="0" w:line="240" w:lineRule="auto"/>
              <w:rPr>
                <w:rFonts w:cs="Arial"/>
                <w:b/>
                <w:color w:val="FFFFFF" w:themeColor="background1"/>
                <w:sz w:val="20"/>
                <w:szCs w:val="18"/>
                <w:lang w:eastAsia="sk-SK"/>
              </w:rPr>
            </w:pPr>
            <w:r w:rsidRPr="00E777EA">
              <w:rPr>
                <w:rFonts w:cs="Arial"/>
                <w:b/>
                <w:color w:val="FFFFFF" w:themeColor="background1"/>
                <w:sz w:val="20"/>
                <w:szCs w:val="18"/>
                <w:lang w:eastAsia="sk-SK"/>
              </w:rPr>
              <w:t>4 nápravy</w:t>
            </w:r>
          </w:p>
        </w:tc>
        <w:tc>
          <w:tcPr>
            <w:tcW w:w="1208" w:type="dxa"/>
            <w:noWrap/>
            <w:hideMark/>
          </w:tcPr>
          <w:p w:rsidR="00823842" w:rsidRPr="00A96FEA" w:rsidRDefault="00823842" w:rsidP="000C6B9B">
            <w:pPr>
              <w:pStyle w:val="tabbielystyl"/>
              <w:rPr>
                <w:rFonts w:cs="Arial"/>
                <w:color w:val="000000"/>
                <w:sz w:val="18"/>
                <w:szCs w:val="18"/>
              </w:rPr>
            </w:pPr>
            <w:r>
              <w:t xml:space="preserve">0,246 </w:t>
            </w:r>
          </w:p>
        </w:tc>
        <w:tc>
          <w:tcPr>
            <w:tcW w:w="1209" w:type="dxa"/>
          </w:tcPr>
          <w:p w:rsidR="00823842" w:rsidRDefault="00823842" w:rsidP="000C6B9B">
            <w:pPr>
              <w:pStyle w:val="tabbielystyl"/>
            </w:pPr>
            <w:r>
              <w:t>0,26</w:t>
            </w:r>
          </w:p>
        </w:tc>
        <w:tc>
          <w:tcPr>
            <w:tcW w:w="1208" w:type="dxa"/>
            <w:noWrap/>
            <w:hideMark/>
          </w:tcPr>
          <w:p w:rsidR="00823842" w:rsidRPr="00A96FEA" w:rsidRDefault="00823842" w:rsidP="000C6B9B">
            <w:pPr>
              <w:pStyle w:val="tabbielystyl"/>
              <w:rPr>
                <w:rFonts w:cs="Arial"/>
                <w:color w:val="000000"/>
                <w:sz w:val="18"/>
                <w:szCs w:val="18"/>
              </w:rPr>
            </w:pPr>
            <w:r>
              <w:t xml:space="preserve">0,222 </w:t>
            </w:r>
          </w:p>
        </w:tc>
        <w:tc>
          <w:tcPr>
            <w:tcW w:w="1209" w:type="dxa"/>
          </w:tcPr>
          <w:p w:rsidR="00823842" w:rsidRDefault="00823842" w:rsidP="000C6B9B">
            <w:pPr>
              <w:pStyle w:val="tabbielystyl"/>
            </w:pPr>
            <w:r>
              <w:t>0,25</w:t>
            </w:r>
          </w:p>
        </w:tc>
        <w:tc>
          <w:tcPr>
            <w:tcW w:w="1208" w:type="dxa"/>
            <w:noWrap/>
            <w:hideMark/>
          </w:tcPr>
          <w:p w:rsidR="00823842" w:rsidRPr="00A96FEA" w:rsidRDefault="00823842" w:rsidP="000C6B9B">
            <w:pPr>
              <w:pStyle w:val="tabbielystyl"/>
              <w:rPr>
                <w:rFonts w:cs="Arial"/>
                <w:color w:val="000000"/>
                <w:sz w:val="18"/>
                <w:szCs w:val="18"/>
              </w:rPr>
            </w:pPr>
            <w:r>
              <w:t xml:space="preserve">0,192 </w:t>
            </w:r>
          </w:p>
        </w:tc>
        <w:tc>
          <w:tcPr>
            <w:tcW w:w="1209" w:type="dxa"/>
          </w:tcPr>
          <w:p w:rsidR="00823842" w:rsidRDefault="00823842" w:rsidP="000C6B9B">
            <w:pPr>
              <w:pStyle w:val="tabbielystyl"/>
            </w:pPr>
            <w:r>
              <w:t>0,24</w:t>
            </w:r>
          </w:p>
        </w:tc>
      </w:tr>
      <w:tr w:rsidR="00823842" w:rsidRPr="00A96FEA" w:rsidTr="00402AF5">
        <w:trPr>
          <w:cantSplit/>
          <w:trHeight w:val="340"/>
        </w:trPr>
        <w:tc>
          <w:tcPr>
            <w:tcW w:w="0" w:type="auto"/>
            <w:vMerge/>
            <w:shd w:val="clear" w:color="auto" w:fill="7F7F7F" w:themeFill="text1" w:themeFillTint="80"/>
            <w:hideMark/>
          </w:tcPr>
          <w:p w:rsidR="00823842" w:rsidRPr="00E777EA" w:rsidRDefault="00823842" w:rsidP="00E777EA">
            <w:pPr>
              <w:spacing w:before="0" w:after="0" w:line="240" w:lineRule="auto"/>
              <w:jc w:val="center"/>
              <w:rPr>
                <w:rFonts w:cs="Arial"/>
                <w:b/>
                <w:color w:val="FFFFFF" w:themeColor="background1"/>
                <w:sz w:val="20"/>
                <w:szCs w:val="18"/>
                <w:lang w:eastAsia="sk-SK"/>
              </w:rPr>
            </w:pPr>
          </w:p>
        </w:tc>
        <w:tc>
          <w:tcPr>
            <w:tcW w:w="0" w:type="auto"/>
            <w:vMerge/>
            <w:shd w:val="clear" w:color="auto" w:fill="7F7F7F" w:themeFill="text1" w:themeFillTint="80"/>
            <w:noWrap/>
            <w:hideMark/>
          </w:tcPr>
          <w:p w:rsidR="00823842" w:rsidRPr="00E777EA" w:rsidRDefault="00823842" w:rsidP="00E777EA">
            <w:pPr>
              <w:spacing w:before="0" w:after="0" w:line="240" w:lineRule="auto"/>
              <w:rPr>
                <w:rFonts w:cs="Arial"/>
                <w:b/>
                <w:color w:val="FFFFFF" w:themeColor="background1"/>
                <w:sz w:val="20"/>
                <w:szCs w:val="18"/>
                <w:lang w:eastAsia="sk-SK"/>
              </w:rPr>
            </w:pPr>
          </w:p>
        </w:tc>
        <w:tc>
          <w:tcPr>
            <w:tcW w:w="0" w:type="auto"/>
            <w:shd w:val="clear" w:color="auto" w:fill="7F7F7F" w:themeFill="text1" w:themeFillTint="80"/>
          </w:tcPr>
          <w:p w:rsidR="00823842" w:rsidRPr="00E777EA" w:rsidRDefault="00823842" w:rsidP="00E777EA">
            <w:pPr>
              <w:spacing w:before="0" w:after="0" w:line="240" w:lineRule="auto"/>
              <w:rPr>
                <w:rFonts w:cs="Arial"/>
                <w:b/>
                <w:color w:val="FFFFFF" w:themeColor="background1"/>
                <w:sz w:val="20"/>
                <w:szCs w:val="18"/>
                <w:lang w:eastAsia="sk-SK"/>
              </w:rPr>
            </w:pPr>
            <w:r w:rsidRPr="00E777EA">
              <w:rPr>
                <w:rFonts w:cs="Arial"/>
                <w:b/>
                <w:color w:val="FFFFFF" w:themeColor="background1"/>
                <w:sz w:val="20"/>
                <w:szCs w:val="18"/>
                <w:lang w:eastAsia="sk-SK"/>
              </w:rPr>
              <w:t>5 náprav</w:t>
            </w:r>
            <w:r>
              <w:rPr>
                <w:rFonts w:cs="Arial"/>
                <w:b/>
                <w:color w:val="FFFFFF" w:themeColor="background1"/>
                <w:sz w:val="20"/>
                <w:szCs w:val="18"/>
                <w:lang w:eastAsia="sk-SK"/>
              </w:rPr>
              <w:t>y</w:t>
            </w:r>
          </w:p>
        </w:tc>
        <w:tc>
          <w:tcPr>
            <w:tcW w:w="1208" w:type="dxa"/>
            <w:noWrap/>
            <w:hideMark/>
          </w:tcPr>
          <w:p w:rsidR="00823842" w:rsidRPr="00A96FEA" w:rsidRDefault="00823842" w:rsidP="000C6B9B">
            <w:pPr>
              <w:pStyle w:val="tabbielystyl"/>
              <w:rPr>
                <w:rFonts w:cs="Arial"/>
                <w:color w:val="000000"/>
                <w:sz w:val="18"/>
                <w:szCs w:val="18"/>
              </w:rPr>
            </w:pPr>
            <w:r>
              <w:t xml:space="preserve">0,237 </w:t>
            </w:r>
          </w:p>
        </w:tc>
        <w:tc>
          <w:tcPr>
            <w:tcW w:w="1209" w:type="dxa"/>
          </w:tcPr>
          <w:p w:rsidR="00823842" w:rsidRDefault="00823842" w:rsidP="000C6B9B">
            <w:pPr>
              <w:pStyle w:val="tabbielystyl"/>
            </w:pPr>
            <w:r>
              <w:t>0,26</w:t>
            </w:r>
          </w:p>
        </w:tc>
        <w:tc>
          <w:tcPr>
            <w:tcW w:w="1208" w:type="dxa"/>
            <w:noWrap/>
            <w:hideMark/>
          </w:tcPr>
          <w:p w:rsidR="00823842" w:rsidRPr="00A96FEA" w:rsidRDefault="00823842" w:rsidP="000C6B9B">
            <w:pPr>
              <w:pStyle w:val="tabbielystyl"/>
              <w:rPr>
                <w:rFonts w:cs="Arial"/>
                <w:color w:val="000000"/>
                <w:sz w:val="18"/>
                <w:szCs w:val="18"/>
              </w:rPr>
            </w:pPr>
            <w:r>
              <w:t xml:space="preserve">0,214 </w:t>
            </w:r>
          </w:p>
        </w:tc>
        <w:tc>
          <w:tcPr>
            <w:tcW w:w="1209" w:type="dxa"/>
          </w:tcPr>
          <w:p w:rsidR="00823842" w:rsidRDefault="00823842" w:rsidP="000C6B9B">
            <w:pPr>
              <w:pStyle w:val="tabbielystyl"/>
            </w:pPr>
            <w:r>
              <w:t>0,24</w:t>
            </w:r>
          </w:p>
        </w:tc>
        <w:tc>
          <w:tcPr>
            <w:tcW w:w="1208" w:type="dxa"/>
            <w:noWrap/>
            <w:hideMark/>
          </w:tcPr>
          <w:p w:rsidR="00823842" w:rsidRPr="00A96FEA" w:rsidRDefault="00823842" w:rsidP="000C6B9B">
            <w:pPr>
              <w:pStyle w:val="tabbielystyl"/>
              <w:rPr>
                <w:rFonts w:cs="Arial"/>
                <w:color w:val="000000"/>
                <w:sz w:val="18"/>
                <w:szCs w:val="18"/>
              </w:rPr>
            </w:pPr>
            <w:r>
              <w:t xml:space="preserve">0,185 </w:t>
            </w:r>
          </w:p>
        </w:tc>
        <w:tc>
          <w:tcPr>
            <w:tcW w:w="1209" w:type="dxa"/>
          </w:tcPr>
          <w:p w:rsidR="00823842" w:rsidRDefault="00823842" w:rsidP="000C6B9B">
            <w:pPr>
              <w:pStyle w:val="tabbielystyl"/>
            </w:pPr>
            <w:r>
              <w:t>0,24</w:t>
            </w:r>
          </w:p>
        </w:tc>
      </w:tr>
      <w:tr w:rsidR="00402AF5" w:rsidRPr="00A96FEA" w:rsidTr="00402AF5">
        <w:trPr>
          <w:cantSplit/>
          <w:trHeight w:val="340"/>
        </w:trPr>
        <w:tc>
          <w:tcPr>
            <w:tcW w:w="0" w:type="auto"/>
            <w:vMerge w:val="restart"/>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BUS</w:t>
            </w:r>
          </w:p>
        </w:tc>
        <w:tc>
          <w:tcPr>
            <w:tcW w:w="0" w:type="auto"/>
            <w:gridSpan w:val="2"/>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3,5 t – do 12 t </w:t>
            </w:r>
          </w:p>
        </w:tc>
        <w:tc>
          <w:tcPr>
            <w:tcW w:w="1208" w:type="dxa"/>
            <w:noWrap/>
            <w:hideMark/>
          </w:tcPr>
          <w:p w:rsidR="00E777EA" w:rsidRPr="00A96FEA" w:rsidRDefault="00E777EA" w:rsidP="000C6B9B">
            <w:pPr>
              <w:pStyle w:val="tabbielystyl"/>
              <w:rPr>
                <w:rFonts w:cs="Arial"/>
                <w:color w:val="000000"/>
                <w:sz w:val="18"/>
                <w:szCs w:val="18"/>
              </w:rPr>
            </w:pPr>
            <w:r>
              <w:t xml:space="preserve">0,062 </w:t>
            </w:r>
          </w:p>
        </w:tc>
        <w:tc>
          <w:tcPr>
            <w:tcW w:w="1209" w:type="dxa"/>
          </w:tcPr>
          <w:p w:rsidR="00E777EA" w:rsidRDefault="00E777EA" w:rsidP="000C6B9B">
            <w:pPr>
              <w:pStyle w:val="tabbielystyl"/>
            </w:pPr>
            <w:r>
              <w:t>0,23</w:t>
            </w:r>
          </w:p>
        </w:tc>
        <w:tc>
          <w:tcPr>
            <w:tcW w:w="1208" w:type="dxa"/>
            <w:noWrap/>
            <w:hideMark/>
          </w:tcPr>
          <w:p w:rsidR="00E777EA" w:rsidRPr="00A96FEA" w:rsidRDefault="00E777EA" w:rsidP="000C6B9B">
            <w:pPr>
              <w:pStyle w:val="tabbielystyl"/>
              <w:rPr>
                <w:rFonts w:cs="Arial"/>
                <w:color w:val="000000"/>
                <w:sz w:val="18"/>
                <w:szCs w:val="18"/>
              </w:rPr>
            </w:pPr>
            <w:r>
              <w:t xml:space="preserve">0,051 </w:t>
            </w:r>
          </w:p>
        </w:tc>
        <w:tc>
          <w:tcPr>
            <w:tcW w:w="1209" w:type="dxa"/>
          </w:tcPr>
          <w:p w:rsidR="00E777EA" w:rsidRDefault="00E777EA" w:rsidP="000C6B9B">
            <w:pPr>
              <w:pStyle w:val="tabbielystyl"/>
            </w:pPr>
            <w:r>
              <w:t>0,21</w:t>
            </w:r>
          </w:p>
        </w:tc>
        <w:tc>
          <w:tcPr>
            <w:tcW w:w="1208" w:type="dxa"/>
            <w:noWrap/>
            <w:hideMark/>
          </w:tcPr>
          <w:p w:rsidR="00E777EA" w:rsidRPr="00A96FEA" w:rsidRDefault="00E777EA" w:rsidP="000C6B9B">
            <w:pPr>
              <w:pStyle w:val="tabbielystyl"/>
              <w:rPr>
                <w:rFonts w:cs="Arial"/>
                <w:color w:val="000000"/>
                <w:sz w:val="18"/>
                <w:szCs w:val="18"/>
              </w:rPr>
            </w:pPr>
            <w:r>
              <w:t xml:space="preserve">0,031 </w:t>
            </w:r>
          </w:p>
        </w:tc>
        <w:tc>
          <w:tcPr>
            <w:tcW w:w="1209" w:type="dxa"/>
          </w:tcPr>
          <w:p w:rsidR="00E777EA" w:rsidRDefault="00E777EA" w:rsidP="000C6B9B">
            <w:pPr>
              <w:pStyle w:val="tabbielystyl"/>
            </w:pPr>
            <w:r>
              <w:t>0,21</w:t>
            </w:r>
          </w:p>
        </w:tc>
      </w:tr>
      <w:tr w:rsidR="00402AF5" w:rsidRPr="00A96FEA" w:rsidTr="00402AF5">
        <w:trPr>
          <w:cantSplit/>
          <w:trHeight w:val="340"/>
        </w:trPr>
        <w:tc>
          <w:tcPr>
            <w:tcW w:w="0" w:type="auto"/>
            <w:vMerge/>
            <w:shd w:val="clear" w:color="auto" w:fill="7F7F7F" w:themeFill="text1" w:themeFillTint="80"/>
            <w:hideMark/>
          </w:tcPr>
          <w:p w:rsidR="00E777EA" w:rsidRPr="00E777EA" w:rsidRDefault="00E777EA" w:rsidP="00E777EA">
            <w:pPr>
              <w:spacing w:before="0" w:after="0" w:line="240" w:lineRule="auto"/>
              <w:rPr>
                <w:rFonts w:cs="Arial"/>
                <w:b/>
                <w:color w:val="FFFFFF" w:themeColor="background1"/>
                <w:sz w:val="20"/>
                <w:szCs w:val="18"/>
                <w:lang w:eastAsia="sk-SK"/>
              </w:rPr>
            </w:pPr>
          </w:p>
        </w:tc>
        <w:tc>
          <w:tcPr>
            <w:tcW w:w="0" w:type="auto"/>
            <w:gridSpan w:val="2"/>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12 t a viac </w:t>
            </w:r>
          </w:p>
        </w:tc>
        <w:tc>
          <w:tcPr>
            <w:tcW w:w="1208" w:type="dxa"/>
            <w:noWrap/>
            <w:hideMark/>
          </w:tcPr>
          <w:p w:rsidR="00E777EA" w:rsidRPr="00A96FEA" w:rsidRDefault="00E777EA" w:rsidP="000C6B9B">
            <w:pPr>
              <w:pStyle w:val="tabbielystyl"/>
              <w:rPr>
                <w:rFonts w:cs="Arial"/>
                <w:color w:val="000000"/>
                <w:sz w:val="18"/>
                <w:szCs w:val="18"/>
              </w:rPr>
            </w:pPr>
            <w:r>
              <w:t xml:space="preserve">0,112 </w:t>
            </w:r>
          </w:p>
        </w:tc>
        <w:tc>
          <w:tcPr>
            <w:tcW w:w="1209" w:type="dxa"/>
          </w:tcPr>
          <w:p w:rsidR="00E777EA" w:rsidRDefault="00E777EA" w:rsidP="000C6B9B">
            <w:pPr>
              <w:pStyle w:val="tabbielystyl"/>
            </w:pPr>
            <w:r>
              <w:t>0,23</w:t>
            </w:r>
          </w:p>
        </w:tc>
        <w:tc>
          <w:tcPr>
            <w:tcW w:w="1208" w:type="dxa"/>
            <w:noWrap/>
            <w:hideMark/>
          </w:tcPr>
          <w:p w:rsidR="00E777EA" w:rsidRPr="00A96FEA" w:rsidRDefault="00E777EA" w:rsidP="000C6B9B">
            <w:pPr>
              <w:pStyle w:val="tabbielystyl"/>
              <w:rPr>
                <w:rFonts w:cs="Arial"/>
                <w:color w:val="000000"/>
                <w:sz w:val="18"/>
                <w:szCs w:val="18"/>
              </w:rPr>
            </w:pPr>
            <w:r>
              <w:t xml:space="preserve">0,102 </w:t>
            </w:r>
          </w:p>
        </w:tc>
        <w:tc>
          <w:tcPr>
            <w:tcW w:w="1209" w:type="dxa"/>
          </w:tcPr>
          <w:p w:rsidR="00E777EA" w:rsidRDefault="00E777EA" w:rsidP="000C6B9B">
            <w:pPr>
              <w:pStyle w:val="tabbielystyl"/>
            </w:pPr>
            <w:r>
              <w:t>0,22</w:t>
            </w:r>
          </w:p>
        </w:tc>
        <w:tc>
          <w:tcPr>
            <w:tcW w:w="1208" w:type="dxa"/>
            <w:noWrap/>
            <w:hideMark/>
          </w:tcPr>
          <w:p w:rsidR="00E777EA" w:rsidRPr="00A96FEA" w:rsidRDefault="00E777EA" w:rsidP="000C6B9B">
            <w:pPr>
              <w:pStyle w:val="tabbielystyl"/>
              <w:rPr>
                <w:rFonts w:cs="Arial"/>
                <w:color w:val="000000"/>
                <w:sz w:val="18"/>
                <w:szCs w:val="18"/>
              </w:rPr>
            </w:pPr>
            <w:r>
              <w:t xml:space="preserve">0,062 </w:t>
            </w:r>
          </w:p>
        </w:tc>
        <w:tc>
          <w:tcPr>
            <w:tcW w:w="1209" w:type="dxa"/>
          </w:tcPr>
          <w:p w:rsidR="00E777EA" w:rsidRDefault="00E777EA" w:rsidP="000C6B9B">
            <w:pPr>
              <w:pStyle w:val="tabbielystyl"/>
            </w:pPr>
            <w:r>
              <w:t>0,22</w:t>
            </w:r>
          </w:p>
        </w:tc>
      </w:tr>
    </w:tbl>
    <w:p w:rsidR="00C520CC" w:rsidRDefault="00C520CC" w:rsidP="004C487B">
      <w:pPr>
        <w:pStyle w:val="Popis"/>
        <w:ind w:left="0" w:firstLine="0"/>
        <w:rPr>
          <w:noProof/>
          <w:lang w:eastAsia="sk-SK"/>
        </w:rPr>
      </w:pPr>
      <w:r w:rsidRPr="00C520CC">
        <w:rPr>
          <w:noProof/>
          <w:lang w:eastAsia="sk-SK"/>
        </w:rPr>
        <w:drawing>
          <wp:inline distT="0" distB="0" distL="0" distR="0">
            <wp:extent cx="5951841" cy="1800000"/>
            <wp:effectExtent l="19050" t="0" r="10809" b="0"/>
            <wp:docPr id="80"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C520CC" w:rsidRDefault="00C520CC" w:rsidP="00991EA3">
      <w:pPr>
        <w:pStyle w:val="obrnazov"/>
        <w:spacing w:before="0"/>
      </w:pPr>
      <w:bookmarkStart w:id="286" w:name="_Ref23928713"/>
      <w:bookmarkStart w:id="287" w:name="_Toc36664538"/>
      <w:r w:rsidRPr="00104F7F">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7</w:t>
      </w:r>
      <w:r w:rsidR="00C40D3F">
        <w:rPr>
          <w:noProof/>
        </w:rPr>
        <w:fldChar w:fldCharType="end"/>
      </w:r>
      <w:bookmarkEnd w:id="286"/>
      <w:r w:rsidRPr="00104F7F">
        <w:tab/>
      </w:r>
      <w:r>
        <w:t xml:space="preserve">Porovnanie skutočných (2009, 2019) a ekonomických sadzieb mýta v SR </w:t>
      </w:r>
      <w:r w:rsidR="00011F70">
        <w:t xml:space="preserve">-  diaľnice a rýchlostné cesty, </w:t>
      </w:r>
      <w:r>
        <w:t>nákladné vozidlá s hmotnosťou od 3,5 do 12 ton</w:t>
      </w:r>
      <w:r w:rsidRPr="00104F7F">
        <w:t xml:space="preserve"> (</w:t>
      </w:r>
      <w:r>
        <w:t>€/</w:t>
      </w:r>
      <w:r w:rsidRPr="00104F7F">
        <w:t>km)</w:t>
      </w:r>
      <w:bookmarkEnd w:id="287"/>
    </w:p>
    <w:p w:rsidR="00E777EA" w:rsidRDefault="00781838" w:rsidP="004C487B">
      <w:pPr>
        <w:pStyle w:val="Popis"/>
        <w:ind w:left="0" w:firstLine="0"/>
      </w:pPr>
      <w:r>
        <w:rPr>
          <w:noProof/>
          <w:lang w:eastAsia="sk-SK"/>
        </w:rPr>
        <w:drawing>
          <wp:inline distT="0" distB="0" distL="0" distR="0">
            <wp:extent cx="5953746" cy="1800000"/>
            <wp:effectExtent l="19050" t="0" r="27954" b="0"/>
            <wp:docPr id="77"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4C487B" w:rsidRDefault="004C487B" w:rsidP="00991EA3">
      <w:pPr>
        <w:pStyle w:val="obrnazov"/>
      </w:pPr>
      <w:bookmarkStart w:id="288" w:name="_Ref23928493"/>
      <w:bookmarkStart w:id="289" w:name="_Toc36664539"/>
      <w:r w:rsidRPr="00104F7F">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8</w:t>
      </w:r>
      <w:r w:rsidR="00C40D3F">
        <w:rPr>
          <w:noProof/>
        </w:rPr>
        <w:fldChar w:fldCharType="end"/>
      </w:r>
      <w:bookmarkEnd w:id="288"/>
      <w:r w:rsidRPr="00104F7F">
        <w:tab/>
      </w:r>
      <w:r>
        <w:t xml:space="preserve">Porovnanie skutočných (2009, 2019) a ekonomických sadzieb mýta v SR </w:t>
      </w:r>
      <w:r w:rsidR="0068094D">
        <w:t xml:space="preserve"> - </w:t>
      </w:r>
      <w:r>
        <w:t xml:space="preserve"> </w:t>
      </w:r>
      <w:r w:rsidR="00011F70">
        <w:t>diaľnice a rýchlostné cesty</w:t>
      </w:r>
      <w:r w:rsidR="0068094D">
        <w:t>,</w:t>
      </w:r>
      <w:r>
        <w:t xml:space="preserve"> autobusy s hmotnosťou od 3,5 do 12 ton</w:t>
      </w:r>
      <w:r w:rsidRPr="00104F7F">
        <w:t xml:space="preserve"> (</w:t>
      </w:r>
      <w:r>
        <w:t>€/</w:t>
      </w:r>
      <w:r w:rsidRPr="00104F7F">
        <w:t>km)</w:t>
      </w:r>
      <w:bookmarkEnd w:id="289"/>
    </w:p>
    <w:p w:rsidR="00E777EA" w:rsidRDefault="00E777EA" w:rsidP="00E777EA">
      <w:r>
        <w:t>Porovnanie s</w:t>
      </w:r>
      <w:r w:rsidRPr="00E777EA">
        <w:t>adz</w:t>
      </w:r>
      <w:r>
        <w:t>ieb</w:t>
      </w:r>
      <w:r w:rsidRPr="00E777EA">
        <w:t xml:space="preserve"> mýta za </w:t>
      </w:r>
      <w:r w:rsidRPr="0094275F">
        <w:rPr>
          <w:b/>
        </w:rPr>
        <w:t>užívanie vymedzených úsekov ciest I. triedy, ktoré sú súbežné s diaľnicami a s rýchlostnými cestami platné v roku 2018</w:t>
      </w:r>
      <w:r>
        <w:t xml:space="preserve"> je znázornené v nasledujúcej tabuľke</w:t>
      </w:r>
      <w:r w:rsidR="00823842">
        <w:t xml:space="preserve"> (</w:t>
      </w:r>
      <w:r w:rsidR="00AE5B8A">
        <w:fldChar w:fldCharType="begin"/>
      </w:r>
      <w:r w:rsidR="00823842">
        <w:instrText xml:space="preserve"> REF _Ref21913282 \h </w:instrText>
      </w:r>
      <w:r w:rsidR="00AE5B8A">
        <w:fldChar w:fldCharType="separate"/>
      </w:r>
      <w:r w:rsidR="001E4C1C">
        <w:t xml:space="preserve">Tab.  </w:t>
      </w:r>
      <w:r w:rsidR="001E4C1C">
        <w:rPr>
          <w:noProof/>
        </w:rPr>
        <w:t>3</w:t>
      </w:r>
      <w:r w:rsidR="001E4C1C">
        <w:noBreakHyphen/>
      </w:r>
      <w:r w:rsidR="001E4C1C">
        <w:rPr>
          <w:noProof/>
        </w:rPr>
        <w:t>2</w:t>
      </w:r>
      <w:r w:rsidR="00AE5B8A">
        <w:fldChar w:fldCharType="end"/>
      </w:r>
      <w:r w:rsidR="00823842">
        <w:t>).</w:t>
      </w:r>
      <w:r w:rsidRPr="00E777EA">
        <w:t xml:space="preserve"> </w:t>
      </w:r>
      <w:r w:rsidRPr="002A3CCB">
        <w:t xml:space="preserve">V čase výpočtu </w:t>
      </w:r>
      <w:r w:rsidR="00823842">
        <w:t xml:space="preserve">ekonomických </w:t>
      </w:r>
      <w:r w:rsidRPr="002A3CCB">
        <w:t xml:space="preserve">sadzieb neboli cesty I. triedy rozdelené na súbežné a nesúbežné, </w:t>
      </w:r>
      <w:r>
        <w:t xml:space="preserve">spoplatňovateľ zaviedol kategórie súbežných ciest až v roku 2014. Aby sa ťažká nákladná doprava presunula na diaľnice, pre nákladné vozidlá </w:t>
      </w:r>
      <w:r w:rsidR="0094275F">
        <w:t xml:space="preserve">správca systému </w:t>
      </w:r>
      <w:r w:rsidR="00B77097">
        <w:t xml:space="preserve">boli určené </w:t>
      </w:r>
      <w:r>
        <w:t xml:space="preserve">sadzby ako na diaľniciach a rýchlostných komunikáciách, pre autobusy </w:t>
      </w:r>
      <w:r w:rsidR="00823842">
        <w:t xml:space="preserve">boli zavedené rovnaké sadzby </w:t>
      </w:r>
      <w:r>
        <w:t>ako na nesúbežných</w:t>
      </w:r>
      <w:r w:rsidR="00ED6D25">
        <w:t xml:space="preserve"> </w:t>
      </w:r>
      <w:r>
        <w:t>cestách I. triedy</w:t>
      </w:r>
      <w:r w:rsidR="00823842">
        <w:t>.</w:t>
      </w:r>
      <w:r>
        <w:t xml:space="preserve"> </w:t>
      </w:r>
    </w:p>
    <w:p w:rsidR="00E777EA" w:rsidRDefault="00E777EA" w:rsidP="00E777EA">
      <w:pPr>
        <w:pStyle w:val="tabstyl"/>
      </w:pPr>
      <w:bookmarkStart w:id="290" w:name="_Ref21913282"/>
      <w:bookmarkStart w:id="291" w:name="_Toc36664496"/>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w:t>
      </w:r>
      <w:r w:rsidR="00C40D3F">
        <w:rPr>
          <w:noProof/>
        </w:rPr>
        <w:fldChar w:fldCharType="end"/>
      </w:r>
      <w:bookmarkEnd w:id="290"/>
      <w:r>
        <w:tab/>
      </w:r>
      <w:r w:rsidR="0068094D" w:rsidRPr="006118FC">
        <w:t xml:space="preserve">Porovnanie </w:t>
      </w:r>
      <w:r w:rsidR="0068094D">
        <w:t xml:space="preserve">skutočných  (2018) a ekonomických (2009) </w:t>
      </w:r>
      <w:r w:rsidR="0068094D" w:rsidRPr="006118FC">
        <w:t>sadzieb mýta</w:t>
      </w:r>
      <w:r w:rsidR="0068094D">
        <w:t xml:space="preserve"> v SR </w:t>
      </w:r>
      <w:r w:rsidR="0068094D" w:rsidRPr="006118FC">
        <w:t xml:space="preserve"> </w:t>
      </w:r>
      <w:r w:rsidR="0068094D">
        <w:t>– cesty I. triedy súbežné s D a RC (€/km)</w:t>
      </w:r>
      <w:bookmarkEnd w:id="291"/>
      <w:r w:rsidR="0068094D">
        <w:t xml:space="preserve">  </w:t>
      </w:r>
    </w:p>
    <w:tbl>
      <w:tblPr>
        <w:tblStyle w:val="tabulkaVUD"/>
        <w:tblW w:w="5000" w:type="pct"/>
        <w:tblLook w:val="04A0" w:firstRow="1" w:lastRow="0" w:firstColumn="1" w:lastColumn="0" w:noHBand="0" w:noVBand="1"/>
      </w:tblPr>
      <w:tblGrid>
        <w:gridCol w:w="417"/>
        <w:gridCol w:w="1089"/>
        <w:gridCol w:w="1073"/>
        <w:gridCol w:w="1086"/>
        <w:gridCol w:w="1192"/>
        <w:gridCol w:w="1086"/>
        <w:gridCol w:w="1192"/>
        <w:gridCol w:w="1086"/>
        <w:gridCol w:w="1190"/>
      </w:tblGrid>
      <w:tr w:rsidR="00402AF5" w:rsidRPr="00A96FEA" w:rsidTr="00402AF5">
        <w:trPr>
          <w:cnfStyle w:val="100000000000" w:firstRow="1" w:lastRow="0" w:firstColumn="0" w:lastColumn="0" w:oddVBand="0" w:evenVBand="0" w:oddHBand="0" w:evenHBand="0" w:firstRowFirstColumn="0" w:firstRowLastColumn="0" w:lastRowFirstColumn="0" w:lastRowLastColumn="0"/>
          <w:cantSplit/>
          <w:trHeight w:val="371"/>
          <w:tblHeader/>
        </w:trPr>
        <w:tc>
          <w:tcPr>
            <w:tcW w:w="285" w:type="pct"/>
            <w:vMerge w:val="restart"/>
            <w:noWrap/>
            <w:hideMark/>
          </w:tcPr>
          <w:p w:rsidR="00E777EA" w:rsidRPr="00A96FEA" w:rsidRDefault="00E777EA" w:rsidP="00E777EA">
            <w:pPr>
              <w:spacing w:before="0" w:after="0" w:line="240" w:lineRule="auto"/>
              <w:rPr>
                <w:rFonts w:cs="Arial"/>
                <w:color w:val="000000"/>
                <w:sz w:val="18"/>
                <w:szCs w:val="18"/>
                <w:lang w:eastAsia="sk-SK"/>
              </w:rPr>
            </w:pPr>
            <w:r w:rsidRPr="00A96FEA">
              <w:rPr>
                <w:rFonts w:cs="Arial"/>
                <w:color w:val="000000"/>
                <w:sz w:val="18"/>
                <w:szCs w:val="18"/>
                <w:lang w:eastAsia="sk-SK"/>
              </w:rPr>
              <w:t> </w:t>
            </w:r>
          </w:p>
        </w:tc>
        <w:tc>
          <w:tcPr>
            <w:tcW w:w="1275" w:type="pct"/>
            <w:gridSpan w:val="2"/>
            <w:vMerge w:val="restart"/>
            <w:shd w:val="clear" w:color="auto" w:fill="7F7F7F" w:themeFill="text1" w:themeFillTint="80"/>
            <w:noWrap/>
            <w:hideMark/>
          </w:tcPr>
          <w:p w:rsidR="00E777EA" w:rsidRPr="00E777EA" w:rsidRDefault="00140493" w:rsidP="00140493">
            <w:pPr>
              <w:spacing w:before="0" w:after="0" w:line="240" w:lineRule="auto"/>
              <w:jc w:val="center"/>
              <w:rPr>
                <w:rFonts w:cs="Arial"/>
                <w:color w:val="FFFFFF" w:themeColor="background1"/>
                <w:sz w:val="18"/>
                <w:szCs w:val="18"/>
                <w:lang w:eastAsia="sk-SK"/>
              </w:rPr>
            </w:pPr>
            <w:r w:rsidRPr="00140493">
              <w:rPr>
                <w:rFonts w:cs="Arial"/>
                <w:b/>
                <w:color w:val="FFFFFF" w:themeColor="background1"/>
                <w:sz w:val="18"/>
                <w:szCs w:val="18"/>
                <w:lang w:eastAsia="sk-SK"/>
              </w:rPr>
              <w:t>Typ vozidla/</w:t>
            </w:r>
            <w:r>
              <w:rPr>
                <w:rFonts w:cs="Arial"/>
                <w:b/>
                <w:color w:val="FFFFFF" w:themeColor="background1"/>
                <w:sz w:val="18"/>
                <w:szCs w:val="18"/>
                <w:lang w:eastAsia="sk-SK"/>
              </w:rPr>
              <w:t>emisná trieda</w:t>
            </w:r>
            <w:r w:rsidR="00E777EA" w:rsidRPr="00E777EA">
              <w:rPr>
                <w:rFonts w:cs="Arial"/>
                <w:color w:val="FFFFFF" w:themeColor="background1"/>
                <w:sz w:val="18"/>
                <w:szCs w:val="18"/>
                <w:lang w:eastAsia="sk-SK"/>
              </w:rPr>
              <w:t> </w:t>
            </w:r>
          </w:p>
        </w:tc>
        <w:tc>
          <w:tcPr>
            <w:tcW w:w="1147" w:type="pct"/>
            <w:gridSpan w:val="2"/>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0 – II</w:t>
            </w:r>
          </w:p>
        </w:tc>
        <w:tc>
          <w:tcPr>
            <w:tcW w:w="1147" w:type="pct"/>
            <w:gridSpan w:val="2"/>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III, IV</w:t>
            </w:r>
          </w:p>
        </w:tc>
        <w:tc>
          <w:tcPr>
            <w:tcW w:w="1147" w:type="pct"/>
            <w:gridSpan w:val="2"/>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V, VI, EEV</w:t>
            </w:r>
          </w:p>
        </w:tc>
      </w:tr>
      <w:tr w:rsidR="00823842" w:rsidRPr="00A96FEA" w:rsidTr="00402AF5">
        <w:trPr>
          <w:cnfStyle w:val="100000000000" w:firstRow="1" w:lastRow="0" w:firstColumn="0" w:lastColumn="0" w:oddVBand="0" w:evenVBand="0" w:oddHBand="0" w:evenHBand="0" w:firstRowFirstColumn="0" w:firstRowLastColumn="0" w:lastRowFirstColumn="0" w:lastRowLastColumn="0"/>
          <w:cantSplit/>
          <w:trHeight w:val="20"/>
          <w:tblHeader/>
        </w:trPr>
        <w:tc>
          <w:tcPr>
            <w:tcW w:w="285" w:type="pct"/>
            <w:vMerge/>
            <w:shd w:val="clear" w:color="auto" w:fill="7F7F7F" w:themeFill="text1" w:themeFillTint="80"/>
            <w:noWrap/>
            <w:hideMark/>
          </w:tcPr>
          <w:p w:rsidR="00E777EA" w:rsidRPr="00E777EA" w:rsidRDefault="00E777EA" w:rsidP="00E777EA">
            <w:pPr>
              <w:spacing w:before="0" w:after="0" w:line="240" w:lineRule="auto"/>
              <w:rPr>
                <w:rFonts w:cs="Arial"/>
                <w:b/>
                <w:color w:val="FFFFFF" w:themeColor="background1"/>
                <w:sz w:val="20"/>
                <w:szCs w:val="18"/>
                <w:lang w:eastAsia="sk-SK"/>
              </w:rPr>
            </w:pPr>
          </w:p>
        </w:tc>
        <w:tc>
          <w:tcPr>
            <w:tcW w:w="1275" w:type="pct"/>
            <w:gridSpan w:val="2"/>
            <w:vMerge/>
            <w:shd w:val="clear" w:color="auto" w:fill="7F7F7F" w:themeFill="text1" w:themeFillTint="80"/>
            <w:noWrap/>
            <w:hideMark/>
          </w:tcPr>
          <w:p w:rsidR="00E777EA" w:rsidRPr="00E777EA" w:rsidRDefault="00E777EA" w:rsidP="00E777EA">
            <w:pPr>
              <w:spacing w:before="0" w:after="0" w:line="240" w:lineRule="auto"/>
              <w:jc w:val="center"/>
              <w:rPr>
                <w:rFonts w:cs="Arial"/>
                <w:b/>
                <w:color w:val="FFFFFF" w:themeColor="background1"/>
                <w:sz w:val="20"/>
                <w:szCs w:val="18"/>
                <w:lang w:eastAsia="sk-SK"/>
              </w:rPr>
            </w:pPr>
          </w:p>
        </w:tc>
        <w:tc>
          <w:tcPr>
            <w:tcW w:w="451" w:type="pct"/>
            <w:shd w:val="clear" w:color="auto" w:fill="7F7F7F" w:themeFill="text1" w:themeFillTint="80"/>
            <w:noWrap/>
            <w:hideMark/>
          </w:tcPr>
          <w:p w:rsid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E777EA" w:rsidRP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696" w:type="pct"/>
            <w:shd w:val="clear" w:color="auto" w:fill="7F7F7F" w:themeFill="text1" w:themeFillTint="80"/>
          </w:tcPr>
          <w:p w:rsidR="00E777EA" w:rsidRP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c>
          <w:tcPr>
            <w:tcW w:w="451" w:type="pct"/>
            <w:shd w:val="clear" w:color="auto" w:fill="7F7F7F" w:themeFill="text1" w:themeFillTint="80"/>
            <w:noWrap/>
            <w:hideMark/>
          </w:tcPr>
          <w:p w:rsid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E777EA" w:rsidRP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696" w:type="pct"/>
            <w:shd w:val="clear" w:color="auto" w:fill="7F7F7F" w:themeFill="text1" w:themeFillTint="80"/>
          </w:tcPr>
          <w:p w:rsidR="00E777EA" w:rsidRP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c>
          <w:tcPr>
            <w:tcW w:w="451" w:type="pct"/>
            <w:shd w:val="clear" w:color="auto" w:fill="7F7F7F" w:themeFill="text1" w:themeFillTint="80"/>
            <w:noWrap/>
            <w:hideMark/>
          </w:tcPr>
          <w:p w:rsid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E777EA" w:rsidRP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696" w:type="pct"/>
            <w:shd w:val="clear" w:color="auto" w:fill="7F7F7F" w:themeFill="text1" w:themeFillTint="80"/>
          </w:tcPr>
          <w:p w:rsidR="00E777EA" w:rsidRPr="00E777EA" w:rsidRDefault="00E777EA" w:rsidP="00E777EA">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r>
      <w:tr w:rsidR="00823842" w:rsidRPr="00A96FEA" w:rsidTr="00402AF5">
        <w:trPr>
          <w:cantSplit/>
          <w:trHeight w:val="20"/>
        </w:trPr>
        <w:tc>
          <w:tcPr>
            <w:tcW w:w="285" w:type="pct"/>
            <w:vMerge w:val="restart"/>
            <w:shd w:val="clear" w:color="auto" w:fill="7F7F7F" w:themeFill="text1" w:themeFillTint="80"/>
            <w:noWrap/>
            <w:hideMark/>
          </w:tcPr>
          <w:p w:rsidR="000C6B9B" w:rsidRPr="00E777EA" w:rsidRDefault="00C520CC" w:rsidP="000C6B9B">
            <w:pPr>
              <w:spacing w:before="0" w:after="0" w:line="240" w:lineRule="auto"/>
              <w:jc w:val="center"/>
              <w:rPr>
                <w:rFonts w:cs="Arial"/>
                <w:b/>
                <w:color w:val="FFFFFF" w:themeColor="background1"/>
                <w:sz w:val="20"/>
                <w:szCs w:val="18"/>
                <w:lang w:eastAsia="sk-SK"/>
              </w:rPr>
            </w:pPr>
            <w:r>
              <w:rPr>
                <w:rFonts w:cs="Arial"/>
                <w:b/>
                <w:color w:val="FFFFFF" w:themeColor="background1"/>
                <w:sz w:val="20"/>
                <w:szCs w:val="18"/>
                <w:lang w:eastAsia="sk-SK"/>
              </w:rPr>
              <w:t>NV</w:t>
            </w:r>
          </w:p>
        </w:tc>
        <w:tc>
          <w:tcPr>
            <w:tcW w:w="1275" w:type="pct"/>
            <w:gridSpan w:val="2"/>
            <w:shd w:val="clear" w:color="auto" w:fill="7F7F7F" w:themeFill="text1" w:themeFillTint="80"/>
            <w:noWrap/>
            <w:hideMark/>
          </w:tcPr>
          <w:p w:rsidR="000C6B9B" w:rsidRPr="00E777EA" w:rsidRDefault="000C6B9B" w:rsidP="000C6B9B">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3,5 t – do 12 t </w:t>
            </w:r>
          </w:p>
        </w:tc>
        <w:tc>
          <w:tcPr>
            <w:tcW w:w="451" w:type="pct"/>
            <w:noWrap/>
            <w:vAlign w:val="bottom"/>
            <w:hideMark/>
          </w:tcPr>
          <w:p w:rsidR="000C6B9B" w:rsidRPr="00691399" w:rsidRDefault="000C6B9B" w:rsidP="000C6B9B">
            <w:pPr>
              <w:pStyle w:val="tabbielystyl"/>
              <w:rPr>
                <w:rFonts w:cs="Arial"/>
                <w:sz w:val="18"/>
                <w:szCs w:val="18"/>
              </w:rPr>
            </w:pPr>
            <w:r>
              <w:t xml:space="preserve">0,105 </w:t>
            </w:r>
          </w:p>
        </w:tc>
        <w:tc>
          <w:tcPr>
            <w:tcW w:w="696" w:type="pct"/>
          </w:tcPr>
          <w:p w:rsidR="000C6B9B" w:rsidRDefault="000C6B9B" w:rsidP="000C6B9B">
            <w:pPr>
              <w:pStyle w:val="tabbielystyl"/>
              <w:rPr>
                <w:color w:val="333333"/>
              </w:rPr>
            </w:pPr>
            <w:r>
              <w:rPr>
                <w:color w:val="333333"/>
              </w:rPr>
              <w:t>0,17</w:t>
            </w:r>
          </w:p>
        </w:tc>
        <w:tc>
          <w:tcPr>
            <w:tcW w:w="451" w:type="pct"/>
            <w:noWrap/>
            <w:vAlign w:val="bottom"/>
            <w:hideMark/>
          </w:tcPr>
          <w:p w:rsidR="000C6B9B" w:rsidRPr="00691399" w:rsidRDefault="000C6B9B" w:rsidP="000C6B9B">
            <w:pPr>
              <w:pStyle w:val="tabbielystyl"/>
              <w:rPr>
                <w:rFonts w:cs="Arial"/>
                <w:sz w:val="18"/>
                <w:szCs w:val="18"/>
              </w:rPr>
            </w:pPr>
            <w:r>
              <w:t xml:space="preserve">0,095  </w:t>
            </w:r>
          </w:p>
        </w:tc>
        <w:tc>
          <w:tcPr>
            <w:tcW w:w="696" w:type="pct"/>
          </w:tcPr>
          <w:p w:rsidR="000C6B9B" w:rsidRDefault="000C6B9B" w:rsidP="000C6B9B">
            <w:pPr>
              <w:pStyle w:val="tabbielystyl"/>
              <w:rPr>
                <w:color w:val="333333"/>
              </w:rPr>
            </w:pPr>
            <w:r>
              <w:rPr>
                <w:color w:val="333333"/>
              </w:rPr>
              <w:t>0,16</w:t>
            </w:r>
          </w:p>
        </w:tc>
        <w:tc>
          <w:tcPr>
            <w:tcW w:w="451" w:type="pct"/>
            <w:noWrap/>
            <w:vAlign w:val="bottom"/>
            <w:hideMark/>
          </w:tcPr>
          <w:p w:rsidR="000C6B9B" w:rsidRPr="00691399" w:rsidRDefault="000C6B9B" w:rsidP="000C6B9B">
            <w:pPr>
              <w:pStyle w:val="tabbielystyl"/>
              <w:rPr>
                <w:rFonts w:cs="Arial"/>
                <w:sz w:val="18"/>
                <w:szCs w:val="18"/>
              </w:rPr>
            </w:pPr>
            <w:r>
              <w:t xml:space="preserve">0,082 </w:t>
            </w:r>
          </w:p>
        </w:tc>
        <w:tc>
          <w:tcPr>
            <w:tcW w:w="696" w:type="pct"/>
          </w:tcPr>
          <w:p w:rsidR="000C6B9B" w:rsidRDefault="000C6B9B" w:rsidP="000C6B9B">
            <w:pPr>
              <w:pStyle w:val="tabbielystyl"/>
              <w:rPr>
                <w:color w:val="333333"/>
              </w:rPr>
            </w:pPr>
            <w:r>
              <w:rPr>
                <w:color w:val="333333"/>
              </w:rPr>
              <w:t>0,16</w:t>
            </w:r>
          </w:p>
        </w:tc>
      </w:tr>
      <w:tr w:rsidR="00823842" w:rsidRPr="00A96FEA" w:rsidTr="00402AF5">
        <w:trPr>
          <w:cantSplit/>
          <w:trHeight w:val="20"/>
        </w:trPr>
        <w:tc>
          <w:tcPr>
            <w:tcW w:w="285" w:type="pct"/>
            <w:vMerge/>
            <w:shd w:val="clear" w:color="auto" w:fill="7F7F7F" w:themeFill="text1" w:themeFillTint="80"/>
            <w:hideMark/>
          </w:tcPr>
          <w:p w:rsidR="00823842" w:rsidRPr="00E777EA" w:rsidRDefault="00823842" w:rsidP="000C6B9B">
            <w:pPr>
              <w:spacing w:before="0" w:after="0" w:line="240" w:lineRule="auto"/>
              <w:jc w:val="center"/>
              <w:rPr>
                <w:rFonts w:cs="Arial"/>
                <w:b/>
                <w:color w:val="FFFFFF" w:themeColor="background1"/>
                <w:sz w:val="20"/>
                <w:szCs w:val="18"/>
                <w:lang w:eastAsia="sk-SK"/>
              </w:rPr>
            </w:pPr>
          </w:p>
        </w:tc>
        <w:tc>
          <w:tcPr>
            <w:tcW w:w="642" w:type="pct"/>
            <w:vMerge w:val="restart"/>
            <w:shd w:val="clear" w:color="auto" w:fill="7F7F7F" w:themeFill="text1" w:themeFillTint="80"/>
            <w:noWrap/>
            <w:hideMark/>
          </w:tcPr>
          <w:p w:rsidR="00823842" w:rsidRPr="00E777EA" w:rsidRDefault="00823842" w:rsidP="000C6B9B">
            <w:pPr>
              <w:spacing w:before="0" w:after="0" w:line="240" w:lineRule="auto"/>
              <w:jc w:val="center"/>
              <w:rPr>
                <w:rFonts w:cs="Arial"/>
                <w:b/>
                <w:color w:val="FFFFFF" w:themeColor="background1"/>
                <w:sz w:val="20"/>
                <w:szCs w:val="18"/>
                <w:lang w:eastAsia="sk-SK"/>
              </w:rPr>
            </w:pPr>
            <w:r>
              <w:rPr>
                <w:rFonts w:cs="Arial"/>
                <w:b/>
                <w:color w:val="FFFFFF" w:themeColor="background1"/>
                <w:sz w:val="20"/>
                <w:szCs w:val="18"/>
                <w:lang w:eastAsia="sk-SK"/>
              </w:rPr>
              <w:t>12 t a viac</w:t>
            </w:r>
          </w:p>
        </w:tc>
        <w:tc>
          <w:tcPr>
            <w:tcW w:w="633" w:type="pct"/>
            <w:shd w:val="clear" w:color="auto" w:fill="7F7F7F" w:themeFill="text1" w:themeFillTint="80"/>
          </w:tcPr>
          <w:p w:rsidR="00823842" w:rsidRPr="00E777EA" w:rsidRDefault="00823842" w:rsidP="00823842">
            <w:pPr>
              <w:spacing w:before="0" w:after="0" w:line="240" w:lineRule="auto"/>
              <w:rPr>
                <w:rFonts w:cs="Arial"/>
                <w:b/>
                <w:color w:val="FFFFFF" w:themeColor="background1"/>
                <w:sz w:val="20"/>
                <w:szCs w:val="18"/>
                <w:lang w:eastAsia="sk-SK"/>
              </w:rPr>
            </w:pPr>
            <w:r w:rsidRPr="00E777EA">
              <w:rPr>
                <w:rFonts w:cs="Arial"/>
                <w:b/>
                <w:color w:val="FFFFFF" w:themeColor="background1"/>
                <w:sz w:val="20"/>
                <w:szCs w:val="18"/>
                <w:lang w:eastAsia="sk-SK"/>
              </w:rPr>
              <w:t>2 nápravy</w:t>
            </w:r>
          </w:p>
        </w:tc>
        <w:tc>
          <w:tcPr>
            <w:tcW w:w="451" w:type="pct"/>
            <w:noWrap/>
            <w:vAlign w:val="bottom"/>
            <w:hideMark/>
          </w:tcPr>
          <w:p w:rsidR="00823842" w:rsidRPr="00823842" w:rsidRDefault="00823842" w:rsidP="00823842">
            <w:pPr>
              <w:pStyle w:val="tabbielystyl"/>
              <w:rPr>
                <w:szCs w:val="18"/>
              </w:rPr>
            </w:pPr>
            <w:r w:rsidRPr="00823842">
              <w:t>0,224</w:t>
            </w:r>
          </w:p>
        </w:tc>
        <w:tc>
          <w:tcPr>
            <w:tcW w:w="696" w:type="pct"/>
            <w:vAlign w:val="bottom"/>
          </w:tcPr>
          <w:p w:rsidR="00823842" w:rsidRPr="00823842" w:rsidRDefault="00823842" w:rsidP="00823842">
            <w:pPr>
              <w:pStyle w:val="tabbielystyl"/>
              <w:rPr>
                <w:szCs w:val="18"/>
              </w:rPr>
            </w:pPr>
          </w:p>
        </w:tc>
        <w:tc>
          <w:tcPr>
            <w:tcW w:w="451" w:type="pct"/>
            <w:noWrap/>
            <w:vAlign w:val="bottom"/>
            <w:hideMark/>
          </w:tcPr>
          <w:p w:rsidR="00823842" w:rsidRPr="00823842" w:rsidRDefault="00823842" w:rsidP="00823842">
            <w:pPr>
              <w:pStyle w:val="tabbielystyl"/>
              <w:rPr>
                <w:szCs w:val="18"/>
              </w:rPr>
            </w:pPr>
            <w:r w:rsidRPr="00823842">
              <w:t>0,203</w:t>
            </w:r>
          </w:p>
        </w:tc>
        <w:tc>
          <w:tcPr>
            <w:tcW w:w="696" w:type="pct"/>
          </w:tcPr>
          <w:p w:rsidR="00823842" w:rsidRPr="00823842" w:rsidRDefault="00823842" w:rsidP="00823842">
            <w:pPr>
              <w:pStyle w:val="tabbielystyl"/>
            </w:pPr>
          </w:p>
        </w:tc>
        <w:tc>
          <w:tcPr>
            <w:tcW w:w="451" w:type="pct"/>
            <w:noWrap/>
            <w:vAlign w:val="bottom"/>
            <w:hideMark/>
          </w:tcPr>
          <w:p w:rsidR="00823842" w:rsidRPr="00823842" w:rsidRDefault="00823842" w:rsidP="00823842">
            <w:pPr>
              <w:pStyle w:val="tabbielystyl"/>
              <w:rPr>
                <w:szCs w:val="18"/>
              </w:rPr>
            </w:pPr>
            <w:r w:rsidRPr="00823842">
              <w:t>0,176</w:t>
            </w:r>
          </w:p>
        </w:tc>
        <w:tc>
          <w:tcPr>
            <w:tcW w:w="696" w:type="pct"/>
          </w:tcPr>
          <w:p w:rsidR="00823842" w:rsidRPr="00823842" w:rsidRDefault="00823842" w:rsidP="00823842">
            <w:pPr>
              <w:pStyle w:val="tabbielystyl"/>
            </w:pPr>
          </w:p>
        </w:tc>
      </w:tr>
      <w:tr w:rsidR="00823842" w:rsidRPr="00A96FEA" w:rsidTr="00402AF5">
        <w:trPr>
          <w:cantSplit/>
          <w:trHeight w:val="20"/>
        </w:trPr>
        <w:tc>
          <w:tcPr>
            <w:tcW w:w="285" w:type="pct"/>
            <w:vMerge/>
            <w:shd w:val="clear" w:color="auto" w:fill="7F7F7F" w:themeFill="text1" w:themeFillTint="80"/>
            <w:hideMark/>
          </w:tcPr>
          <w:p w:rsidR="00823842" w:rsidRPr="00E777EA" w:rsidRDefault="00823842" w:rsidP="000C6B9B">
            <w:pPr>
              <w:spacing w:before="0" w:after="0" w:line="240" w:lineRule="auto"/>
              <w:jc w:val="center"/>
              <w:rPr>
                <w:rFonts w:cs="Arial"/>
                <w:b/>
                <w:color w:val="FFFFFF" w:themeColor="background1"/>
                <w:sz w:val="20"/>
                <w:szCs w:val="18"/>
                <w:lang w:eastAsia="sk-SK"/>
              </w:rPr>
            </w:pPr>
          </w:p>
        </w:tc>
        <w:tc>
          <w:tcPr>
            <w:tcW w:w="642" w:type="pct"/>
            <w:vMerge/>
            <w:shd w:val="clear" w:color="auto" w:fill="7F7F7F" w:themeFill="text1" w:themeFillTint="80"/>
            <w:noWrap/>
            <w:hideMark/>
          </w:tcPr>
          <w:p w:rsidR="00823842" w:rsidRPr="00E777EA" w:rsidRDefault="00823842" w:rsidP="000C6B9B">
            <w:pPr>
              <w:spacing w:before="0" w:after="0" w:line="240" w:lineRule="auto"/>
              <w:rPr>
                <w:rFonts w:cs="Arial"/>
                <w:b/>
                <w:color w:val="FFFFFF" w:themeColor="background1"/>
                <w:sz w:val="20"/>
                <w:szCs w:val="18"/>
                <w:lang w:eastAsia="sk-SK"/>
              </w:rPr>
            </w:pPr>
          </w:p>
        </w:tc>
        <w:tc>
          <w:tcPr>
            <w:tcW w:w="633" w:type="pct"/>
            <w:shd w:val="clear" w:color="auto" w:fill="7F7F7F" w:themeFill="text1" w:themeFillTint="80"/>
          </w:tcPr>
          <w:p w:rsidR="00823842" w:rsidRPr="00E777EA" w:rsidRDefault="00823842" w:rsidP="00823842">
            <w:pPr>
              <w:spacing w:before="0" w:after="0" w:line="240" w:lineRule="auto"/>
              <w:rPr>
                <w:rFonts w:cs="Arial"/>
                <w:b/>
                <w:color w:val="FFFFFF" w:themeColor="background1"/>
                <w:sz w:val="20"/>
                <w:szCs w:val="18"/>
                <w:lang w:eastAsia="sk-SK"/>
              </w:rPr>
            </w:pPr>
            <w:r>
              <w:rPr>
                <w:rFonts w:cs="Arial"/>
                <w:b/>
                <w:color w:val="FFFFFF" w:themeColor="background1"/>
                <w:sz w:val="20"/>
                <w:szCs w:val="18"/>
                <w:lang w:eastAsia="sk-SK"/>
              </w:rPr>
              <w:t>3</w:t>
            </w:r>
            <w:r w:rsidRPr="00E777EA">
              <w:rPr>
                <w:rFonts w:cs="Arial"/>
                <w:b/>
                <w:color w:val="FFFFFF" w:themeColor="background1"/>
                <w:sz w:val="20"/>
                <w:szCs w:val="18"/>
                <w:lang w:eastAsia="sk-SK"/>
              </w:rPr>
              <w:t xml:space="preserve"> nápravy</w:t>
            </w:r>
          </w:p>
        </w:tc>
        <w:tc>
          <w:tcPr>
            <w:tcW w:w="451" w:type="pct"/>
            <w:noWrap/>
            <w:vAlign w:val="bottom"/>
            <w:hideMark/>
          </w:tcPr>
          <w:p w:rsidR="00823842" w:rsidRPr="00823842" w:rsidRDefault="00823842" w:rsidP="00823842">
            <w:pPr>
              <w:pStyle w:val="tabbielystyl"/>
              <w:rPr>
                <w:szCs w:val="18"/>
              </w:rPr>
            </w:pPr>
            <w:r w:rsidRPr="00823842">
              <w:t>0,237</w:t>
            </w:r>
          </w:p>
        </w:tc>
        <w:tc>
          <w:tcPr>
            <w:tcW w:w="696" w:type="pct"/>
            <w:vAlign w:val="bottom"/>
          </w:tcPr>
          <w:p w:rsidR="00823842" w:rsidRPr="00823842" w:rsidRDefault="00823842" w:rsidP="00823842">
            <w:pPr>
              <w:pStyle w:val="tabbielystyl"/>
              <w:rPr>
                <w:szCs w:val="18"/>
              </w:rPr>
            </w:pPr>
          </w:p>
        </w:tc>
        <w:tc>
          <w:tcPr>
            <w:tcW w:w="451" w:type="pct"/>
            <w:noWrap/>
            <w:vAlign w:val="bottom"/>
            <w:hideMark/>
          </w:tcPr>
          <w:p w:rsidR="00823842" w:rsidRPr="00823842" w:rsidRDefault="00823842" w:rsidP="00823842">
            <w:pPr>
              <w:pStyle w:val="tabbielystyl"/>
              <w:rPr>
                <w:szCs w:val="18"/>
              </w:rPr>
            </w:pPr>
            <w:r w:rsidRPr="00823842">
              <w:t>0,214</w:t>
            </w:r>
          </w:p>
        </w:tc>
        <w:tc>
          <w:tcPr>
            <w:tcW w:w="696" w:type="pct"/>
          </w:tcPr>
          <w:p w:rsidR="00823842" w:rsidRPr="00823842" w:rsidRDefault="00823842" w:rsidP="00823842">
            <w:pPr>
              <w:pStyle w:val="tabbielystyl"/>
            </w:pPr>
          </w:p>
        </w:tc>
        <w:tc>
          <w:tcPr>
            <w:tcW w:w="451" w:type="pct"/>
            <w:noWrap/>
            <w:vAlign w:val="bottom"/>
            <w:hideMark/>
          </w:tcPr>
          <w:p w:rsidR="00823842" w:rsidRPr="00823842" w:rsidRDefault="00823842" w:rsidP="00823842">
            <w:pPr>
              <w:pStyle w:val="tabbielystyl"/>
              <w:rPr>
                <w:szCs w:val="18"/>
              </w:rPr>
            </w:pPr>
            <w:r w:rsidRPr="00823842">
              <w:t>0,185</w:t>
            </w:r>
          </w:p>
        </w:tc>
        <w:tc>
          <w:tcPr>
            <w:tcW w:w="696" w:type="pct"/>
          </w:tcPr>
          <w:p w:rsidR="00823842" w:rsidRPr="00823842" w:rsidRDefault="00823842" w:rsidP="00823842">
            <w:pPr>
              <w:pStyle w:val="tabbielystyl"/>
            </w:pPr>
          </w:p>
        </w:tc>
      </w:tr>
      <w:tr w:rsidR="00823842" w:rsidRPr="00A96FEA" w:rsidTr="00402AF5">
        <w:trPr>
          <w:cantSplit/>
          <w:trHeight w:val="20"/>
        </w:trPr>
        <w:tc>
          <w:tcPr>
            <w:tcW w:w="285" w:type="pct"/>
            <w:vMerge/>
            <w:shd w:val="clear" w:color="auto" w:fill="7F7F7F" w:themeFill="text1" w:themeFillTint="80"/>
            <w:hideMark/>
          </w:tcPr>
          <w:p w:rsidR="00823842" w:rsidRPr="00E777EA" w:rsidRDefault="00823842" w:rsidP="000C6B9B">
            <w:pPr>
              <w:spacing w:before="0" w:after="0" w:line="240" w:lineRule="auto"/>
              <w:jc w:val="center"/>
              <w:rPr>
                <w:rFonts w:cs="Arial"/>
                <w:b/>
                <w:color w:val="FFFFFF" w:themeColor="background1"/>
                <w:sz w:val="20"/>
                <w:szCs w:val="18"/>
                <w:lang w:eastAsia="sk-SK"/>
              </w:rPr>
            </w:pPr>
          </w:p>
        </w:tc>
        <w:tc>
          <w:tcPr>
            <w:tcW w:w="642" w:type="pct"/>
            <w:vMerge/>
            <w:shd w:val="clear" w:color="auto" w:fill="7F7F7F" w:themeFill="text1" w:themeFillTint="80"/>
            <w:noWrap/>
            <w:hideMark/>
          </w:tcPr>
          <w:p w:rsidR="00823842" w:rsidRPr="00E777EA" w:rsidRDefault="00823842" w:rsidP="000C6B9B">
            <w:pPr>
              <w:spacing w:before="0" w:after="0" w:line="240" w:lineRule="auto"/>
              <w:rPr>
                <w:rFonts w:cs="Arial"/>
                <w:b/>
                <w:color w:val="FFFFFF" w:themeColor="background1"/>
                <w:sz w:val="20"/>
                <w:szCs w:val="18"/>
                <w:lang w:eastAsia="sk-SK"/>
              </w:rPr>
            </w:pPr>
          </w:p>
        </w:tc>
        <w:tc>
          <w:tcPr>
            <w:tcW w:w="633" w:type="pct"/>
            <w:shd w:val="clear" w:color="auto" w:fill="7F7F7F" w:themeFill="text1" w:themeFillTint="80"/>
          </w:tcPr>
          <w:p w:rsidR="00823842" w:rsidRPr="00E777EA" w:rsidRDefault="00823842" w:rsidP="00823842">
            <w:pPr>
              <w:spacing w:before="0" w:after="0" w:line="240" w:lineRule="auto"/>
              <w:rPr>
                <w:rFonts w:cs="Arial"/>
                <w:b/>
                <w:color w:val="FFFFFF" w:themeColor="background1"/>
                <w:sz w:val="20"/>
                <w:szCs w:val="18"/>
                <w:lang w:eastAsia="sk-SK"/>
              </w:rPr>
            </w:pPr>
            <w:r w:rsidRPr="00E777EA">
              <w:rPr>
                <w:rFonts w:cs="Arial"/>
                <w:b/>
                <w:color w:val="FFFFFF" w:themeColor="background1"/>
                <w:sz w:val="20"/>
                <w:szCs w:val="18"/>
                <w:lang w:eastAsia="sk-SK"/>
              </w:rPr>
              <w:t>4 nápravy</w:t>
            </w:r>
          </w:p>
        </w:tc>
        <w:tc>
          <w:tcPr>
            <w:tcW w:w="451" w:type="pct"/>
            <w:noWrap/>
            <w:vAlign w:val="bottom"/>
            <w:hideMark/>
          </w:tcPr>
          <w:p w:rsidR="00823842" w:rsidRPr="00823842" w:rsidRDefault="00823842" w:rsidP="00823842">
            <w:pPr>
              <w:pStyle w:val="tabbielystyl"/>
              <w:rPr>
                <w:szCs w:val="18"/>
              </w:rPr>
            </w:pPr>
            <w:r w:rsidRPr="00823842">
              <w:t>0,246</w:t>
            </w:r>
          </w:p>
        </w:tc>
        <w:tc>
          <w:tcPr>
            <w:tcW w:w="696" w:type="pct"/>
            <w:vAlign w:val="bottom"/>
          </w:tcPr>
          <w:p w:rsidR="00823842" w:rsidRPr="00823842" w:rsidRDefault="00823842" w:rsidP="00823842">
            <w:pPr>
              <w:pStyle w:val="tabbielystyl"/>
              <w:rPr>
                <w:szCs w:val="18"/>
              </w:rPr>
            </w:pPr>
          </w:p>
        </w:tc>
        <w:tc>
          <w:tcPr>
            <w:tcW w:w="451" w:type="pct"/>
            <w:noWrap/>
            <w:vAlign w:val="bottom"/>
            <w:hideMark/>
          </w:tcPr>
          <w:p w:rsidR="00823842" w:rsidRPr="00823842" w:rsidRDefault="00823842" w:rsidP="00823842">
            <w:pPr>
              <w:pStyle w:val="tabbielystyl"/>
              <w:rPr>
                <w:szCs w:val="18"/>
              </w:rPr>
            </w:pPr>
            <w:r w:rsidRPr="00823842">
              <w:t>0,222</w:t>
            </w:r>
          </w:p>
        </w:tc>
        <w:tc>
          <w:tcPr>
            <w:tcW w:w="696" w:type="pct"/>
          </w:tcPr>
          <w:p w:rsidR="00823842" w:rsidRPr="00823842" w:rsidRDefault="00823842" w:rsidP="00823842">
            <w:pPr>
              <w:pStyle w:val="tabbielystyl"/>
            </w:pPr>
          </w:p>
        </w:tc>
        <w:tc>
          <w:tcPr>
            <w:tcW w:w="451" w:type="pct"/>
            <w:noWrap/>
            <w:vAlign w:val="bottom"/>
            <w:hideMark/>
          </w:tcPr>
          <w:p w:rsidR="00823842" w:rsidRPr="00823842" w:rsidRDefault="00823842" w:rsidP="00823842">
            <w:pPr>
              <w:pStyle w:val="tabbielystyl"/>
              <w:rPr>
                <w:szCs w:val="18"/>
              </w:rPr>
            </w:pPr>
            <w:r w:rsidRPr="00823842">
              <w:t>0,192</w:t>
            </w:r>
          </w:p>
        </w:tc>
        <w:tc>
          <w:tcPr>
            <w:tcW w:w="696" w:type="pct"/>
          </w:tcPr>
          <w:p w:rsidR="00823842" w:rsidRPr="00823842" w:rsidRDefault="00823842" w:rsidP="00823842">
            <w:pPr>
              <w:pStyle w:val="tabbielystyl"/>
            </w:pPr>
          </w:p>
        </w:tc>
      </w:tr>
      <w:tr w:rsidR="00823842" w:rsidRPr="00A96FEA" w:rsidTr="00402AF5">
        <w:trPr>
          <w:cantSplit/>
          <w:trHeight w:val="20"/>
        </w:trPr>
        <w:tc>
          <w:tcPr>
            <w:tcW w:w="285" w:type="pct"/>
            <w:vMerge/>
            <w:shd w:val="clear" w:color="auto" w:fill="7F7F7F" w:themeFill="text1" w:themeFillTint="80"/>
            <w:hideMark/>
          </w:tcPr>
          <w:p w:rsidR="00823842" w:rsidRPr="00E777EA" w:rsidRDefault="00823842" w:rsidP="000C6B9B">
            <w:pPr>
              <w:spacing w:before="0" w:after="0" w:line="240" w:lineRule="auto"/>
              <w:jc w:val="center"/>
              <w:rPr>
                <w:rFonts w:cs="Arial"/>
                <w:b/>
                <w:color w:val="FFFFFF" w:themeColor="background1"/>
                <w:sz w:val="20"/>
                <w:szCs w:val="18"/>
                <w:lang w:eastAsia="sk-SK"/>
              </w:rPr>
            </w:pPr>
          </w:p>
        </w:tc>
        <w:tc>
          <w:tcPr>
            <w:tcW w:w="642" w:type="pct"/>
            <w:vMerge/>
            <w:shd w:val="clear" w:color="auto" w:fill="7F7F7F" w:themeFill="text1" w:themeFillTint="80"/>
            <w:noWrap/>
            <w:hideMark/>
          </w:tcPr>
          <w:p w:rsidR="00823842" w:rsidRPr="00E777EA" w:rsidRDefault="00823842" w:rsidP="000C6B9B">
            <w:pPr>
              <w:spacing w:before="0" w:after="0" w:line="240" w:lineRule="auto"/>
              <w:rPr>
                <w:rFonts w:cs="Arial"/>
                <w:b/>
                <w:color w:val="FFFFFF" w:themeColor="background1"/>
                <w:sz w:val="20"/>
                <w:szCs w:val="18"/>
                <w:lang w:eastAsia="sk-SK"/>
              </w:rPr>
            </w:pPr>
          </w:p>
        </w:tc>
        <w:tc>
          <w:tcPr>
            <w:tcW w:w="633" w:type="pct"/>
            <w:shd w:val="clear" w:color="auto" w:fill="7F7F7F" w:themeFill="text1" w:themeFillTint="80"/>
          </w:tcPr>
          <w:p w:rsidR="00823842" w:rsidRPr="00E777EA" w:rsidRDefault="00823842" w:rsidP="00823842">
            <w:pPr>
              <w:spacing w:before="0" w:after="0" w:line="240" w:lineRule="auto"/>
              <w:rPr>
                <w:rFonts w:cs="Arial"/>
                <w:b/>
                <w:color w:val="FFFFFF" w:themeColor="background1"/>
                <w:sz w:val="20"/>
                <w:szCs w:val="18"/>
                <w:lang w:eastAsia="sk-SK"/>
              </w:rPr>
            </w:pPr>
            <w:r w:rsidRPr="00E777EA">
              <w:rPr>
                <w:rFonts w:cs="Arial"/>
                <w:b/>
                <w:color w:val="FFFFFF" w:themeColor="background1"/>
                <w:sz w:val="20"/>
                <w:szCs w:val="18"/>
                <w:lang w:eastAsia="sk-SK"/>
              </w:rPr>
              <w:t>5 náprav</w:t>
            </w:r>
          </w:p>
        </w:tc>
        <w:tc>
          <w:tcPr>
            <w:tcW w:w="451" w:type="pct"/>
            <w:noWrap/>
            <w:vAlign w:val="bottom"/>
            <w:hideMark/>
          </w:tcPr>
          <w:p w:rsidR="00823842" w:rsidRPr="00823842" w:rsidRDefault="00823842" w:rsidP="00823842">
            <w:pPr>
              <w:pStyle w:val="tabbielystyl"/>
              <w:rPr>
                <w:szCs w:val="18"/>
              </w:rPr>
            </w:pPr>
            <w:r w:rsidRPr="00823842">
              <w:t>0,237</w:t>
            </w:r>
          </w:p>
        </w:tc>
        <w:tc>
          <w:tcPr>
            <w:tcW w:w="696" w:type="pct"/>
            <w:vAlign w:val="bottom"/>
          </w:tcPr>
          <w:p w:rsidR="00823842" w:rsidRPr="00823842" w:rsidRDefault="00823842" w:rsidP="00823842">
            <w:pPr>
              <w:pStyle w:val="tabbielystyl"/>
              <w:rPr>
                <w:szCs w:val="18"/>
              </w:rPr>
            </w:pPr>
          </w:p>
        </w:tc>
        <w:tc>
          <w:tcPr>
            <w:tcW w:w="451" w:type="pct"/>
            <w:noWrap/>
            <w:vAlign w:val="bottom"/>
            <w:hideMark/>
          </w:tcPr>
          <w:p w:rsidR="00823842" w:rsidRPr="00823842" w:rsidRDefault="00823842" w:rsidP="00823842">
            <w:pPr>
              <w:pStyle w:val="tabbielystyl"/>
              <w:rPr>
                <w:szCs w:val="18"/>
              </w:rPr>
            </w:pPr>
            <w:r w:rsidRPr="00823842">
              <w:t>0,214</w:t>
            </w:r>
          </w:p>
        </w:tc>
        <w:tc>
          <w:tcPr>
            <w:tcW w:w="696" w:type="pct"/>
          </w:tcPr>
          <w:p w:rsidR="00823842" w:rsidRPr="00823842" w:rsidRDefault="00823842" w:rsidP="00823842">
            <w:pPr>
              <w:pStyle w:val="tabbielystyl"/>
            </w:pPr>
          </w:p>
        </w:tc>
        <w:tc>
          <w:tcPr>
            <w:tcW w:w="451" w:type="pct"/>
            <w:noWrap/>
            <w:vAlign w:val="bottom"/>
            <w:hideMark/>
          </w:tcPr>
          <w:p w:rsidR="00823842" w:rsidRPr="00823842" w:rsidRDefault="00823842" w:rsidP="00823842">
            <w:pPr>
              <w:pStyle w:val="tabbielystyl"/>
              <w:rPr>
                <w:szCs w:val="18"/>
              </w:rPr>
            </w:pPr>
            <w:r w:rsidRPr="00823842">
              <w:t>0,185</w:t>
            </w:r>
          </w:p>
        </w:tc>
        <w:tc>
          <w:tcPr>
            <w:tcW w:w="696" w:type="pct"/>
          </w:tcPr>
          <w:p w:rsidR="00823842" w:rsidRPr="00823842" w:rsidRDefault="00823842" w:rsidP="00823842">
            <w:pPr>
              <w:pStyle w:val="tabbielystyl"/>
            </w:pPr>
          </w:p>
        </w:tc>
      </w:tr>
      <w:tr w:rsidR="00823842" w:rsidRPr="00A96FEA" w:rsidTr="00402AF5">
        <w:trPr>
          <w:cantSplit/>
          <w:trHeight w:val="20"/>
        </w:trPr>
        <w:tc>
          <w:tcPr>
            <w:tcW w:w="285" w:type="pct"/>
            <w:vMerge w:val="restart"/>
            <w:shd w:val="clear" w:color="auto" w:fill="7F7F7F" w:themeFill="text1" w:themeFillTint="80"/>
            <w:noWrap/>
            <w:hideMark/>
          </w:tcPr>
          <w:p w:rsidR="000C6B9B" w:rsidRPr="00E777EA" w:rsidRDefault="000C6B9B" w:rsidP="000C6B9B">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BUS</w:t>
            </w:r>
          </w:p>
        </w:tc>
        <w:tc>
          <w:tcPr>
            <w:tcW w:w="1275" w:type="pct"/>
            <w:gridSpan w:val="2"/>
            <w:shd w:val="clear" w:color="auto" w:fill="7F7F7F" w:themeFill="text1" w:themeFillTint="80"/>
            <w:noWrap/>
            <w:hideMark/>
          </w:tcPr>
          <w:p w:rsidR="000C6B9B" w:rsidRPr="00E777EA" w:rsidRDefault="000C6B9B" w:rsidP="000C6B9B">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3,5 t – do 12 t </w:t>
            </w:r>
          </w:p>
        </w:tc>
        <w:tc>
          <w:tcPr>
            <w:tcW w:w="451" w:type="pct"/>
            <w:noWrap/>
            <w:vAlign w:val="bottom"/>
            <w:hideMark/>
          </w:tcPr>
          <w:p w:rsidR="000C6B9B" w:rsidRPr="00823842" w:rsidRDefault="000C6B9B" w:rsidP="00823842">
            <w:pPr>
              <w:pStyle w:val="tabbielystyl"/>
              <w:rPr>
                <w:szCs w:val="18"/>
              </w:rPr>
            </w:pPr>
            <w:r w:rsidRPr="00823842">
              <w:t xml:space="preserve">0,041 </w:t>
            </w:r>
          </w:p>
        </w:tc>
        <w:tc>
          <w:tcPr>
            <w:tcW w:w="696" w:type="pct"/>
          </w:tcPr>
          <w:p w:rsidR="000C6B9B" w:rsidRPr="00823842" w:rsidRDefault="000C6B9B" w:rsidP="00823842">
            <w:pPr>
              <w:pStyle w:val="tabbielystyl"/>
            </w:pPr>
            <w:r w:rsidRPr="00823842">
              <w:t>0,17</w:t>
            </w:r>
          </w:p>
        </w:tc>
        <w:tc>
          <w:tcPr>
            <w:tcW w:w="451" w:type="pct"/>
            <w:noWrap/>
            <w:vAlign w:val="bottom"/>
            <w:hideMark/>
          </w:tcPr>
          <w:p w:rsidR="000C6B9B" w:rsidRPr="00823842" w:rsidRDefault="000C6B9B" w:rsidP="00823842">
            <w:pPr>
              <w:pStyle w:val="tabbielystyl"/>
              <w:rPr>
                <w:szCs w:val="18"/>
              </w:rPr>
            </w:pPr>
            <w:r w:rsidRPr="00823842">
              <w:t xml:space="preserve">0,031 </w:t>
            </w:r>
          </w:p>
        </w:tc>
        <w:tc>
          <w:tcPr>
            <w:tcW w:w="696" w:type="pct"/>
          </w:tcPr>
          <w:p w:rsidR="000C6B9B" w:rsidRPr="00823842" w:rsidRDefault="000C6B9B" w:rsidP="00823842">
            <w:pPr>
              <w:pStyle w:val="tabbielystyl"/>
            </w:pPr>
            <w:r w:rsidRPr="00823842">
              <w:t>0,16</w:t>
            </w:r>
          </w:p>
        </w:tc>
        <w:tc>
          <w:tcPr>
            <w:tcW w:w="451" w:type="pct"/>
            <w:noWrap/>
            <w:vAlign w:val="bottom"/>
            <w:hideMark/>
          </w:tcPr>
          <w:p w:rsidR="000C6B9B" w:rsidRPr="00823842" w:rsidRDefault="000C6B9B" w:rsidP="00823842">
            <w:pPr>
              <w:pStyle w:val="tabbielystyl"/>
              <w:rPr>
                <w:szCs w:val="18"/>
              </w:rPr>
            </w:pPr>
            <w:r w:rsidRPr="00823842">
              <w:t xml:space="preserve">0,021 </w:t>
            </w:r>
          </w:p>
        </w:tc>
        <w:tc>
          <w:tcPr>
            <w:tcW w:w="696" w:type="pct"/>
          </w:tcPr>
          <w:p w:rsidR="000C6B9B" w:rsidRPr="00823842" w:rsidRDefault="000C6B9B" w:rsidP="00823842">
            <w:pPr>
              <w:pStyle w:val="tabbielystyl"/>
            </w:pPr>
            <w:r w:rsidRPr="00823842">
              <w:t>0,16</w:t>
            </w:r>
          </w:p>
        </w:tc>
      </w:tr>
      <w:tr w:rsidR="00823842" w:rsidRPr="00A96FEA" w:rsidTr="00402AF5">
        <w:trPr>
          <w:cantSplit/>
          <w:trHeight w:val="20"/>
        </w:trPr>
        <w:tc>
          <w:tcPr>
            <w:tcW w:w="285" w:type="pct"/>
            <w:vMerge/>
            <w:shd w:val="clear" w:color="auto" w:fill="7F7F7F" w:themeFill="text1" w:themeFillTint="80"/>
            <w:hideMark/>
          </w:tcPr>
          <w:p w:rsidR="000C6B9B" w:rsidRPr="00E777EA" w:rsidRDefault="000C6B9B" w:rsidP="000C6B9B">
            <w:pPr>
              <w:spacing w:before="0" w:after="0" w:line="240" w:lineRule="auto"/>
              <w:rPr>
                <w:rFonts w:cs="Arial"/>
                <w:b/>
                <w:color w:val="FFFFFF" w:themeColor="background1"/>
                <w:sz w:val="20"/>
                <w:szCs w:val="18"/>
                <w:lang w:eastAsia="sk-SK"/>
              </w:rPr>
            </w:pPr>
          </w:p>
        </w:tc>
        <w:tc>
          <w:tcPr>
            <w:tcW w:w="1275" w:type="pct"/>
            <w:gridSpan w:val="2"/>
            <w:shd w:val="clear" w:color="auto" w:fill="7F7F7F" w:themeFill="text1" w:themeFillTint="80"/>
            <w:noWrap/>
            <w:hideMark/>
          </w:tcPr>
          <w:p w:rsidR="000C6B9B" w:rsidRPr="00E777EA" w:rsidRDefault="000C6B9B" w:rsidP="000C6B9B">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12 t a viac </w:t>
            </w:r>
          </w:p>
        </w:tc>
        <w:tc>
          <w:tcPr>
            <w:tcW w:w="451" w:type="pct"/>
            <w:noWrap/>
            <w:vAlign w:val="bottom"/>
            <w:hideMark/>
          </w:tcPr>
          <w:p w:rsidR="000C6B9B" w:rsidRPr="00823842" w:rsidRDefault="000C6B9B" w:rsidP="00823842">
            <w:pPr>
              <w:pStyle w:val="tabbielystyl"/>
              <w:rPr>
                <w:szCs w:val="18"/>
              </w:rPr>
            </w:pPr>
            <w:r w:rsidRPr="00823842">
              <w:t xml:space="preserve">0,082 </w:t>
            </w:r>
          </w:p>
        </w:tc>
        <w:tc>
          <w:tcPr>
            <w:tcW w:w="696" w:type="pct"/>
          </w:tcPr>
          <w:p w:rsidR="000C6B9B" w:rsidRPr="00823842" w:rsidRDefault="000C6B9B" w:rsidP="00823842">
            <w:pPr>
              <w:pStyle w:val="tabbielystyl"/>
            </w:pPr>
            <w:r w:rsidRPr="00823842">
              <w:t>0,17</w:t>
            </w:r>
          </w:p>
        </w:tc>
        <w:tc>
          <w:tcPr>
            <w:tcW w:w="451" w:type="pct"/>
            <w:noWrap/>
            <w:vAlign w:val="bottom"/>
            <w:hideMark/>
          </w:tcPr>
          <w:p w:rsidR="000C6B9B" w:rsidRPr="00823842" w:rsidRDefault="000C6B9B" w:rsidP="00823842">
            <w:pPr>
              <w:pStyle w:val="tabbielystyl"/>
              <w:rPr>
                <w:szCs w:val="18"/>
              </w:rPr>
            </w:pPr>
            <w:r w:rsidRPr="00823842">
              <w:t xml:space="preserve">0,072 </w:t>
            </w:r>
          </w:p>
        </w:tc>
        <w:tc>
          <w:tcPr>
            <w:tcW w:w="696" w:type="pct"/>
          </w:tcPr>
          <w:p w:rsidR="000C6B9B" w:rsidRPr="00823842" w:rsidRDefault="000C6B9B" w:rsidP="00823842">
            <w:pPr>
              <w:pStyle w:val="tabbielystyl"/>
            </w:pPr>
            <w:r w:rsidRPr="00823842">
              <w:t>0,16</w:t>
            </w:r>
          </w:p>
        </w:tc>
        <w:tc>
          <w:tcPr>
            <w:tcW w:w="451" w:type="pct"/>
            <w:noWrap/>
            <w:vAlign w:val="bottom"/>
            <w:hideMark/>
          </w:tcPr>
          <w:p w:rsidR="000C6B9B" w:rsidRPr="00823842" w:rsidRDefault="000C6B9B" w:rsidP="00823842">
            <w:pPr>
              <w:pStyle w:val="tabbielystyl"/>
              <w:rPr>
                <w:szCs w:val="18"/>
              </w:rPr>
            </w:pPr>
            <w:r w:rsidRPr="00823842">
              <w:t xml:space="preserve">0,041 </w:t>
            </w:r>
          </w:p>
        </w:tc>
        <w:tc>
          <w:tcPr>
            <w:tcW w:w="696" w:type="pct"/>
          </w:tcPr>
          <w:p w:rsidR="000C6B9B" w:rsidRPr="00823842" w:rsidRDefault="000C6B9B" w:rsidP="00823842">
            <w:pPr>
              <w:pStyle w:val="tabbielystyl"/>
            </w:pPr>
            <w:r w:rsidRPr="00823842">
              <w:t>0,16</w:t>
            </w:r>
          </w:p>
        </w:tc>
      </w:tr>
    </w:tbl>
    <w:p w:rsidR="000C6B9B" w:rsidRDefault="000C6B9B" w:rsidP="006E1623">
      <w:pPr>
        <w:spacing w:before="240"/>
      </w:pPr>
      <w:bookmarkStart w:id="292" w:name="_Toc20687971"/>
      <w:bookmarkEnd w:id="268"/>
      <w:r w:rsidRPr="000C6B9B">
        <w:t xml:space="preserve">Porovnanie sadzieb mýta za </w:t>
      </w:r>
      <w:r w:rsidRPr="0094275F">
        <w:rPr>
          <w:b/>
        </w:rPr>
        <w:t>užívanie vymedzených úsekov ciest I. triedy, ktoré nie sú súbežné s diaľnicami a s rýchlostnými cestami</w:t>
      </w:r>
      <w:r w:rsidRPr="000C6B9B">
        <w:t xml:space="preserve"> platnými v roku 2018 s ekonomickými sadzbami pre cesty I. triedy </w:t>
      </w:r>
      <w:r>
        <w:t xml:space="preserve">uvádza nasledujúca </w:t>
      </w:r>
      <w:r w:rsidR="0094275F">
        <w:t>tabuľka</w:t>
      </w:r>
      <w:r w:rsidR="00D77D9F">
        <w:t xml:space="preserve"> (</w:t>
      </w:r>
      <w:r w:rsidR="00AE5B8A">
        <w:fldChar w:fldCharType="begin"/>
      </w:r>
      <w:r w:rsidR="00D77D9F">
        <w:instrText xml:space="preserve"> REF _Ref22929965 \h </w:instrText>
      </w:r>
      <w:r w:rsidR="00AE5B8A">
        <w:fldChar w:fldCharType="separate"/>
      </w:r>
      <w:r w:rsidR="001E4C1C">
        <w:t xml:space="preserve">Tab.  </w:t>
      </w:r>
      <w:r w:rsidR="001E4C1C">
        <w:rPr>
          <w:noProof/>
        </w:rPr>
        <w:t>3</w:t>
      </w:r>
      <w:r w:rsidR="001E4C1C">
        <w:noBreakHyphen/>
      </w:r>
      <w:r w:rsidR="001E4C1C">
        <w:rPr>
          <w:noProof/>
        </w:rPr>
        <w:t>3</w:t>
      </w:r>
      <w:r w:rsidR="00AE5B8A">
        <w:fldChar w:fldCharType="end"/>
      </w:r>
      <w:r w:rsidR="00D77D9F">
        <w:t>)</w:t>
      </w:r>
      <w:r w:rsidR="0092236F">
        <w:t xml:space="preserve"> a </w:t>
      </w:r>
      <w:r w:rsidR="0092236F" w:rsidRPr="003C588A">
        <w:t xml:space="preserve">obrázky </w:t>
      </w:r>
      <w:r w:rsidR="003C588A">
        <w:t>(</w:t>
      </w:r>
      <w:r w:rsidR="00C40D3F">
        <w:fldChar w:fldCharType="begin"/>
      </w:r>
      <w:r w:rsidR="00C40D3F">
        <w:instrText xml:space="preserve"> REF _Ref23928503 \h  \* MERGEFORMAT </w:instrText>
      </w:r>
      <w:r w:rsidR="00C40D3F">
        <w:fldChar w:fldCharType="separate"/>
      </w:r>
      <w:r w:rsidR="001E4C1C" w:rsidRPr="001E4C1C">
        <w:t>Obr. 3</w:t>
      </w:r>
      <w:r w:rsidR="001E4C1C" w:rsidRPr="001E4C1C">
        <w:noBreakHyphen/>
        <w:t>9</w:t>
      </w:r>
      <w:r w:rsidR="00C40D3F">
        <w:fldChar w:fldCharType="end"/>
      </w:r>
      <w:r w:rsidR="003C588A" w:rsidRPr="003C588A">
        <w:t xml:space="preserve">, </w:t>
      </w:r>
      <w:r w:rsidR="00C40D3F">
        <w:fldChar w:fldCharType="begin"/>
      </w:r>
      <w:r w:rsidR="00C40D3F">
        <w:instrText xml:space="preserve"> REF _Ref23928507 \h  \* MERGEFORMAT </w:instrText>
      </w:r>
      <w:r w:rsidR="00C40D3F">
        <w:fldChar w:fldCharType="separate"/>
      </w:r>
      <w:r w:rsidR="001E4C1C" w:rsidRPr="001E4C1C">
        <w:t>Obr. 3</w:t>
      </w:r>
      <w:r w:rsidR="001E4C1C" w:rsidRPr="001E4C1C">
        <w:noBreakHyphen/>
        <w:t>10</w:t>
      </w:r>
      <w:r w:rsidR="00C40D3F">
        <w:fldChar w:fldCharType="end"/>
      </w:r>
      <w:r w:rsidR="003C588A">
        <w:t>).</w:t>
      </w:r>
    </w:p>
    <w:p w:rsidR="000C6B9B" w:rsidRDefault="000C6B9B" w:rsidP="000C6B9B">
      <w:pPr>
        <w:pStyle w:val="tabstyl"/>
      </w:pPr>
      <w:bookmarkStart w:id="293" w:name="_Ref22929965"/>
      <w:bookmarkStart w:id="294" w:name="_Toc36664497"/>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3</w:t>
      </w:r>
      <w:r w:rsidR="00C40D3F">
        <w:rPr>
          <w:noProof/>
        </w:rPr>
        <w:fldChar w:fldCharType="end"/>
      </w:r>
      <w:bookmarkEnd w:id="293"/>
      <w:r>
        <w:tab/>
      </w:r>
      <w:r w:rsidR="0068094D" w:rsidRPr="006118FC">
        <w:t xml:space="preserve">Porovnanie </w:t>
      </w:r>
      <w:r w:rsidR="0068094D">
        <w:t xml:space="preserve">skutočných (2018) a ekonomických (2009) </w:t>
      </w:r>
      <w:r w:rsidR="0068094D" w:rsidRPr="006118FC">
        <w:t xml:space="preserve">sadzieb mýta </w:t>
      </w:r>
      <w:r w:rsidR="0068094D">
        <w:t xml:space="preserve"> v SR  - cesty </w:t>
      </w:r>
      <w:r w:rsidRPr="00E777EA">
        <w:t>I. triedy</w:t>
      </w:r>
      <w:r w:rsidR="0068094D">
        <w:t xml:space="preserve"> ne</w:t>
      </w:r>
      <w:r w:rsidRPr="00E777EA">
        <w:t>súbežné</w:t>
      </w:r>
      <w:r w:rsidRPr="006118FC">
        <w:t xml:space="preserve"> </w:t>
      </w:r>
      <w:r>
        <w:t xml:space="preserve">s D a RC </w:t>
      </w:r>
      <w:r w:rsidR="0068094D">
        <w:t>(€/km)</w:t>
      </w:r>
      <w:bookmarkEnd w:id="294"/>
      <w:r w:rsidR="0068094D">
        <w:t xml:space="preserve">  </w:t>
      </w:r>
    </w:p>
    <w:tbl>
      <w:tblPr>
        <w:tblStyle w:val="tabulkaVUD"/>
        <w:tblW w:w="5000" w:type="pct"/>
        <w:tblLook w:val="04A0" w:firstRow="1" w:lastRow="0" w:firstColumn="1" w:lastColumn="0" w:noHBand="0" w:noVBand="1"/>
      </w:tblPr>
      <w:tblGrid>
        <w:gridCol w:w="394"/>
        <w:gridCol w:w="1476"/>
        <w:gridCol w:w="1391"/>
        <w:gridCol w:w="1086"/>
        <w:gridCol w:w="964"/>
        <w:gridCol w:w="1086"/>
        <w:gridCol w:w="964"/>
        <w:gridCol w:w="1086"/>
        <w:gridCol w:w="964"/>
      </w:tblGrid>
      <w:tr w:rsidR="000C6B9B" w:rsidRPr="00A96FEA" w:rsidTr="0035156D">
        <w:trPr>
          <w:cnfStyle w:val="100000000000" w:firstRow="1" w:lastRow="0" w:firstColumn="0" w:lastColumn="0" w:oddVBand="0" w:evenVBand="0" w:oddHBand="0" w:evenHBand="0" w:firstRowFirstColumn="0" w:firstRowLastColumn="0" w:lastRowFirstColumn="0" w:lastRowLastColumn="0"/>
          <w:cantSplit/>
          <w:trHeight w:val="340"/>
        </w:trPr>
        <w:tc>
          <w:tcPr>
            <w:tcW w:w="209" w:type="pct"/>
            <w:vMerge w:val="restart"/>
            <w:noWrap/>
            <w:hideMark/>
          </w:tcPr>
          <w:p w:rsidR="000C6B9B" w:rsidRPr="00A96FEA" w:rsidRDefault="000C6B9B" w:rsidP="0098463D">
            <w:pPr>
              <w:spacing w:before="0" w:after="0" w:line="240" w:lineRule="auto"/>
              <w:rPr>
                <w:rFonts w:cs="Arial"/>
                <w:color w:val="000000"/>
                <w:sz w:val="18"/>
                <w:szCs w:val="18"/>
                <w:lang w:eastAsia="sk-SK"/>
              </w:rPr>
            </w:pPr>
            <w:r w:rsidRPr="00A96FEA">
              <w:rPr>
                <w:rFonts w:cs="Arial"/>
                <w:color w:val="000000"/>
                <w:sz w:val="18"/>
                <w:szCs w:val="18"/>
                <w:lang w:eastAsia="sk-SK"/>
              </w:rPr>
              <w:t> </w:t>
            </w:r>
          </w:p>
        </w:tc>
        <w:tc>
          <w:tcPr>
            <w:tcW w:w="1523" w:type="pct"/>
            <w:gridSpan w:val="2"/>
            <w:vMerge w:val="restart"/>
            <w:shd w:val="clear" w:color="auto" w:fill="7F7F7F" w:themeFill="text1" w:themeFillTint="80"/>
            <w:noWrap/>
            <w:hideMark/>
          </w:tcPr>
          <w:p w:rsidR="000C6B9B" w:rsidRPr="00E777EA" w:rsidRDefault="00140493" w:rsidP="00140493">
            <w:pPr>
              <w:spacing w:before="0" w:after="0" w:line="240" w:lineRule="auto"/>
              <w:jc w:val="center"/>
              <w:rPr>
                <w:rFonts w:cs="Arial"/>
                <w:color w:val="FFFFFF" w:themeColor="background1"/>
                <w:sz w:val="18"/>
                <w:szCs w:val="18"/>
                <w:lang w:eastAsia="sk-SK"/>
              </w:rPr>
            </w:pPr>
            <w:r w:rsidRPr="00140493">
              <w:rPr>
                <w:rFonts w:cs="Arial"/>
                <w:b/>
                <w:color w:val="FFFFFF" w:themeColor="background1"/>
                <w:sz w:val="18"/>
                <w:szCs w:val="18"/>
                <w:lang w:eastAsia="sk-SK"/>
              </w:rPr>
              <w:t>Typ vozidla/</w:t>
            </w:r>
            <w:r>
              <w:rPr>
                <w:rFonts w:cs="Arial"/>
                <w:b/>
                <w:color w:val="FFFFFF" w:themeColor="background1"/>
                <w:sz w:val="18"/>
                <w:szCs w:val="18"/>
                <w:lang w:eastAsia="sk-SK"/>
              </w:rPr>
              <w:t>emisná trieda</w:t>
            </w:r>
            <w:r w:rsidR="000C6B9B" w:rsidRPr="00E777EA">
              <w:rPr>
                <w:rFonts w:cs="Arial"/>
                <w:color w:val="FFFFFF" w:themeColor="background1"/>
                <w:sz w:val="18"/>
                <w:szCs w:val="18"/>
                <w:lang w:eastAsia="sk-SK"/>
              </w:rPr>
              <w:t> </w:t>
            </w:r>
          </w:p>
        </w:tc>
        <w:tc>
          <w:tcPr>
            <w:tcW w:w="1089" w:type="pct"/>
            <w:gridSpan w:val="2"/>
            <w:shd w:val="clear" w:color="auto" w:fill="7F7F7F" w:themeFill="text1" w:themeFillTint="80"/>
            <w:noWrap/>
            <w:hideMark/>
          </w:tcPr>
          <w:p w:rsidR="000C6B9B" w:rsidRPr="00E777EA" w:rsidRDefault="000C6B9B" w:rsidP="0098463D">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0 – II</w:t>
            </w:r>
          </w:p>
        </w:tc>
        <w:tc>
          <w:tcPr>
            <w:tcW w:w="1089" w:type="pct"/>
            <w:gridSpan w:val="2"/>
            <w:shd w:val="clear" w:color="auto" w:fill="7F7F7F" w:themeFill="text1" w:themeFillTint="80"/>
            <w:noWrap/>
            <w:hideMark/>
          </w:tcPr>
          <w:p w:rsidR="000C6B9B" w:rsidRPr="00E777EA" w:rsidRDefault="000C6B9B" w:rsidP="0098463D">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III, IV</w:t>
            </w:r>
          </w:p>
        </w:tc>
        <w:tc>
          <w:tcPr>
            <w:tcW w:w="1089" w:type="pct"/>
            <w:gridSpan w:val="2"/>
            <w:shd w:val="clear" w:color="auto" w:fill="7F7F7F" w:themeFill="text1" w:themeFillTint="80"/>
            <w:noWrap/>
            <w:hideMark/>
          </w:tcPr>
          <w:p w:rsidR="000C6B9B" w:rsidRPr="00E777EA" w:rsidRDefault="000C6B9B" w:rsidP="0098463D">
            <w:pPr>
              <w:spacing w:before="0" w:after="0" w:line="240" w:lineRule="auto"/>
              <w:jc w:val="center"/>
              <w:rPr>
                <w:rFonts w:cs="Arial"/>
                <w:b/>
                <w:color w:val="FFFFFF" w:themeColor="background1"/>
                <w:sz w:val="18"/>
                <w:szCs w:val="18"/>
                <w:lang w:eastAsia="sk-SK"/>
              </w:rPr>
            </w:pPr>
            <w:r w:rsidRPr="00E777EA">
              <w:rPr>
                <w:rFonts w:cs="Arial"/>
                <w:b/>
                <w:color w:val="FFFFFF" w:themeColor="background1"/>
                <w:sz w:val="18"/>
                <w:szCs w:val="18"/>
                <w:lang w:eastAsia="sk-SK"/>
              </w:rPr>
              <w:t>EURO V, VI, EEV</w:t>
            </w:r>
          </w:p>
        </w:tc>
      </w:tr>
      <w:tr w:rsidR="0035156D" w:rsidRPr="00A96FEA" w:rsidTr="0035156D">
        <w:trPr>
          <w:cantSplit/>
          <w:trHeight w:val="340"/>
        </w:trPr>
        <w:tc>
          <w:tcPr>
            <w:tcW w:w="209" w:type="pct"/>
            <w:vMerge/>
            <w:shd w:val="clear" w:color="auto" w:fill="7F7F7F" w:themeFill="text1" w:themeFillTint="80"/>
            <w:noWrap/>
            <w:hideMark/>
          </w:tcPr>
          <w:p w:rsidR="000C6B9B" w:rsidRPr="00E777EA" w:rsidRDefault="000C6B9B" w:rsidP="0098463D">
            <w:pPr>
              <w:spacing w:before="0" w:after="0" w:line="240" w:lineRule="auto"/>
              <w:rPr>
                <w:rFonts w:cs="Arial"/>
                <w:b/>
                <w:color w:val="FFFFFF" w:themeColor="background1"/>
                <w:sz w:val="20"/>
                <w:szCs w:val="18"/>
                <w:lang w:eastAsia="sk-SK"/>
              </w:rPr>
            </w:pPr>
          </w:p>
        </w:tc>
        <w:tc>
          <w:tcPr>
            <w:tcW w:w="1523" w:type="pct"/>
            <w:gridSpan w:val="2"/>
            <w:vMerge/>
            <w:shd w:val="clear" w:color="auto" w:fill="7F7F7F" w:themeFill="text1" w:themeFillTint="80"/>
            <w:noWrap/>
            <w:hideMark/>
          </w:tcPr>
          <w:p w:rsidR="000C6B9B" w:rsidRPr="00E777EA" w:rsidRDefault="000C6B9B" w:rsidP="0098463D">
            <w:pPr>
              <w:spacing w:before="0" w:after="0" w:line="240" w:lineRule="auto"/>
              <w:jc w:val="center"/>
              <w:rPr>
                <w:rFonts w:cs="Arial"/>
                <w:b/>
                <w:color w:val="FFFFFF" w:themeColor="background1"/>
                <w:sz w:val="20"/>
                <w:szCs w:val="18"/>
                <w:lang w:eastAsia="sk-SK"/>
              </w:rPr>
            </w:pPr>
          </w:p>
        </w:tc>
        <w:tc>
          <w:tcPr>
            <w:tcW w:w="577" w:type="pct"/>
            <w:shd w:val="clear" w:color="auto" w:fill="7F7F7F" w:themeFill="text1" w:themeFillTint="80"/>
            <w:noWrap/>
            <w:hideMark/>
          </w:tcPr>
          <w:p w:rsidR="000C6B9B"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0C6B9B" w:rsidRPr="00E777EA"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512" w:type="pct"/>
            <w:shd w:val="clear" w:color="auto" w:fill="7F7F7F" w:themeFill="text1" w:themeFillTint="80"/>
          </w:tcPr>
          <w:p w:rsidR="000C6B9B" w:rsidRPr="00E777EA"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c>
          <w:tcPr>
            <w:tcW w:w="577" w:type="pct"/>
            <w:shd w:val="clear" w:color="auto" w:fill="7F7F7F" w:themeFill="text1" w:themeFillTint="80"/>
            <w:noWrap/>
            <w:hideMark/>
          </w:tcPr>
          <w:p w:rsidR="000C6B9B"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0C6B9B" w:rsidRPr="00E777EA"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512" w:type="pct"/>
            <w:shd w:val="clear" w:color="auto" w:fill="7F7F7F" w:themeFill="text1" w:themeFillTint="80"/>
          </w:tcPr>
          <w:p w:rsidR="000C6B9B" w:rsidRPr="00E777EA"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c>
          <w:tcPr>
            <w:tcW w:w="577" w:type="pct"/>
            <w:shd w:val="clear" w:color="auto" w:fill="7F7F7F" w:themeFill="text1" w:themeFillTint="80"/>
            <w:noWrap/>
            <w:hideMark/>
          </w:tcPr>
          <w:p w:rsidR="000C6B9B"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 xml:space="preserve">Platné sadzby </w:t>
            </w:r>
          </w:p>
          <w:p w:rsidR="000C6B9B" w:rsidRPr="00E777EA"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(2018)</w:t>
            </w:r>
          </w:p>
        </w:tc>
        <w:tc>
          <w:tcPr>
            <w:tcW w:w="512" w:type="pct"/>
            <w:shd w:val="clear" w:color="auto" w:fill="7F7F7F" w:themeFill="text1" w:themeFillTint="80"/>
          </w:tcPr>
          <w:p w:rsidR="000C6B9B" w:rsidRPr="00E777EA" w:rsidRDefault="000C6B9B" w:rsidP="0098463D">
            <w:pPr>
              <w:spacing w:before="0" w:after="0" w:line="240" w:lineRule="auto"/>
              <w:jc w:val="center"/>
              <w:rPr>
                <w:rFonts w:cs="Arial"/>
                <w:b/>
                <w:color w:val="FFFFFF" w:themeColor="background1"/>
                <w:sz w:val="18"/>
                <w:szCs w:val="18"/>
                <w:lang w:eastAsia="sk-SK"/>
              </w:rPr>
            </w:pPr>
            <w:r>
              <w:rPr>
                <w:rFonts w:cs="Arial"/>
                <w:b/>
                <w:color w:val="FFFFFF" w:themeColor="background1"/>
                <w:sz w:val="18"/>
                <w:szCs w:val="18"/>
                <w:lang w:eastAsia="sk-SK"/>
              </w:rPr>
              <w:t>Ekonomické sadzby</w:t>
            </w:r>
          </w:p>
        </w:tc>
      </w:tr>
      <w:tr w:rsidR="0035156D" w:rsidRPr="00A96FEA" w:rsidTr="0035156D">
        <w:trPr>
          <w:cantSplit/>
          <w:trHeight w:val="380"/>
        </w:trPr>
        <w:tc>
          <w:tcPr>
            <w:tcW w:w="209" w:type="pct"/>
            <w:vMerge w:val="restart"/>
            <w:shd w:val="clear" w:color="auto" w:fill="7F7F7F" w:themeFill="text1" w:themeFillTint="80"/>
            <w:noWrap/>
            <w:hideMark/>
          </w:tcPr>
          <w:p w:rsidR="0092236F" w:rsidRPr="00E777EA" w:rsidRDefault="0092236F" w:rsidP="000C6A03">
            <w:pPr>
              <w:spacing w:before="0" w:after="0" w:line="240" w:lineRule="auto"/>
              <w:jc w:val="center"/>
              <w:rPr>
                <w:rFonts w:cs="Arial"/>
                <w:b/>
                <w:color w:val="FFFFFF" w:themeColor="background1"/>
                <w:sz w:val="20"/>
                <w:szCs w:val="18"/>
                <w:lang w:eastAsia="sk-SK"/>
              </w:rPr>
            </w:pPr>
            <w:r>
              <w:rPr>
                <w:rFonts w:cs="Arial"/>
                <w:b/>
                <w:color w:val="FFFFFF" w:themeColor="background1"/>
                <w:sz w:val="20"/>
                <w:szCs w:val="18"/>
                <w:lang w:eastAsia="sk-SK"/>
              </w:rPr>
              <w:t>NV</w:t>
            </w:r>
          </w:p>
        </w:tc>
        <w:tc>
          <w:tcPr>
            <w:tcW w:w="1523" w:type="pct"/>
            <w:gridSpan w:val="2"/>
            <w:shd w:val="clear" w:color="auto" w:fill="7F7F7F" w:themeFill="text1" w:themeFillTint="80"/>
            <w:noWrap/>
            <w:hideMark/>
          </w:tcPr>
          <w:p w:rsidR="0092236F" w:rsidRPr="00E777EA" w:rsidRDefault="0092236F" w:rsidP="0098463D">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3,5 t – do 12 t </w:t>
            </w:r>
          </w:p>
        </w:tc>
        <w:tc>
          <w:tcPr>
            <w:tcW w:w="577" w:type="pct"/>
            <w:noWrap/>
            <w:vAlign w:val="bottom"/>
            <w:hideMark/>
          </w:tcPr>
          <w:p w:rsidR="0092236F" w:rsidRPr="0021472A" w:rsidRDefault="0092236F" w:rsidP="0021472A">
            <w:pPr>
              <w:pStyle w:val="tabbielystyl"/>
              <w:rPr>
                <w:szCs w:val="18"/>
              </w:rPr>
            </w:pPr>
            <w:r w:rsidRPr="0021472A">
              <w:rPr>
                <w:szCs w:val="20"/>
              </w:rPr>
              <w:t xml:space="preserve">0,082 </w:t>
            </w:r>
          </w:p>
        </w:tc>
        <w:tc>
          <w:tcPr>
            <w:tcW w:w="512" w:type="pct"/>
          </w:tcPr>
          <w:p w:rsidR="0092236F" w:rsidRPr="0021472A" w:rsidRDefault="0092236F" w:rsidP="0021472A">
            <w:pPr>
              <w:pStyle w:val="tabbielystyl"/>
              <w:rPr>
                <w:szCs w:val="20"/>
              </w:rPr>
            </w:pPr>
            <w:r w:rsidRPr="0021472A">
              <w:rPr>
                <w:szCs w:val="20"/>
              </w:rPr>
              <w:t>0,17</w:t>
            </w:r>
          </w:p>
        </w:tc>
        <w:tc>
          <w:tcPr>
            <w:tcW w:w="577" w:type="pct"/>
            <w:noWrap/>
            <w:vAlign w:val="bottom"/>
            <w:hideMark/>
          </w:tcPr>
          <w:p w:rsidR="0092236F" w:rsidRPr="0021472A" w:rsidRDefault="0092236F" w:rsidP="0021472A">
            <w:pPr>
              <w:pStyle w:val="tabbielystyl"/>
              <w:rPr>
                <w:szCs w:val="18"/>
              </w:rPr>
            </w:pPr>
            <w:r w:rsidRPr="0021472A">
              <w:rPr>
                <w:szCs w:val="20"/>
              </w:rPr>
              <w:t xml:space="preserve">0,074 </w:t>
            </w:r>
          </w:p>
        </w:tc>
        <w:tc>
          <w:tcPr>
            <w:tcW w:w="512" w:type="pct"/>
          </w:tcPr>
          <w:p w:rsidR="0092236F" w:rsidRPr="0021472A" w:rsidRDefault="0092236F" w:rsidP="0021472A">
            <w:pPr>
              <w:pStyle w:val="tabbielystyl"/>
              <w:rPr>
                <w:szCs w:val="20"/>
              </w:rPr>
            </w:pPr>
            <w:r w:rsidRPr="0021472A">
              <w:rPr>
                <w:szCs w:val="20"/>
              </w:rPr>
              <w:t>0,16</w:t>
            </w:r>
          </w:p>
        </w:tc>
        <w:tc>
          <w:tcPr>
            <w:tcW w:w="577" w:type="pct"/>
            <w:noWrap/>
            <w:vAlign w:val="bottom"/>
            <w:hideMark/>
          </w:tcPr>
          <w:p w:rsidR="0092236F" w:rsidRPr="0021472A" w:rsidRDefault="0092236F" w:rsidP="0021472A">
            <w:pPr>
              <w:pStyle w:val="tabbielystyl"/>
              <w:rPr>
                <w:szCs w:val="18"/>
              </w:rPr>
            </w:pPr>
            <w:r w:rsidRPr="0021472A">
              <w:rPr>
                <w:szCs w:val="20"/>
              </w:rPr>
              <w:t xml:space="preserve">0,064 </w:t>
            </w:r>
          </w:p>
        </w:tc>
        <w:tc>
          <w:tcPr>
            <w:tcW w:w="512" w:type="pct"/>
          </w:tcPr>
          <w:p w:rsidR="0092236F" w:rsidRPr="0021472A" w:rsidRDefault="0092236F" w:rsidP="0021472A">
            <w:pPr>
              <w:pStyle w:val="tabbielystyl"/>
              <w:rPr>
                <w:szCs w:val="20"/>
              </w:rPr>
            </w:pPr>
            <w:r w:rsidRPr="0021472A">
              <w:rPr>
                <w:szCs w:val="20"/>
              </w:rPr>
              <w:t>0,16</w:t>
            </w:r>
          </w:p>
        </w:tc>
      </w:tr>
      <w:tr w:rsidR="0035156D" w:rsidRPr="00A96FEA" w:rsidTr="0035156D">
        <w:trPr>
          <w:cantSplit/>
          <w:trHeight w:val="340"/>
        </w:trPr>
        <w:tc>
          <w:tcPr>
            <w:tcW w:w="209" w:type="pct"/>
            <w:vMerge/>
            <w:shd w:val="clear" w:color="auto" w:fill="7F7F7F" w:themeFill="text1" w:themeFillTint="80"/>
            <w:hideMark/>
          </w:tcPr>
          <w:p w:rsidR="0035156D" w:rsidRPr="00E777EA" w:rsidRDefault="0035156D" w:rsidP="0098463D">
            <w:pPr>
              <w:spacing w:before="0" w:after="0" w:line="240" w:lineRule="auto"/>
              <w:jc w:val="center"/>
              <w:rPr>
                <w:rFonts w:cs="Arial"/>
                <w:b/>
                <w:color w:val="FFFFFF" w:themeColor="background1"/>
                <w:sz w:val="20"/>
                <w:szCs w:val="18"/>
                <w:lang w:eastAsia="sk-SK"/>
              </w:rPr>
            </w:pPr>
          </w:p>
        </w:tc>
        <w:tc>
          <w:tcPr>
            <w:tcW w:w="784" w:type="pct"/>
            <w:vMerge w:val="restart"/>
            <w:shd w:val="clear" w:color="auto" w:fill="7F7F7F" w:themeFill="text1" w:themeFillTint="80"/>
            <w:noWrap/>
            <w:hideMark/>
          </w:tcPr>
          <w:p w:rsidR="0035156D" w:rsidRPr="00E777EA" w:rsidRDefault="0035156D" w:rsidP="0035156D">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 xml:space="preserve">12 t a viac  </w:t>
            </w:r>
          </w:p>
        </w:tc>
        <w:tc>
          <w:tcPr>
            <w:tcW w:w="739" w:type="pct"/>
            <w:shd w:val="clear" w:color="auto" w:fill="7F7F7F" w:themeFill="text1" w:themeFillTint="80"/>
          </w:tcPr>
          <w:p w:rsidR="0035156D" w:rsidRPr="00E777EA" w:rsidRDefault="0035156D" w:rsidP="0035156D">
            <w:pPr>
              <w:spacing w:before="0" w:after="0" w:line="240" w:lineRule="auto"/>
              <w:jc w:val="left"/>
              <w:rPr>
                <w:rFonts w:cs="Arial"/>
                <w:b/>
                <w:color w:val="FFFFFF" w:themeColor="background1"/>
                <w:sz w:val="20"/>
                <w:szCs w:val="18"/>
                <w:lang w:eastAsia="sk-SK"/>
              </w:rPr>
            </w:pPr>
            <w:r w:rsidRPr="00E777EA">
              <w:rPr>
                <w:rFonts w:cs="Arial"/>
                <w:b/>
                <w:color w:val="FFFFFF" w:themeColor="background1"/>
                <w:sz w:val="20"/>
                <w:szCs w:val="18"/>
                <w:lang w:eastAsia="sk-SK"/>
              </w:rPr>
              <w:t>2 nápravy</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0,176 </w:t>
            </w:r>
          </w:p>
        </w:tc>
        <w:tc>
          <w:tcPr>
            <w:tcW w:w="512" w:type="pct"/>
            <w:vAlign w:val="bottom"/>
          </w:tcPr>
          <w:p w:rsidR="0035156D" w:rsidRPr="0021472A" w:rsidRDefault="0035156D" w:rsidP="0021472A">
            <w:pPr>
              <w:pStyle w:val="tabbielystyl"/>
              <w:rPr>
                <w:szCs w:val="18"/>
              </w:rPr>
            </w:pPr>
            <w:r w:rsidRPr="0021472A">
              <w:rPr>
                <w:szCs w:val="18"/>
              </w:rPr>
              <w:t>0,18</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0,159 </w:t>
            </w:r>
          </w:p>
        </w:tc>
        <w:tc>
          <w:tcPr>
            <w:tcW w:w="512" w:type="pct"/>
          </w:tcPr>
          <w:p w:rsidR="0035156D" w:rsidRPr="0021472A" w:rsidRDefault="0035156D" w:rsidP="0021472A">
            <w:pPr>
              <w:pStyle w:val="tabbielystyl"/>
              <w:rPr>
                <w:szCs w:val="20"/>
              </w:rPr>
            </w:pPr>
            <w:r w:rsidRPr="0021472A">
              <w:t>0,17</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0,136 </w:t>
            </w:r>
          </w:p>
        </w:tc>
        <w:tc>
          <w:tcPr>
            <w:tcW w:w="512" w:type="pct"/>
          </w:tcPr>
          <w:p w:rsidR="0035156D" w:rsidRPr="0021472A" w:rsidRDefault="0035156D" w:rsidP="0021472A">
            <w:pPr>
              <w:pStyle w:val="tabbielystyl"/>
              <w:rPr>
                <w:szCs w:val="20"/>
              </w:rPr>
            </w:pPr>
            <w:r w:rsidRPr="0021472A">
              <w:t>0,17</w:t>
            </w:r>
          </w:p>
        </w:tc>
      </w:tr>
      <w:tr w:rsidR="0035156D" w:rsidRPr="00A96FEA" w:rsidTr="0035156D">
        <w:trPr>
          <w:cantSplit/>
          <w:trHeight w:val="340"/>
        </w:trPr>
        <w:tc>
          <w:tcPr>
            <w:tcW w:w="209" w:type="pct"/>
            <w:vMerge/>
            <w:shd w:val="clear" w:color="auto" w:fill="7F7F7F" w:themeFill="text1" w:themeFillTint="80"/>
            <w:hideMark/>
          </w:tcPr>
          <w:p w:rsidR="0035156D" w:rsidRPr="00E777EA" w:rsidRDefault="0035156D" w:rsidP="0098463D">
            <w:pPr>
              <w:spacing w:before="0" w:after="0" w:line="240" w:lineRule="auto"/>
              <w:jc w:val="center"/>
              <w:rPr>
                <w:rFonts w:cs="Arial"/>
                <w:b/>
                <w:color w:val="FFFFFF" w:themeColor="background1"/>
                <w:sz w:val="20"/>
                <w:szCs w:val="18"/>
                <w:lang w:eastAsia="sk-SK"/>
              </w:rPr>
            </w:pPr>
          </w:p>
        </w:tc>
        <w:tc>
          <w:tcPr>
            <w:tcW w:w="784" w:type="pct"/>
            <w:vMerge/>
            <w:shd w:val="clear" w:color="auto" w:fill="7F7F7F" w:themeFill="text1" w:themeFillTint="80"/>
            <w:noWrap/>
            <w:hideMark/>
          </w:tcPr>
          <w:p w:rsidR="0035156D" w:rsidRPr="00E777EA" w:rsidRDefault="0035156D" w:rsidP="0098463D">
            <w:pPr>
              <w:spacing w:before="0" w:after="0" w:line="240" w:lineRule="auto"/>
              <w:rPr>
                <w:rFonts w:cs="Arial"/>
                <w:b/>
                <w:color w:val="FFFFFF" w:themeColor="background1"/>
                <w:sz w:val="20"/>
                <w:szCs w:val="18"/>
                <w:lang w:eastAsia="sk-SK"/>
              </w:rPr>
            </w:pPr>
          </w:p>
        </w:tc>
        <w:tc>
          <w:tcPr>
            <w:tcW w:w="739" w:type="pct"/>
            <w:shd w:val="clear" w:color="auto" w:fill="7F7F7F" w:themeFill="text1" w:themeFillTint="80"/>
          </w:tcPr>
          <w:p w:rsidR="0035156D" w:rsidRPr="00E777EA" w:rsidRDefault="0035156D" w:rsidP="0035156D">
            <w:pPr>
              <w:spacing w:before="0" w:after="0" w:line="240" w:lineRule="auto"/>
              <w:jc w:val="left"/>
              <w:rPr>
                <w:rFonts w:cs="Arial"/>
                <w:b/>
                <w:color w:val="FFFFFF" w:themeColor="background1"/>
                <w:sz w:val="20"/>
                <w:szCs w:val="18"/>
                <w:lang w:eastAsia="sk-SK"/>
              </w:rPr>
            </w:pPr>
            <w:r w:rsidRPr="00E777EA">
              <w:rPr>
                <w:rFonts w:cs="Arial"/>
                <w:b/>
                <w:color w:val="FFFFFF" w:themeColor="background1"/>
                <w:sz w:val="20"/>
                <w:szCs w:val="18"/>
                <w:lang w:eastAsia="sk-SK"/>
              </w:rPr>
              <w:t>3 nápravy</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0,185 </w:t>
            </w:r>
          </w:p>
        </w:tc>
        <w:tc>
          <w:tcPr>
            <w:tcW w:w="512" w:type="pct"/>
            <w:vAlign w:val="bottom"/>
          </w:tcPr>
          <w:p w:rsidR="0035156D" w:rsidRPr="0021472A" w:rsidRDefault="0035156D" w:rsidP="0021472A">
            <w:pPr>
              <w:pStyle w:val="tabbielystyl"/>
              <w:rPr>
                <w:szCs w:val="18"/>
              </w:rPr>
            </w:pPr>
            <w:r w:rsidRPr="0021472A">
              <w:rPr>
                <w:szCs w:val="18"/>
              </w:rPr>
              <w:t>0,19</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0,167 </w:t>
            </w:r>
          </w:p>
        </w:tc>
        <w:tc>
          <w:tcPr>
            <w:tcW w:w="512" w:type="pct"/>
          </w:tcPr>
          <w:p w:rsidR="0035156D" w:rsidRPr="0021472A" w:rsidRDefault="0035156D" w:rsidP="0021472A">
            <w:pPr>
              <w:pStyle w:val="tabbielystyl"/>
              <w:rPr>
                <w:szCs w:val="20"/>
              </w:rPr>
            </w:pPr>
            <w:r w:rsidRPr="0021472A">
              <w:t>0,18</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0,143 </w:t>
            </w:r>
          </w:p>
        </w:tc>
        <w:tc>
          <w:tcPr>
            <w:tcW w:w="512" w:type="pct"/>
          </w:tcPr>
          <w:p w:rsidR="0035156D" w:rsidRPr="0021472A" w:rsidRDefault="0035156D" w:rsidP="0021472A">
            <w:pPr>
              <w:pStyle w:val="tabbielystyl"/>
              <w:rPr>
                <w:szCs w:val="20"/>
              </w:rPr>
            </w:pPr>
            <w:r w:rsidRPr="0021472A">
              <w:t>0,18</w:t>
            </w:r>
          </w:p>
        </w:tc>
      </w:tr>
      <w:tr w:rsidR="0035156D" w:rsidRPr="00A96FEA" w:rsidTr="0035156D">
        <w:trPr>
          <w:cantSplit/>
          <w:trHeight w:val="340"/>
        </w:trPr>
        <w:tc>
          <w:tcPr>
            <w:tcW w:w="209" w:type="pct"/>
            <w:vMerge/>
            <w:shd w:val="clear" w:color="auto" w:fill="7F7F7F" w:themeFill="text1" w:themeFillTint="80"/>
            <w:hideMark/>
          </w:tcPr>
          <w:p w:rsidR="0035156D" w:rsidRPr="00E777EA" w:rsidRDefault="0035156D" w:rsidP="0098463D">
            <w:pPr>
              <w:spacing w:before="0" w:after="0" w:line="240" w:lineRule="auto"/>
              <w:jc w:val="center"/>
              <w:rPr>
                <w:rFonts w:cs="Arial"/>
                <w:b/>
                <w:color w:val="FFFFFF" w:themeColor="background1"/>
                <w:sz w:val="20"/>
                <w:szCs w:val="18"/>
                <w:lang w:eastAsia="sk-SK"/>
              </w:rPr>
            </w:pPr>
          </w:p>
        </w:tc>
        <w:tc>
          <w:tcPr>
            <w:tcW w:w="784" w:type="pct"/>
            <w:vMerge/>
            <w:shd w:val="clear" w:color="auto" w:fill="7F7F7F" w:themeFill="text1" w:themeFillTint="80"/>
            <w:noWrap/>
            <w:hideMark/>
          </w:tcPr>
          <w:p w:rsidR="0035156D" w:rsidRPr="00E777EA" w:rsidRDefault="0035156D" w:rsidP="0098463D">
            <w:pPr>
              <w:spacing w:before="0" w:after="0" w:line="240" w:lineRule="auto"/>
              <w:rPr>
                <w:rFonts w:cs="Arial"/>
                <w:b/>
                <w:color w:val="FFFFFF" w:themeColor="background1"/>
                <w:sz w:val="20"/>
                <w:szCs w:val="18"/>
                <w:lang w:eastAsia="sk-SK"/>
              </w:rPr>
            </w:pPr>
          </w:p>
        </w:tc>
        <w:tc>
          <w:tcPr>
            <w:tcW w:w="739" w:type="pct"/>
            <w:shd w:val="clear" w:color="auto" w:fill="7F7F7F" w:themeFill="text1" w:themeFillTint="80"/>
          </w:tcPr>
          <w:p w:rsidR="0035156D" w:rsidRPr="00E777EA" w:rsidRDefault="0035156D" w:rsidP="0035156D">
            <w:pPr>
              <w:spacing w:before="0" w:after="0" w:line="240" w:lineRule="auto"/>
              <w:jc w:val="left"/>
              <w:rPr>
                <w:rFonts w:cs="Arial"/>
                <w:b/>
                <w:color w:val="FFFFFF" w:themeColor="background1"/>
                <w:sz w:val="20"/>
                <w:szCs w:val="18"/>
                <w:lang w:eastAsia="sk-SK"/>
              </w:rPr>
            </w:pPr>
            <w:r w:rsidRPr="00E777EA">
              <w:rPr>
                <w:rFonts w:cs="Arial"/>
                <w:b/>
                <w:color w:val="FFFFFF" w:themeColor="background1"/>
                <w:sz w:val="20"/>
                <w:szCs w:val="18"/>
                <w:lang w:eastAsia="sk-SK"/>
              </w:rPr>
              <w:t>4 nápravy</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0,189 </w:t>
            </w:r>
          </w:p>
        </w:tc>
        <w:tc>
          <w:tcPr>
            <w:tcW w:w="512" w:type="pct"/>
            <w:vAlign w:val="bottom"/>
          </w:tcPr>
          <w:p w:rsidR="0035156D" w:rsidRPr="0021472A" w:rsidRDefault="0035156D" w:rsidP="0021472A">
            <w:pPr>
              <w:pStyle w:val="tabbielystyl"/>
              <w:rPr>
                <w:szCs w:val="18"/>
              </w:rPr>
            </w:pPr>
            <w:r w:rsidRPr="0021472A">
              <w:rPr>
                <w:szCs w:val="18"/>
              </w:rPr>
              <w:t>0,20</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0,171 </w:t>
            </w:r>
          </w:p>
        </w:tc>
        <w:tc>
          <w:tcPr>
            <w:tcW w:w="512" w:type="pct"/>
          </w:tcPr>
          <w:p w:rsidR="0035156D" w:rsidRPr="0021472A" w:rsidRDefault="0035156D" w:rsidP="0021472A">
            <w:pPr>
              <w:pStyle w:val="tabbielystyl"/>
              <w:rPr>
                <w:szCs w:val="20"/>
              </w:rPr>
            </w:pPr>
            <w:r w:rsidRPr="0021472A">
              <w:t>0,19</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0,146 </w:t>
            </w:r>
          </w:p>
        </w:tc>
        <w:tc>
          <w:tcPr>
            <w:tcW w:w="512" w:type="pct"/>
          </w:tcPr>
          <w:p w:rsidR="0035156D" w:rsidRPr="0021472A" w:rsidRDefault="0035156D" w:rsidP="0021472A">
            <w:pPr>
              <w:pStyle w:val="tabbielystyl"/>
              <w:rPr>
                <w:szCs w:val="20"/>
              </w:rPr>
            </w:pPr>
            <w:r w:rsidRPr="0021472A">
              <w:t>0,18</w:t>
            </w:r>
          </w:p>
        </w:tc>
      </w:tr>
      <w:tr w:rsidR="0035156D" w:rsidRPr="00A96FEA" w:rsidTr="0035156D">
        <w:trPr>
          <w:cantSplit/>
          <w:trHeight w:val="340"/>
        </w:trPr>
        <w:tc>
          <w:tcPr>
            <w:tcW w:w="209" w:type="pct"/>
            <w:vMerge/>
            <w:shd w:val="clear" w:color="auto" w:fill="7F7F7F" w:themeFill="text1" w:themeFillTint="80"/>
            <w:hideMark/>
          </w:tcPr>
          <w:p w:rsidR="0035156D" w:rsidRPr="00E777EA" w:rsidRDefault="0035156D" w:rsidP="0098463D">
            <w:pPr>
              <w:spacing w:before="0" w:after="0" w:line="240" w:lineRule="auto"/>
              <w:jc w:val="center"/>
              <w:rPr>
                <w:rFonts w:cs="Arial"/>
                <w:b/>
                <w:color w:val="FFFFFF" w:themeColor="background1"/>
                <w:sz w:val="20"/>
                <w:szCs w:val="18"/>
                <w:lang w:eastAsia="sk-SK"/>
              </w:rPr>
            </w:pPr>
          </w:p>
        </w:tc>
        <w:tc>
          <w:tcPr>
            <w:tcW w:w="784" w:type="pct"/>
            <w:vMerge/>
            <w:shd w:val="clear" w:color="auto" w:fill="7F7F7F" w:themeFill="text1" w:themeFillTint="80"/>
            <w:noWrap/>
            <w:hideMark/>
          </w:tcPr>
          <w:p w:rsidR="0035156D" w:rsidRPr="00E777EA" w:rsidRDefault="0035156D" w:rsidP="0098463D">
            <w:pPr>
              <w:spacing w:before="0" w:after="0" w:line="240" w:lineRule="auto"/>
              <w:rPr>
                <w:rFonts w:cs="Arial"/>
                <w:b/>
                <w:color w:val="FFFFFF" w:themeColor="background1"/>
                <w:sz w:val="20"/>
                <w:szCs w:val="18"/>
                <w:lang w:eastAsia="sk-SK"/>
              </w:rPr>
            </w:pPr>
          </w:p>
        </w:tc>
        <w:tc>
          <w:tcPr>
            <w:tcW w:w="739" w:type="pct"/>
            <w:shd w:val="clear" w:color="auto" w:fill="7F7F7F" w:themeFill="text1" w:themeFillTint="80"/>
          </w:tcPr>
          <w:p w:rsidR="0035156D" w:rsidRPr="00E777EA" w:rsidRDefault="0035156D" w:rsidP="0035156D">
            <w:pPr>
              <w:spacing w:before="0" w:after="0" w:line="240" w:lineRule="auto"/>
              <w:jc w:val="left"/>
              <w:rPr>
                <w:rFonts w:cs="Arial"/>
                <w:b/>
                <w:color w:val="FFFFFF" w:themeColor="background1"/>
                <w:sz w:val="20"/>
                <w:szCs w:val="18"/>
                <w:lang w:eastAsia="sk-SK"/>
              </w:rPr>
            </w:pPr>
            <w:r w:rsidRPr="00E777EA">
              <w:rPr>
                <w:rFonts w:cs="Arial"/>
                <w:b/>
                <w:color w:val="FFFFFF" w:themeColor="background1"/>
                <w:sz w:val="20"/>
                <w:szCs w:val="18"/>
                <w:lang w:eastAsia="sk-SK"/>
              </w:rPr>
              <w:t>5 náprav</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0,185 </w:t>
            </w:r>
          </w:p>
        </w:tc>
        <w:tc>
          <w:tcPr>
            <w:tcW w:w="512" w:type="pct"/>
            <w:vAlign w:val="bottom"/>
          </w:tcPr>
          <w:p w:rsidR="0035156D" w:rsidRPr="0021472A" w:rsidRDefault="0035156D" w:rsidP="0021472A">
            <w:pPr>
              <w:pStyle w:val="tabbielystyl"/>
              <w:rPr>
                <w:szCs w:val="18"/>
              </w:rPr>
            </w:pPr>
            <w:r w:rsidRPr="0021472A">
              <w:rPr>
                <w:szCs w:val="18"/>
              </w:rPr>
              <w:t>0,19</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0,167 </w:t>
            </w:r>
          </w:p>
        </w:tc>
        <w:tc>
          <w:tcPr>
            <w:tcW w:w="512" w:type="pct"/>
          </w:tcPr>
          <w:p w:rsidR="0035156D" w:rsidRPr="0021472A" w:rsidRDefault="0035156D" w:rsidP="0021472A">
            <w:pPr>
              <w:pStyle w:val="tabbielystyl"/>
              <w:rPr>
                <w:szCs w:val="20"/>
              </w:rPr>
            </w:pPr>
            <w:r w:rsidRPr="0021472A">
              <w:t>0,18</w:t>
            </w:r>
          </w:p>
        </w:tc>
        <w:tc>
          <w:tcPr>
            <w:tcW w:w="577" w:type="pct"/>
            <w:noWrap/>
            <w:vAlign w:val="bottom"/>
            <w:hideMark/>
          </w:tcPr>
          <w:p w:rsidR="0035156D" w:rsidRPr="0021472A" w:rsidRDefault="0035156D" w:rsidP="0021472A">
            <w:pPr>
              <w:pStyle w:val="tabbielystyl"/>
              <w:rPr>
                <w:szCs w:val="18"/>
              </w:rPr>
            </w:pPr>
            <w:r w:rsidRPr="0021472A">
              <w:rPr>
                <w:szCs w:val="20"/>
              </w:rPr>
              <w:t xml:space="preserve">0,143 </w:t>
            </w:r>
          </w:p>
        </w:tc>
        <w:tc>
          <w:tcPr>
            <w:tcW w:w="512" w:type="pct"/>
          </w:tcPr>
          <w:p w:rsidR="0035156D" w:rsidRPr="0021472A" w:rsidRDefault="0035156D" w:rsidP="0021472A">
            <w:pPr>
              <w:pStyle w:val="tabbielystyl"/>
              <w:rPr>
                <w:szCs w:val="20"/>
              </w:rPr>
            </w:pPr>
            <w:r w:rsidRPr="0021472A">
              <w:t>0,18</w:t>
            </w:r>
          </w:p>
        </w:tc>
      </w:tr>
      <w:tr w:rsidR="0035156D" w:rsidRPr="00A96FEA" w:rsidTr="0035156D">
        <w:trPr>
          <w:cantSplit/>
          <w:trHeight w:val="340"/>
        </w:trPr>
        <w:tc>
          <w:tcPr>
            <w:tcW w:w="209" w:type="pct"/>
            <w:vMerge w:val="restart"/>
            <w:shd w:val="clear" w:color="auto" w:fill="7F7F7F" w:themeFill="text1" w:themeFillTint="80"/>
            <w:noWrap/>
            <w:hideMark/>
          </w:tcPr>
          <w:p w:rsidR="0035156D" w:rsidRPr="00E777EA" w:rsidRDefault="0035156D" w:rsidP="000C6A03">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BUS</w:t>
            </w:r>
          </w:p>
        </w:tc>
        <w:tc>
          <w:tcPr>
            <w:tcW w:w="1523" w:type="pct"/>
            <w:gridSpan w:val="2"/>
            <w:shd w:val="clear" w:color="auto" w:fill="7F7F7F" w:themeFill="text1" w:themeFillTint="80"/>
            <w:noWrap/>
            <w:hideMark/>
          </w:tcPr>
          <w:p w:rsidR="0035156D" w:rsidRPr="00E777EA" w:rsidRDefault="0035156D" w:rsidP="0098463D">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3,5 t – do 12 t </w:t>
            </w:r>
          </w:p>
        </w:tc>
        <w:tc>
          <w:tcPr>
            <w:tcW w:w="577" w:type="pct"/>
            <w:noWrap/>
            <w:vAlign w:val="bottom"/>
            <w:hideMark/>
          </w:tcPr>
          <w:p w:rsidR="0035156D" w:rsidRPr="0021472A" w:rsidRDefault="0035156D" w:rsidP="0021472A">
            <w:pPr>
              <w:pStyle w:val="tabbielystyl"/>
              <w:rPr>
                <w:szCs w:val="18"/>
              </w:rPr>
            </w:pPr>
            <w:r w:rsidRPr="0021472A">
              <w:rPr>
                <w:szCs w:val="20"/>
              </w:rPr>
              <w:t xml:space="preserve">0,041 </w:t>
            </w:r>
          </w:p>
        </w:tc>
        <w:tc>
          <w:tcPr>
            <w:tcW w:w="512" w:type="pct"/>
          </w:tcPr>
          <w:p w:rsidR="0035156D" w:rsidRPr="0021472A" w:rsidRDefault="0035156D" w:rsidP="0021472A">
            <w:pPr>
              <w:pStyle w:val="tabbielystyl"/>
              <w:rPr>
                <w:szCs w:val="20"/>
              </w:rPr>
            </w:pPr>
            <w:r w:rsidRPr="0021472A">
              <w:rPr>
                <w:szCs w:val="20"/>
              </w:rPr>
              <w:t>0,17</w:t>
            </w:r>
          </w:p>
        </w:tc>
        <w:tc>
          <w:tcPr>
            <w:tcW w:w="577" w:type="pct"/>
            <w:noWrap/>
            <w:vAlign w:val="bottom"/>
            <w:hideMark/>
          </w:tcPr>
          <w:p w:rsidR="0035156D" w:rsidRPr="0021472A" w:rsidRDefault="0035156D" w:rsidP="0021472A">
            <w:pPr>
              <w:pStyle w:val="tabbielystyl"/>
              <w:rPr>
                <w:szCs w:val="18"/>
              </w:rPr>
            </w:pPr>
            <w:r w:rsidRPr="0021472A">
              <w:rPr>
                <w:szCs w:val="20"/>
              </w:rPr>
              <w:t xml:space="preserve">0,031 </w:t>
            </w:r>
          </w:p>
        </w:tc>
        <w:tc>
          <w:tcPr>
            <w:tcW w:w="512" w:type="pct"/>
          </w:tcPr>
          <w:p w:rsidR="0035156D" w:rsidRPr="0021472A" w:rsidRDefault="0035156D" w:rsidP="0021472A">
            <w:pPr>
              <w:pStyle w:val="tabbielystyl"/>
              <w:rPr>
                <w:szCs w:val="20"/>
              </w:rPr>
            </w:pPr>
            <w:r w:rsidRPr="0021472A">
              <w:rPr>
                <w:szCs w:val="20"/>
              </w:rPr>
              <w:t>0,16</w:t>
            </w:r>
          </w:p>
        </w:tc>
        <w:tc>
          <w:tcPr>
            <w:tcW w:w="577" w:type="pct"/>
            <w:noWrap/>
            <w:vAlign w:val="bottom"/>
            <w:hideMark/>
          </w:tcPr>
          <w:p w:rsidR="0035156D" w:rsidRPr="0021472A" w:rsidRDefault="0035156D" w:rsidP="0021472A">
            <w:pPr>
              <w:pStyle w:val="tabbielystyl"/>
              <w:rPr>
                <w:szCs w:val="18"/>
              </w:rPr>
            </w:pPr>
            <w:r w:rsidRPr="0021472A">
              <w:rPr>
                <w:szCs w:val="20"/>
              </w:rPr>
              <w:t xml:space="preserve">0,021 </w:t>
            </w:r>
          </w:p>
        </w:tc>
        <w:tc>
          <w:tcPr>
            <w:tcW w:w="512" w:type="pct"/>
          </w:tcPr>
          <w:p w:rsidR="0035156D" w:rsidRPr="0021472A" w:rsidRDefault="0035156D" w:rsidP="0021472A">
            <w:pPr>
              <w:pStyle w:val="tabbielystyl"/>
              <w:rPr>
                <w:szCs w:val="20"/>
              </w:rPr>
            </w:pPr>
            <w:r w:rsidRPr="0021472A">
              <w:rPr>
                <w:szCs w:val="20"/>
              </w:rPr>
              <w:t>0,16</w:t>
            </w:r>
          </w:p>
        </w:tc>
      </w:tr>
      <w:tr w:rsidR="0035156D" w:rsidRPr="00A96FEA" w:rsidTr="0035156D">
        <w:trPr>
          <w:cantSplit/>
          <w:trHeight w:val="340"/>
        </w:trPr>
        <w:tc>
          <w:tcPr>
            <w:tcW w:w="209" w:type="pct"/>
            <w:vMerge/>
            <w:shd w:val="clear" w:color="auto" w:fill="7F7F7F" w:themeFill="text1" w:themeFillTint="80"/>
            <w:hideMark/>
          </w:tcPr>
          <w:p w:rsidR="0035156D" w:rsidRPr="00E777EA" w:rsidRDefault="0035156D" w:rsidP="0098463D">
            <w:pPr>
              <w:spacing w:before="0" w:after="0" w:line="240" w:lineRule="auto"/>
              <w:rPr>
                <w:rFonts w:cs="Arial"/>
                <w:b/>
                <w:color w:val="FFFFFF" w:themeColor="background1"/>
                <w:sz w:val="20"/>
                <w:szCs w:val="18"/>
                <w:lang w:eastAsia="sk-SK"/>
              </w:rPr>
            </w:pPr>
          </w:p>
        </w:tc>
        <w:tc>
          <w:tcPr>
            <w:tcW w:w="1523" w:type="pct"/>
            <w:gridSpan w:val="2"/>
            <w:shd w:val="clear" w:color="auto" w:fill="7F7F7F" w:themeFill="text1" w:themeFillTint="80"/>
            <w:noWrap/>
            <w:hideMark/>
          </w:tcPr>
          <w:p w:rsidR="0035156D" w:rsidRPr="00E777EA" w:rsidRDefault="0035156D" w:rsidP="0098463D">
            <w:pPr>
              <w:spacing w:before="0" w:after="0" w:line="240" w:lineRule="auto"/>
              <w:jc w:val="center"/>
              <w:rPr>
                <w:rFonts w:cs="Arial"/>
                <w:b/>
                <w:color w:val="FFFFFF" w:themeColor="background1"/>
                <w:sz w:val="20"/>
                <w:szCs w:val="18"/>
                <w:lang w:eastAsia="sk-SK"/>
              </w:rPr>
            </w:pPr>
            <w:r w:rsidRPr="00E777EA">
              <w:rPr>
                <w:rFonts w:cs="Arial"/>
                <w:b/>
                <w:color w:val="FFFFFF" w:themeColor="background1"/>
                <w:sz w:val="20"/>
                <w:szCs w:val="18"/>
                <w:lang w:eastAsia="sk-SK"/>
              </w:rPr>
              <w:t>12 t a viac </w:t>
            </w:r>
          </w:p>
        </w:tc>
        <w:tc>
          <w:tcPr>
            <w:tcW w:w="577" w:type="pct"/>
            <w:noWrap/>
            <w:vAlign w:val="bottom"/>
            <w:hideMark/>
          </w:tcPr>
          <w:p w:rsidR="0035156D" w:rsidRPr="0021472A" w:rsidRDefault="0035156D" w:rsidP="0021472A">
            <w:pPr>
              <w:pStyle w:val="tabbielystyl"/>
              <w:rPr>
                <w:szCs w:val="18"/>
              </w:rPr>
            </w:pPr>
            <w:r w:rsidRPr="0021472A">
              <w:rPr>
                <w:szCs w:val="20"/>
              </w:rPr>
              <w:t xml:space="preserve">0,082 </w:t>
            </w:r>
          </w:p>
        </w:tc>
        <w:tc>
          <w:tcPr>
            <w:tcW w:w="512" w:type="pct"/>
          </w:tcPr>
          <w:p w:rsidR="0035156D" w:rsidRPr="0021472A" w:rsidRDefault="0035156D" w:rsidP="0021472A">
            <w:pPr>
              <w:pStyle w:val="tabbielystyl"/>
              <w:rPr>
                <w:szCs w:val="20"/>
              </w:rPr>
            </w:pPr>
            <w:r w:rsidRPr="0021472A">
              <w:rPr>
                <w:szCs w:val="20"/>
              </w:rPr>
              <w:t>0,17</w:t>
            </w:r>
          </w:p>
        </w:tc>
        <w:tc>
          <w:tcPr>
            <w:tcW w:w="577" w:type="pct"/>
            <w:noWrap/>
            <w:vAlign w:val="bottom"/>
            <w:hideMark/>
          </w:tcPr>
          <w:p w:rsidR="0035156D" w:rsidRPr="0021472A" w:rsidRDefault="0035156D" w:rsidP="0021472A">
            <w:pPr>
              <w:pStyle w:val="tabbielystyl"/>
              <w:rPr>
                <w:szCs w:val="18"/>
              </w:rPr>
            </w:pPr>
            <w:r w:rsidRPr="0021472A">
              <w:rPr>
                <w:szCs w:val="20"/>
              </w:rPr>
              <w:t xml:space="preserve">0,072 </w:t>
            </w:r>
          </w:p>
        </w:tc>
        <w:tc>
          <w:tcPr>
            <w:tcW w:w="512" w:type="pct"/>
          </w:tcPr>
          <w:p w:rsidR="0035156D" w:rsidRPr="0021472A" w:rsidRDefault="0035156D" w:rsidP="0021472A">
            <w:pPr>
              <w:pStyle w:val="tabbielystyl"/>
              <w:rPr>
                <w:szCs w:val="20"/>
              </w:rPr>
            </w:pPr>
            <w:r w:rsidRPr="0021472A">
              <w:rPr>
                <w:szCs w:val="20"/>
              </w:rPr>
              <w:t>0,16</w:t>
            </w:r>
          </w:p>
        </w:tc>
        <w:tc>
          <w:tcPr>
            <w:tcW w:w="577" w:type="pct"/>
            <w:noWrap/>
            <w:vAlign w:val="bottom"/>
            <w:hideMark/>
          </w:tcPr>
          <w:p w:rsidR="0035156D" w:rsidRPr="0021472A" w:rsidRDefault="0035156D" w:rsidP="0021472A">
            <w:pPr>
              <w:pStyle w:val="tabbielystyl"/>
              <w:rPr>
                <w:szCs w:val="18"/>
              </w:rPr>
            </w:pPr>
            <w:r w:rsidRPr="0021472A">
              <w:rPr>
                <w:szCs w:val="20"/>
              </w:rPr>
              <w:t xml:space="preserve">0,041 </w:t>
            </w:r>
          </w:p>
        </w:tc>
        <w:tc>
          <w:tcPr>
            <w:tcW w:w="512" w:type="pct"/>
          </w:tcPr>
          <w:p w:rsidR="0035156D" w:rsidRPr="0021472A" w:rsidRDefault="0035156D" w:rsidP="0021472A">
            <w:pPr>
              <w:pStyle w:val="tabbielystyl"/>
              <w:rPr>
                <w:szCs w:val="20"/>
              </w:rPr>
            </w:pPr>
            <w:r w:rsidRPr="0021472A">
              <w:rPr>
                <w:szCs w:val="20"/>
              </w:rPr>
              <w:t>0,16</w:t>
            </w:r>
          </w:p>
        </w:tc>
      </w:tr>
    </w:tbl>
    <w:p w:rsidR="006E1623" w:rsidRDefault="006E1623" w:rsidP="000C6B9B">
      <w:pPr>
        <w:rPr>
          <w:szCs w:val="18"/>
        </w:rPr>
      </w:pPr>
    </w:p>
    <w:p w:rsidR="00B80C7F" w:rsidRDefault="00B80C7F" w:rsidP="000C6B9B">
      <w:pPr>
        <w:rPr>
          <w:szCs w:val="18"/>
        </w:rPr>
      </w:pPr>
      <w:r w:rsidRPr="00B80C7F">
        <w:rPr>
          <w:noProof/>
          <w:szCs w:val="18"/>
          <w:lang w:eastAsia="sk-SK"/>
        </w:rPr>
        <w:drawing>
          <wp:inline distT="0" distB="0" distL="0" distR="0">
            <wp:extent cx="5945491" cy="1800000"/>
            <wp:effectExtent l="19050" t="0" r="17159" b="0"/>
            <wp:docPr id="8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3845E5" w:rsidRDefault="003845E5" w:rsidP="003845E5">
      <w:pPr>
        <w:spacing w:before="0" w:after="200"/>
        <w:jc w:val="center"/>
        <w:rPr>
          <w:sz w:val="20"/>
        </w:rPr>
      </w:pPr>
      <w:bookmarkStart w:id="295" w:name="_Ref23928503"/>
      <w:bookmarkStart w:id="296" w:name="_Toc36664540"/>
      <w:r w:rsidRPr="00104F7F">
        <w:rPr>
          <w:sz w:val="20"/>
        </w:rPr>
        <w:t xml:space="preserve">Obr. </w:t>
      </w:r>
      <w:r w:rsidR="00D61B89">
        <w:rPr>
          <w:sz w:val="20"/>
        </w:rPr>
        <w:fldChar w:fldCharType="begin"/>
      </w:r>
      <w:r w:rsidR="00D61B89">
        <w:rPr>
          <w:sz w:val="20"/>
        </w:rPr>
        <w:instrText xml:space="preserve"> STYLEREF 1 \s </w:instrText>
      </w:r>
      <w:r w:rsidR="00D61B89">
        <w:rPr>
          <w:sz w:val="20"/>
        </w:rPr>
        <w:fldChar w:fldCharType="separate"/>
      </w:r>
      <w:r w:rsidR="00D61B89">
        <w:rPr>
          <w:noProof/>
          <w:sz w:val="20"/>
        </w:rPr>
        <w:t>3</w:t>
      </w:r>
      <w:r w:rsidR="00D61B89">
        <w:rPr>
          <w:sz w:val="20"/>
        </w:rPr>
        <w:fldChar w:fldCharType="end"/>
      </w:r>
      <w:r w:rsidR="00D61B89">
        <w:rPr>
          <w:sz w:val="20"/>
        </w:rPr>
        <w:noBreakHyphen/>
      </w:r>
      <w:r w:rsidR="00D61B89">
        <w:rPr>
          <w:sz w:val="20"/>
        </w:rPr>
        <w:fldChar w:fldCharType="begin"/>
      </w:r>
      <w:r w:rsidR="00D61B89">
        <w:rPr>
          <w:sz w:val="20"/>
        </w:rPr>
        <w:instrText xml:space="preserve"> SEQ Obr. \* ARABIC \s 1 </w:instrText>
      </w:r>
      <w:r w:rsidR="00D61B89">
        <w:rPr>
          <w:sz w:val="20"/>
        </w:rPr>
        <w:fldChar w:fldCharType="separate"/>
      </w:r>
      <w:r w:rsidR="00D61B89">
        <w:rPr>
          <w:noProof/>
          <w:sz w:val="20"/>
        </w:rPr>
        <w:t>9</w:t>
      </w:r>
      <w:r w:rsidR="00D61B89">
        <w:rPr>
          <w:sz w:val="20"/>
        </w:rPr>
        <w:fldChar w:fldCharType="end"/>
      </w:r>
      <w:bookmarkEnd w:id="295"/>
      <w:r w:rsidRPr="00104F7F">
        <w:rPr>
          <w:sz w:val="20"/>
        </w:rPr>
        <w:tab/>
      </w:r>
      <w:r>
        <w:rPr>
          <w:sz w:val="20"/>
        </w:rPr>
        <w:t>Porovnanie skutočných (2009, 2019) a</w:t>
      </w:r>
      <w:r w:rsidR="0068094D">
        <w:rPr>
          <w:sz w:val="20"/>
        </w:rPr>
        <w:t> </w:t>
      </w:r>
      <w:r>
        <w:rPr>
          <w:sz w:val="20"/>
        </w:rPr>
        <w:t>ekonomických</w:t>
      </w:r>
      <w:r w:rsidR="0068094D">
        <w:rPr>
          <w:sz w:val="20"/>
        </w:rPr>
        <w:t xml:space="preserve"> </w:t>
      </w:r>
      <w:r>
        <w:rPr>
          <w:sz w:val="20"/>
        </w:rPr>
        <w:t xml:space="preserve">sadzieb mýta v SR </w:t>
      </w:r>
      <w:r w:rsidR="0068094D">
        <w:rPr>
          <w:sz w:val="20"/>
        </w:rPr>
        <w:t>-</w:t>
      </w:r>
      <w:r>
        <w:rPr>
          <w:sz w:val="20"/>
        </w:rPr>
        <w:t xml:space="preserve"> c</w:t>
      </w:r>
      <w:r w:rsidR="0068094D">
        <w:rPr>
          <w:sz w:val="20"/>
        </w:rPr>
        <w:t>esty</w:t>
      </w:r>
      <w:r>
        <w:rPr>
          <w:sz w:val="20"/>
        </w:rPr>
        <w:t xml:space="preserve"> I. triedy (nesúbežn</w:t>
      </w:r>
      <w:r w:rsidR="0068094D">
        <w:rPr>
          <w:sz w:val="20"/>
        </w:rPr>
        <w:t xml:space="preserve">é), </w:t>
      </w:r>
      <w:r>
        <w:rPr>
          <w:sz w:val="20"/>
        </w:rPr>
        <w:t>nákladné vozidlá s hmotnosťou od 3,5 do 12 ton</w:t>
      </w:r>
      <w:r w:rsidRPr="00104F7F">
        <w:rPr>
          <w:sz w:val="20"/>
        </w:rPr>
        <w:t xml:space="preserve"> (</w:t>
      </w:r>
      <w:r>
        <w:rPr>
          <w:sz w:val="20"/>
        </w:rPr>
        <w:t>€/</w:t>
      </w:r>
      <w:r w:rsidRPr="00104F7F">
        <w:rPr>
          <w:sz w:val="20"/>
        </w:rPr>
        <w:t>km)</w:t>
      </w:r>
      <w:bookmarkEnd w:id="296"/>
    </w:p>
    <w:p w:rsidR="00B80C7F" w:rsidRDefault="00B80C7F" w:rsidP="000C6B9B">
      <w:pPr>
        <w:rPr>
          <w:szCs w:val="18"/>
        </w:rPr>
      </w:pPr>
      <w:r w:rsidRPr="00B80C7F">
        <w:rPr>
          <w:noProof/>
          <w:szCs w:val="18"/>
          <w:lang w:eastAsia="sk-SK"/>
        </w:rPr>
        <w:drawing>
          <wp:inline distT="0" distB="0" distL="0" distR="0">
            <wp:extent cx="5945491" cy="1800000"/>
            <wp:effectExtent l="19050" t="0" r="17159" b="0"/>
            <wp:docPr id="83"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3845E5" w:rsidRDefault="003845E5" w:rsidP="003845E5">
      <w:pPr>
        <w:spacing w:before="0" w:after="200"/>
        <w:jc w:val="center"/>
        <w:rPr>
          <w:sz w:val="20"/>
        </w:rPr>
      </w:pPr>
      <w:bookmarkStart w:id="297" w:name="_Ref23928507"/>
      <w:bookmarkStart w:id="298" w:name="_Toc36664541"/>
      <w:r w:rsidRPr="00104F7F">
        <w:rPr>
          <w:sz w:val="20"/>
        </w:rPr>
        <w:t xml:space="preserve">Obr. </w:t>
      </w:r>
      <w:r w:rsidR="00D61B89">
        <w:rPr>
          <w:sz w:val="20"/>
        </w:rPr>
        <w:fldChar w:fldCharType="begin"/>
      </w:r>
      <w:r w:rsidR="00D61B89">
        <w:rPr>
          <w:sz w:val="20"/>
        </w:rPr>
        <w:instrText xml:space="preserve"> STYLEREF 1 \s </w:instrText>
      </w:r>
      <w:r w:rsidR="00D61B89">
        <w:rPr>
          <w:sz w:val="20"/>
        </w:rPr>
        <w:fldChar w:fldCharType="separate"/>
      </w:r>
      <w:r w:rsidR="00D61B89">
        <w:rPr>
          <w:noProof/>
          <w:sz w:val="20"/>
        </w:rPr>
        <w:t>3</w:t>
      </w:r>
      <w:r w:rsidR="00D61B89">
        <w:rPr>
          <w:sz w:val="20"/>
        </w:rPr>
        <w:fldChar w:fldCharType="end"/>
      </w:r>
      <w:r w:rsidR="00D61B89">
        <w:rPr>
          <w:sz w:val="20"/>
        </w:rPr>
        <w:noBreakHyphen/>
      </w:r>
      <w:r w:rsidR="00D61B89">
        <w:rPr>
          <w:sz w:val="20"/>
        </w:rPr>
        <w:fldChar w:fldCharType="begin"/>
      </w:r>
      <w:r w:rsidR="00D61B89">
        <w:rPr>
          <w:sz w:val="20"/>
        </w:rPr>
        <w:instrText xml:space="preserve"> SEQ Obr. \* ARABIC \s 1 </w:instrText>
      </w:r>
      <w:r w:rsidR="00D61B89">
        <w:rPr>
          <w:sz w:val="20"/>
        </w:rPr>
        <w:fldChar w:fldCharType="separate"/>
      </w:r>
      <w:r w:rsidR="00D61B89">
        <w:rPr>
          <w:noProof/>
          <w:sz w:val="20"/>
        </w:rPr>
        <w:t>10</w:t>
      </w:r>
      <w:r w:rsidR="00D61B89">
        <w:rPr>
          <w:sz w:val="20"/>
        </w:rPr>
        <w:fldChar w:fldCharType="end"/>
      </w:r>
      <w:bookmarkEnd w:id="297"/>
      <w:r w:rsidRPr="00104F7F">
        <w:rPr>
          <w:sz w:val="20"/>
        </w:rPr>
        <w:tab/>
      </w:r>
      <w:r>
        <w:rPr>
          <w:sz w:val="20"/>
        </w:rPr>
        <w:t xml:space="preserve">Porovnanie skutočných (2009, 2019) a ekonomických sadzieb mýta v SR </w:t>
      </w:r>
      <w:r w:rsidR="0068094D">
        <w:rPr>
          <w:sz w:val="20"/>
        </w:rPr>
        <w:t>-</w:t>
      </w:r>
      <w:r>
        <w:rPr>
          <w:sz w:val="20"/>
        </w:rPr>
        <w:t xml:space="preserve"> c</w:t>
      </w:r>
      <w:r w:rsidR="0068094D">
        <w:rPr>
          <w:sz w:val="20"/>
        </w:rPr>
        <w:t>esty</w:t>
      </w:r>
      <w:r>
        <w:rPr>
          <w:sz w:val="20"/>
        </w:rPr>
        <w:t xml:space="preserve"> I. triedy (nesúbežn</w:t>
      </w:r>
      <w:r w:rsidR="0068094D">
        <w:rPr>
          <w:sz w:val="20"/>
        </w:rPr>
        <w:t>é</w:t>
      </w:r>
      <w:r>
        <w:rPr>
          <w:sz w:val="20"/>
        </w:rPr>
        <w:t>)</w:t>
      </w:r>
      <w:r w:rsidR="0068094D">
        <w:rPr>
          <w:sz w:val="20"/>
        </w:rPr>
        <w:t>,</w:t>
      </w:r>
      <w:r>
        <w:rPr>
          <w:sz w:val="20"/>
        </w:rPr>
        <w:t xml:space="preserve"> autobusy s hmotnosťou od 3,5 do 12 ton</w:t>
      </w:r>
      <w:r w:rsidRPr="00104F7F">
        <w:rPr>
          <w:sz w:val="20"/>
        </w:rPr>
        <w:t xml:space="preserve"> (</w:t>
      </w:r>
      <w:r>
        <w:rPr>
          <w:sz w:val="20"/>
        </w:rPr>
        <w:t>€/</w:t>
      </w:r>
      <w:r w:rsidRPr="00104F7F">
        <w:rPr>
          <w:sz w:val="20"/>
        </w:rPr>
        <w:t>km)</w:t>
      </w:r>
      <w:bookmarkEnd w:id="298"/>
    </w:p>
    <w:p w:rsidR="000C6B9B" w:rsidRDefault="000C6B9B" w:rsidP="000C6B9B">
      <w:r w:rsidRPr="00E62061">
        <w:rPr>
          <w:szCs w:val="18"/>
        </w:rPr>
        <w:t>Z </w:t>
      </w:r>
      <w:r>
        <w:rPr>
          <w:szCs w:val="18"/>
        </w:rPr>
        <w:t xml:space="preserve">vyššie uvedených </w:t>
      </w:r>
      <w:r w:rsidRPr="00E62061">
        <w:rPr>
          <w:szCs w:val="18"/>
        </w:rPr>
        <w:t>tabu</w:t>
      </w:r>
      <w:r>
        <w:rPr>
          <w:szCs w:val="18"/>
        </w:rPr>
        <w:t>liek</w:t>
      </w:r>
      <w:r w:rsidRPr="00E62061">
        <w:rPr>
          <w:szCs w:val="18"/>
        </w:rPr>
        <w:t xml:space="preserve"> </w:t>
      </w:r>
      <w:r w:rsidR="00D77D9F">
        <w:rPr>
          <w:szCs w:val="18"/>
        </w:rPr>
        <w:t xml:space="preserve">a grafov </w:t>
      </w:r>
      <w:r w:rsidRPr="00E62061">
        <w:rPr>
          <w:szCs w:val="18"/>
        </w:rPr>
        <w:t xml:space="preserve">vyplýva, že </w:t>
      </w:r>
      <w:r w:rsidRPr="00900E55">
        <w:rPr>
          <w:b/>
          <w:szCs w:val="18"/>
        </w:rPr>
        <w:t xml:space="preserve">na diaľniciach, rýchlostných cestách a cestách I. triedy boli určené sadzby </w:t>
      </w:r>
      <w:r w:rsidR="0021472A" w:rsidRPr="00900E55">
        <w:rPr>
          <w:b/>
          <w:szCs w:val="18"/>
        </w:rPr>
        <w:t xml:space="preserve">omnoho </w:t>
      </w:r>
      <w:r w:rsidRPr="00900E55">
        <w:rPr>
          <w:b/>
          <w:szCs w:val="18"/>
        </w:rPr>
        <w:t>nižšie ako vypočítané ekonomické sadzby</w:t>
      </w:r>
      <w:r w:rsidR="00B77097">
        <w:rPr>
          <w:szCs w:val="18"/>
        </w:rPr>
        <w:t xml:space="preserve">, </w:t>
      </w:r>
      <w:r w:rsidR="00B77097" w:rsidRPr="003C588A">
        <w:rPr>
          <w:b/>
          <w:szCs w:val="18"/>
        </w:rPr>
        <w:t>čo ovplyvnilo celkovú úroveň výnosnosti systému ETC.</w:t>
      </w:r>
      <w:r w:rsidR="00B77097">
        <w:rPr>
          <w:szCs w:val="18"/>
        </w:rPr>
        <w:t xml:space="preserve"> </w:t>
      </w:r>
      <w:r>
        <w:t xml:space="preserve">Je potrebné tiež pripomenúť, že mýtne sadzby pre autobusy a nákladné vozidlá s hmotnosťou od </w:t>
      </w:r>
      <w:r w:rsidRPr="00E00A85">
        <w:t>3,5 ton do 12 ton sú podstatne znížené politickým rozhodnutím vlády od roku 2009 do súčasnosti kvôli ochrane drobných podnikateľov a nezodpoveda</w:t>
      </w:r>
      <w:r w:rsidR="00B77097">
        <w:t xml:space="preserve">jú ekonomickému mýtu. </w:t>
      </w:r>
      <w:r w:rsidRPr="0021472A">
        <w:t>Takisto</w:t>
      </w:r>
      <w:r w:rsidRPr="00E00A85">
        <w:t xml:space="preserve"> sadzby pre ostatné kategórie vozidiel boli mierne znížené. Tieto opatrenia znižujú výnosy systému a</w:t>
      </w:r>
      <w:r w:rsidR="00B80C7F">
        <w:t xml:space="preserve"> ovplyvňujú celkovú efektívnosť systému v negatívnom zmysle. </w:t>
      </w:r>
      <w:r w:rsidR="0021472A">
        <w:t xml:space="preserve"> </w:t>
      </w:r>
    </w:p>
    <w:p w:rsidR="00063760" w:rsidRDefault="00063760" w:rsidP="00063760">
      <w:r>
        <w:t>Na základe dostupných údajov (SkyToll, a.s.) a podľa vypočítaných ekonomických sadzieb mýta (2009) riešiteľský kolektív realizoval prepočet teoretických výnosov z mýta pri uplatnení daných ekonomických sadzieb v roku 2018 (</w:t>
      </w:r>
      <w:r w:rsidR="00AE5B8A">
        <w:fldChar w:fldCharType="begin"/>
      </w:r>
      <w:r>
        <w:instrText xml:space="preserve"> REF _Ref23099305 \h </w:instrText>
      </w:r>
      <w:r w:rsidR="00AE5B8A">
        <w:fldChar w:fldCharType="separate"/>
      </w:r>
      <w:r w:rsidR="001E4C1C">
        <w:t xml:space="preserve">Tab.  </w:t>
      </w:r>
      <w:r w:rsidR="001E4C1C">
        <w:rPr>
          <w:noProof/>
        </w:rPr>
        <w:t>3</w:t>
      </w:r>
      <w:r w:rsidR="001E4C1C">
        <w:noBreakHyphen/>
      </w:r>
      <w:r w:rsidR="001E4C1C">
        <w:rPr>
          <w:noProof/>
        </w:rPr>
        <w:t>4</w:t>
      </w:r>
      <w:r w:rsidR="00AE5B8A">
        <w:fldChar w:fldCharType="end"/>
      </w:r>
      <w:r>
        <w:t xml:space="preserve">). </w:t>
      </w:r>
      <w:r w:rsidR="0035156D">
        <w:t>V</w:t>
      </w:r>
      <w:r>
        <w:t xml:space="preserve"> prepočtoch teoretického výnosu </w:t>
      </w:r>
      <w:r w:rsidR="00991EA3">
        <w:t xml:space="preserve">boli </w:t>
      </w:r>
      <w:r>
        <w:t xml:space="preserve">použité priemerné sadzby na diaľniciach a priemerné sadzby za jednotlivé kategórie vozidiel na nesúbežných cestách I. triedy pre existujúce aj ekonomické mýtne sadzby. Výsledný teoretický výnos bol porovnaný so skutočnými výnosmi podľa údajov SkyToll, a.s. z roku 2018. </w:t>
      </w:r>
      <w:r w:rsidRPr="0035156D">
        <w:rPr>
          <w:b/>
        </w:rPr>
        <w:t>Rozdiel predstavuje spolu 53,</w:t>
      </w:r>
      <w:r w:rsidR="0035156D" w:rsidRPr="0035156D">
        <w:rPr>
          <w:b/>
        </w:rPr>
        <w:t>6</w:t>
      </w:r>
      <w:r w:rsidRPr="0035156D">
        <w:rPr>
          <w:b/>
        </w:rPr>
        <w:t xml:space="preserve"> mil. EUR, 25% reálnych výnosov v roku 2018.</w:t>
      </w:r>
      <w:r>
        <w:t xml:space="preserve"> </w:t>
      </w:r>
    </w:p>
    <w:p w:rsidR="00063760" w:rsidRDefault="00063760" w:rsidP="00063760">
      <w:pPr>
        <w:pStyle w:val="tabstyl"/>
      </w:pPr>
      <w:bookmarkStart w:id="299" w:name="_Ref23099305"/>
      <w:bookmarkStart w:id="300" w:name="_Toc36664498"/>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4</w:t>
      </w:r>
      <w:r w:rsidR="00C40D3F">
        <w:rPr>
          <w:noProof/>
        </w:rPr>
        <w:fldChar w:fldCharType="end"/>
      </w:r>
      <w:bookmarkEnd w:id="299"/>
      <w:r>
        <w:tab/>
        <w:t>Teoretické výnosy z mýta (2018) pri zavedení ekonomických sadzieb mýta</w:t>
      </w:r>
      <w:bookmarkEnd w:id="300"/>
    </w:p>
    <w:tbl>
      <w:tblPr>
        <w:tblStyle w:val="tabulkaVUD"/>
        <w:tblW w:w="5000" w:type="pct"/>
        <w:tblLook w:val="04A0" w:firstRow="1" w:lastRow="0" w:firstColumn="1" w:lastColumn="0" w:noHBand="0" w:noVBand="1"/>
      </w:tblPr>
      <w:tblGrid>
        <w:gridCol w:w="4994"/>
        <w:gridCol w:w="1698"/>
        <w:gridCol w:w="1560"/>
        <w:gridCol w:w="1159"/>
      </w:tblGrid>
      <w:tr w:rsidR="00063760" w:rsidRPr="00FD10FB" w:rsidTr="00063760">
        <w:trPr>
          <w:cnfStyle w:val="100000000000" w:firstRow="1" w:lastRow="0" w:firstColumn="0" w:lastColumn="0" w:oddVBand="0" w:evenVBand="0" w:oddHBand="0" w:evenHBand="0" w:firstRowFirstColumn="0" w:firstRowLastColumn="0" w:lastRowFirstColumn="0" w:lastRowLastColumn="0"/>
          <w:trHeight w:val="480"/>
          <w:tblHeader/>
        </w:trPr>
        <w:tc>
          <w:tcPr>
            <w:tcW w:w="2653" w:type="pct"/>
            <w:noWrap/>
            <w:hideMark/>
          </w:tcPr>
          <w:p w:rsidR="00063760" w:rsidRPr="00991EA3" w:rsidRDefault="00063760" w:rsidP="009D58D5">
            <w:pPr>
              <w:pStyle w:val="zahltab"/>
            </w:pPr>
            <w:r w:rsidRPr="00991EA3">
              <w:t>Celkové tržby podľa hmotnostnej kategórie vozidla</w:t>
            </w:r>
          </w:p>
        </w:tc>
        <w:tc>
          <w:tcPr>
            <w:tcW w:w="902" w:type="pct"/>
            <w:hideMark/>
          </w:tcPr>
          <w:p w:rsidR="00063760" w:rsidRPr="00991EA3" w:rsidRDefault="00063760" w:rsidP="009D58D5">
            <w:pPr>
              <w:pStyle w:val="zahltab"/>
            </w:pPr>
            <w:r w:rsidRPr="00991EA3">
              <w:t>Teoretický výnos 2018</w:t>
            </w:r>
          </w:p>
        </w:tc>
        <w:tc>
          <w:tcPr>
            <w:tcW w:w="829" w:type="pct"/>
          </w:tcPr>
          <w:p w:rsidR="00063760" w:rsidRPr="00991EA3" w:rsidRDefault="00063760" w:rsidP="009D58D5">
            <w:pPr>
              <w:pStyle w:val="zahltab"/>
            </w:pPr>
            <w:r w:rsidRPr="00991EA3">
              <w:t>Reálny výnos</w:t>
            </w:r>
          </w:p>
          <w:p w:rsidR="00063760" w:rsidRPr="00991EA3" w:rsidRDefault="00063760" w:rsidP="009D58D5">
            <w:pPr>
              <w:pStyle w:val="zahltab"/>
            </w:pPr>
            <w:r w:rsidRPr="00991EA3">
              <w:t xml:space="preserve"> 2018</w:t>
            </w:r>
          </w:p>
        </w:tc>
        <w:tc>
          <w:tcPr>
            <w:tcW w:w="616" w:type="pct"/>
            <w:hideMark/>
          </w:tcPr>
          <w:p w:rsidR="00063760" w:rsidRPr="00991EA3" w:rsidRDefault="00063760" w:rsidP="009D58D5">
            <w:pPr>
              <w:pStyle w:val="zahltab"/>
            </w:pPr>
            <w:r w:rsidRPr="00991EA3">
              <w:t>ROZDIEL</w:t>
            </w:r>
          </w:p>
        </w:tc>
      </w:tr>
      <w:tr w:rsidR="00063760" w:rsidRPr="00FD10FB" w:rsidTr="00063760">
        <w:trPr>
          <w:trHeight w:val="240"/>
        </w:trPr>
        <w:tc>
          <w:tcPr>
            <w:tcW w:w="2653" w:type="pct"/>
            <w:noWrap/>
            <w:hideMark/>
          </w:tcPr>
          <w:p w:rsidR="00063760" w:rsidRPr="00FD10FB" w:rsidRDefault="00063760" w:rsidP="00063760">
            <w:pPr>
              <w:pStyle w:val="tabbielystyl"/>
              <w:jc w:val="left"/>
            </w:pPr>
            <w:r w:rsidRPr="00FD10FB">
              <w:t>NV 3,5 – 12 t</w:t>
            </w:r>
          </w:p>
        </w:tc>
        <w:tc>
          <w:tcPr>
            <w:tcW w:w="902" w:type="pct"/>
            <w:noWrap/>
            <w:hideMark/>
          </w:tcPr>
          <w:p w:rsidR="00063760" w:rsidRPr="00FD10FB" w:rsidRDefault="00063760" w:rsidP="00063760">
            <w:pPr>
              <w:pStyle w:val="tabbielystyl"/>
            </w:pPr>
            <w:r w:rsidRPr="00FD10FB">
              <w:t>35 097 277 €</w:t>
            </w:r>
          </w:p>
        </w:tc>
        <w:tc>
          <w:tcPr>
            <w:tcW w:w="829" w:type="pct"/>
          </w:tcPr>
          <w:p w:rsidR="00063760" w:rsidRPr="00FD10FB" w:rsidRDefault="00063760" w:rsidP="00063760">
            <w:pPr>
              <w:pStyle w:val="tabbielystyl"/>
            </w:pPr>
            <w:r w:rsidRPr="00FD10FB">
              <w:t>15 389 532 €</w:t>
            </w:r>
          </w:p>
        </w:tc>
        <w:tc>
          <w:tcPr>
            <w:tcW w:w="616" w:type="pct"/>
            <w:noWrap/>
            <w:hideMark/>
          </w:tcPr>
          <w:p w:rsidR="00063760" w:rsidRPr="00FD10FB" w:rsidRDefault="00063760" w:rsidP="00063760">
            <w:pPr>
              <w:pStyle w:val="tabbielystyl"/>
            </w:pPr>
            <w:r w:rsidRPr="00FD10FB">
              <w:t>19 707 745 €</w:t>
            </w:r>
          </w:p>
        </w:tc>
      </w:tr>
      <w:tr w:rsidR="00063760" w:rsidRPr="00FD10FB" w:rsidTr="00063760">
        <w:trPr>
          <w:trHeight w:val="240"/>
        </w:trPr>
        <w:tc>
          <w:tcPr>
            <w:tcW w:w="2653" w:type="pct"/>
            <w:noWrap/>
            <w:hideMark/>
          </w:tcPr>
          <w:p w:rsidR="00063760" w:rsidRPr="00FD10FB" w:rsidRDefault="00063760" w:rsidP="00063760">
            <w:pPr>
              <w:pStyle w:val="tabbielystyl"/>
              <w:jc w:val="left"/>
            </w:pPr>
            <w:r w:rsidRPr="00FD10FB">
              <w:t>nad 12 t - 2 nápravy</w:t>
            </w:r>
          </w:p>
        </w:tc>
        <w:tc>
          <w:tcPr>
            <w:tcW w:w="902" w:type="pct"/>
            <w:noWrap/>
            <w:hideMark/>
          </w:tcPr>
          <w:p w:rsidR="00063760" w:rsidRPr="00FD10FB" w:rsidRDefault="00063760" w:rsidP="00063760">
            <w:pPr>
              <w:pStyle w:val="tabbielystyl"/>
            </w:pPr>
            <w:r w:rsidRPr="00FD10FB">
              <w:t>194 185 066 €</w:t>
            </w:r>
          </w:p>
        </w:tc>
        <w:tc>
          <w:tcPr>
            <w:tcW w:w="829" w:type="pct"/>
          </w:tcPr>
          <w:p w:rsidR="00063760" w:rsidRPr="00FD10FB" w:rsidRDefault="00063760" w:rsidP="00063760">
            <w:pPr>
              <w:pStyle w:val="tabbielystyl"/>
            </w:pPr>
            <w:r w:rsidRPr="00FD10FB">
              <w:t>171 383 544 €</w:t>
            </w:r>
          </w:p>
        </w:tc>
        <w:tc>
          <w:tcPr>
            <w:tcW w:w="616" w:type="pct"/>
            <w:noWrap/>
            <w:hideMark/>
          </w:tcPr>
          <w:p w:rsidR="00063760" w:rsidRPr="00FD10FB" w:rsidRDefault="00063760" w:rsidP="00063760">
            <w:pPr>
              <w:pStyle w:val="tabbielystyl"/>
            </w:pPr>
            <w:r w:rsidRPr="00FD10FB">
              <w:t>22 801 522 €</w:t>
            </w:r>
          </w:p>
        </w:tc>
      </w:tr>
      <w:tr w:rsidR="00063760" w:rsidRPr="00FD10FB" w:rsidTr="00063760">
        <w:trPr>
          <w:trHeight w:val="240"/>
        </w:trPr>
        <w:tc>
          <w:tcPr>
            <w:tcW w:w="2653" w:type="pct"/>
            <w:noWrap/>
            <w:hideMark/>
          </w:tcPr>
          <w:p w:rsidR="00063760" w:rsidRPr="00FD10FB" w:rsidRDefault="00063760" w:rsidP="00063760">
            <w:pPr>
              <w:pStyle w:val="tabbielystyl"/>
              <w:jc w:val="left"/>
            </w:pPr>
            <w:r w:rsidRPr="00FD10FB">
              <w:t>nad 12 t - 3 nápravy</w:t>
            </w:r>
          </w:p>
        </w:tc>
        <w:tc>
          <w:tcPr>
            <w:tcW w:w="902" w:type="pct"/>
            <w:noWrap/>
            <w:hideMark/>
          </w:tcPr>
          <w:p w:rsidR="00063760" w:rsidRPr="00FD10FB" w:rsidRDefault="00063760" w:rsidP="00063760">
            <w:pPr>
              <w:pStyle w:val="tabbielystyl"/>
            </w:pPr>
            <w:r w:rsidRPr="00FD10FB">
              <w:t>18 930 962 €</w:t>
            </w:r>
          </w:p>
        </w:tc>
        <w:tc>
          <w:tcPr>
            <w:tcW w:w="829" w:type="pct"/>
          </w:tcPr>
          <w:p w:rsidR="00063760" w:rsidRPr="00FD10FB" w:rsidRDefault="00063760" w:rsidP="00063760">
            <w:pPr>
              <w:pStyle w:val="tabbielystyl"/>
            </w:pPr>
            <w:r w:rsidRPr="00FD10FB">
              <w:t>16 701 847 €</w:t>
            </w:r>
          </w:p>
        </w:tc>
        <w:tc>
          <w:tcPr>
            <w:tcW w:w="616" w:type="pct"/>
            <w:noWrap/>
            <w:hideMark/>
          </w:tcPr>
          <w:p w:rsidR="00063760" w:rsidRPr="00FD10FB" w:rsidRDefault="00063760" w:rsidP="00063760">
            <w:pPr>
              <w:pStyle w:val="tabbielystyl"/>
            </w:pPr>
            <w:r w:rsidRPr="00FD10FB">
              <w:t>2 229 115 €</w:t>
            </w:r>
          </w:p>
        </w:tc>
      </w:tr>
      <w:tr w:rsidR="00063760" w:rsidRPr="00FD10FB" w:rsidTr="00063760">
        <w:trPr>
          <w:trHeight w:val="240"/>
        </w:trPr>
        <w:tc>
          <w:tcPr>
            <w:tcW w:w="2653" w:type="pct"/>
            <w:noWrap/>
            <w:hideMark/>
          </w:tcPr>
          <w:p w:rsidR="00063760" w:rsidRPr="00FD10FB" w:rsidRDefault="00063760" w:rsidP="00063760">
            <w:pPr>
              <w:pStyle w:val="tabbielystyl"/>
              <w:jc w:val="left"/>
            </w:pPr>
            <w:r w:rsidRPr="00FD10FB">
              <w:t>nad 12 t - 4 nápravy</w:t>
            </w:r>
          </w:p>
        </w:tc>
        <w:tc>
          <w:tcPr>
            <w:tcW w:w="902" w:type="pct"/>
            <w:noWrap/>
            <w:hideMark/>
          </w:tcPr>
          <w:p w:rsidR="00063760" w:rsidRPr="00FD10FB" w:rsidRDefault="00063760" w:rsidP="00063760">
            <w:pPr>
              <w:pStyle w:val="tabbielystyl"/>
            </w:pPr>
            <w:r w:rsidRPr="00FD10FB">
              <w:t>2 776 124 €</w:t>
            </w:r>
          </w:p>
        </w:tc>
        <w:tc>
          <w:tcPr>
            <w:tcW w:w="829" w:type="pct"/>
          </w:tcPr>
          <w:p w:rsidR="00063760" w:rsidRPr="00FD10FB" w:rsidRDefault="00063760" w:rsidP="00063760">
            <w:pPr>
              <w:pStyle w:val="tabbielystyl"/>
            </w:pPr>
            <w:r w:rsidRPr="00FD10FB">
              <w:t>2 461 921 €</w:t>
            </w:r>
          </w:p>
        </w:tc>
        <w:tc>
          <w:tcPr>
            <w:tcW w:w="616" w:type="pct"/>
            <w:noWrap/>
            <w:hideMark/>
          </w:tcPr>
          <w:p w:rsidR="00063760" w:rsidRPr="00FD10FB" w:rsidRDefault="00063760" w:rsidP="00063760">
            <w:pPr>
              <w:pStyle w:val="tabbielystyl"/>
            </w:pPr>
            <w:r w:rsidRPr="00FD10FB">
              <w:t>314 203 €</w:t>
            </w:r>
          </w:p>
        </w:tc>
      </w:tr>
      <w:tr w:rsidR="00063760" w:rsidRPr="00FD10FB" w:rsidTr="00063760">
        <w:trPr>
          <w:trHeight w:val="325"/>
        </w:trPr>
        <w:tc>
          <w:tcPr>
            <w:tcW w:w="2653" w:type="pct"/>
            <w:noWrap/>
            <w:hideMark/>
          </w:tcPr>
          <w:p w:rsidR="00063760" w:rsidRPr="00FD10FB" w:rsidRDefault="00063760" w:rsidP="00063760">
            <w:pPr>
              <w:pStyle w:val="tabbielystyl"/>
              <w:jc w:val="left"/>
            </w:pPr>
            <w:r w:rsidRPr="00FD10FB">
              <w:t>nad 12 t - 5 náprav a viac</w:t>
            </w:r>
          </w:p>
        </w:tc>
        <w:tc>
          <w:tcPr>
            <w:tcW w:w="902" w:type="pct"/>
            <w:noWrap/>
            <w:hideMark/>
          </w:tcPr>
          <w:p w:rsidR="00063760" w:rsidRPr="00FD10FB" w:rsidRDefault="00063760" w:rsidP="00063760">
            <w:pPr>
              <w:pStyle w:val="tabbielystyl"/>
            </w:pPr>
            <w:r w:rsidRPr="00FD10FB">
              <w:t>2 735 951 €</w:t>
            </w:r>
          </w:p>
        </w:tc>
        <w:tc>
          <w:tcPr>
            <w:tcW w:w="829" w:type="pct"/>
          </w:tcPr>
          <w:p w:rsidR="00063760" w:rsidRPr="00FD10FB" w:rsidRDefault="00063760" w:rsidP="00063760">
            <w:pPr>
              <w:pStyle w:val="tabbielystyl"/>
            </w:pPr>
            <w:r w:rsidRPr="00FD10FB">
              <w:t>2 403 215 €</w:t>
            </w:r>
          </w:p>
        </w:tc>
        <w:tc>
          <w:tcPr>
            <w:tcW w:w="616" w:type="pct"/>
            <w:noWrap/>
            <w:hideMark/>
          </w:tcPr>
          <w:p w:rsidR="00063760" w:rsidRPr="00FD10FB" w:rsidRDefault="00063760" w:rsidP="00063760">
            <w:pPr>
              <w:pStyle w:val="tabbielystyl"/>
            </w:pPr>
            <w:r w:rsidRPr="00FD10FB">
              <w:t>332 736 €</w:t>
            </w:r>
          </w:p>
        </w:tc>
      </w:tr>
      <w:tr w:rsidR="00063760" w:rsidRPr="00FD10FB" w:rsidTr="00063760">
        <w:trPr>
          <w:trHeight w:val="240"/>
        </w:trPr>
        <w:tc>
          <w:tcPr>
            <w:tcW w:w="2653" w:type="pct"/>
            <w:noWrap/>
            <w:hideMark/>
          </w:tcPr>
          <w:p w:rsidR="00063760" w:rsidRPr="00FD10FB" w:rsidRDefault="00063760" w:rsidP="00063760">
            <w:pPr>
              <w:pStyle w:val="tabbielystyl"/>
              <w:jc w:val="left"/>
            </w:pPr>
            <w:r w:rsidRPr="00FD10FB">
              <w:t>BUS 3,5 t – 12 t</w:t>
            </w:r>
          </w:p>
        </w:tc>
        <w:tc>
          <w:tcPr>
            <w:tcW w:w="902" w:type="pct"/>
            <w:noWrap/>
            <w:hideMark/>
          </w:tcPr>
          <w:p w:rsidR="00063760" w:rsidRPr="00FD10FB" w:rsidRDefault="00063760" w:rsidP="00063760">
            <w:pPr>
              <w:pStyle w:val="tabbielystyl"/>
            </w:pPr>
            <w:r w:rsidRPr="00FD10FB">
              <w:t>1 443 444 €</w:t>
            </w:r>
          </w:p>
        </w:tc>
        <w:tc>
          <w:tcPr>
            <w:tcW w:w="829" w:type="pct"/>
          </w:tcPr>
          <w:p w:rsidR="00063760" w:rsidRPr="00FD10FB" w:rsidRDefault="00063760" w:rsidP="00063760">
            <w:pPr>
              <w:pStyle w:val="tabbielystyl"/>
            </w:pPr>
            <w:r w:rsidRPr="00FD10FB">
              <w:t>300 291 €</w:t>
            </w:r>
          </w:p>
        </w:tc>
        <w:tc>
          <w:tcPr>
            <w:tcW w:w="616" w:type="pct"/>
            <w:noWrap/>
            <w:hideMark/>
          </w:tcPr>
          <w:p w:rsidR="00063760" w:rsidRPr="00FD10FB" w:rsidRDefault="00063760" w:rsidP="00063760">
            <w:pPr>
              <w:pStyle w:val="tabbielystyl"/>
            </w:pPr>
            <w:r w:rsidRPr="00FD10FB">
              <w:t>1 143 152 €</w:t>
            </w:r>
          </w:p>
        </w:tc>
      </w:tr>
      <w:tr w:rsidR="00063760" w:rsidRPr="00FD10FB" w:rsidTr="00063760">
        <w:trPr>
          <w:trHeight w:val="255"/>
        </w:trPr>
        <w:tc>
          <w:tcPr>
            <w:tcW w:w="2653" w:type="pct"/>
            <w:noWrap/>
            <w:hideMark/>
          </w:tcPr>
          <w:p w:rsidR="00063760" w:rsidRPr="00FD10FB" w:rsidRDefault="00063760" w:rsidP="00063760">
            <w:pPr>
              <w:pStyle w:val="tabbielystyl"/>
              <w:jc w:val="left"/>
            </w:pPr>
            <w:r w:rsidRPr="00FD10FB">
              <w:t>nad 12 t</w:t>
            </w:r>
          </w:p>
        </w:tc>
        <w:tc>
          <w:tcPr>
            <w:tcW w:w="902" w:type="pct"/>
            <w:noWrap/>
            <w:hideMark/>
          </w:tcPr>
          <w:p w:rsidR="00063760" w:rsidRPr="00FD10FB" w:rsidRDefault="00063760" w:rsidP="00063760">
            <w:pPr>
              <w:pStyle w:val="tabbielystyl"/>
            </w:pPr>
            <w:r w:rsidRPr="00FD10FB">
              <w:t>11 764 809 €</w:t>
            </w:r>
          </w:p>
        </w:tc>
        <w:tc>
          <w:tcPr>
            <w:tcW w:w="829" w:type="pct"/>
          </w:tcPr>
          <w:p w:rsidR="00063760" w:rsidRPr="00FD10FB" w:rsidRDefault="00063760" w:rsidP="00063760">
            <w:pPr>
              <w:pStyle w:val="tabbielystyl"/>
            </w:pPr>
            <w:r w:rsidRPr="00FD10FB">
              <w:t>4 735 743 €</w:t>
            </w:r>
          </w:p>
        </w:tc>
        <w:tc>
          <w:tcPr>
            <w:tcW w:w="616" w:type="pct"/>
            <w:noWrap/>
            <w:hideMark/>
          </w:tcPr>
          <w:p w:rsidR="00063760" w:rsidRPr="00FD10FB" w:rsidRDefault="00063760" w:rsidP="00063760">
            <w:pPr>
              <w:pStyle w:val="tabbielystyl"/>
            </w:pPr>
            <w:r w:rsidRPr="00FD10FB">
              <w:t>7 029 066 €</w:t>
            </w:r>
          </w:p>
        </w:tc>
      </w:tr>
      <w:tr w:rsidR="00063760" w:rsidRPr="00E5442B" w:rsidTr="00063760">
        <w:trPr>
          <w:trHeight w:val="255"/>
        </w:trPr>
        <w:tc>
          <w:tcPr>
            <w:tcW w:w="2653" w:type="pct"/>
            <w:shd w:val="clear" w:color="auto" w:fill="F2F2F2" w:themeFill="background1" w:themeFillShade="F2"/>
            <w:noWrap/>
            <w:hideMark/>
          </w:tcPr>
          <w:p w:rsidR="00063760" w:rsidRPr="00E5442B" w:rsidRDefault="00063760" w:rsidP="00063760">
            <w:pPr>
              <w:spacing w:after="0" w:line="240" w:lineRule="auto"/>
              <w:jc w:val="right"/>
              <w:rPr>
                <w:b/>
                <w:i/>
                <w:sz w:val="20"/>
                <w:szCs w:val="20"/>
                <w:lang w:eastAsia="sk-SK"/>
              </w:rPr>
            </w:pPr>
            <w:r w:rsidRPr="00E5442B">
              <w:rPr>
                <w:b/>
                <w:i/>
                <w:sz w:val="20"/>
                <w:szCs w:val="20"/>
                <w:lang w:eastAsia="sk-SK"/>
              </w:rPr>
              <w:t>Celkom</w:t>
            </w:r>
          </w:p>
        </w:tc>
        <w:tc>
          <w:tcPr>
            <w:tcW w:w="902" w:type="pct"/>
            <w:shd w:val="clear" w:color="auto" w:fill="F2F2F2" w:themeFill="background1" w:themeFillShade="F2"/>
            <w:noWrap/>
            <w:hideMark/>
          </w:tcPr>
          <w:p w:rsidR="00063760" w:rsidRPr="00E5442B" w:rsidRDefault="00063760" w:rsidP="00063760">
            <w:pPr>
              <w:spacing w:after="0" w:line="240" w:lineRule="auto"/>
              <w:jc w:val="right"/>
              <w:rPr>
                <w:b/>
                <w:bCs/>
                <w:i/>
                <w:sz w:val="20"/>
                <w:szCs w:val="20"/>
                <w:lang w:eastAsia="sk-SK"/>
              </w:rPr>
            </w:pPr>
            <w:r w:rsidRPr="00E5442B">
              <w:rPr>
                <w:b/>
                <w:bCs/>
                <w:i/>
                <w:sz w:val="20"/>
                <w:szCs w:val="20"/>
                <w:lang w:eastAsia="sk-SK"/>
              </w:rPr>
              <w:t>266 933 633 €</w:t>
            </w:r>
          </w:p>
        </w:tc>
        <w:tc>
          <w:tcPr>
            <w:tcW w:w="829" w:type="pct"/>
            <w:shd w:val="clear" w:color="auto" w:fill="F2F2F2" w:themeFill="background1" w:themeFillShade="F2"/>
          </w:tcPr>
          <w:p w:rsidR="00063760" w:rsidRPr="00E5442B" w:rsidRDefault="00063760" w:rsidP="00063760">
            <w:pPr>
              <w:spacing w:after="0" w:line="240" w:lineRule="auto"/>
              <w:jc w:val="right"/>
              <w:rPr>
                <w:b/>
                <w:bCs/>
                <w:i/>
                <w:sz w:val="20"/>
                <w:szCs w:val="20"/>
                <w:lang w:eastAsia="sk-SK"/>
              </w:rPr>
            </w:pPr>
            <w:r w:rsidRPr="00E5442B">
              <w:rPr>
                <w:b/>
                <w:bCs/>
                <w:i/>
                <w:sz w:val="20"/>
                <w:szCs w:val="20"/>
                <w:lang w:eastAsia="sk-SK"/>
              </w:rPr>
              <w:t>213 376 093 €</w:t>
            </w:r>
          </w:p>
        </w:tc>
        <w:tc>
          <w:tcPr>
            <w:tcW w:w="616" w:type="pct"/>
            <w:shd w:val="clear" w:color="auto" w:fill="F2F2F2" w:themeFill="background1" w:themeFillShade="F2"/>
            <w:noWrap/>
            <w:hideMark/>
          </w:tcPr>
          <w:p w:rsidR="00063760" w:rsidRPr="00E5442B" w:rsidRDefault="00063760" w:rsidP="00063760">
            <w:pPr>
              <w:spacing w:after="0" w:line="240" w:lineRule="auto"/>
              <w:jc w:val="right"/>
              <w:rPr>
                <w:b/>
                <w:i/>
                <w:sz w:val="20"/>
                <w:szCs w:val="20"/>
                <w:lang w:eastAsia="sk-SK"/>
              </w:rPr>
            </w:pPr>
            <w:r w:rsidRPr="00E5442B">
              <w:rPr>
                <w:b/>
                <w:i/>
                <w:sz w:val="20"/>
                <w:szCs w:val="20"/>
                <w:lang w:eastAsia="sk-SK"/>
              </w:rPr>
              <w:t>53 557 540 €</w:t>
            </w:r>
          </w:p>
        </w:tc>
      </w:tr>
    </w:tbl>
    <w:p w:rsidR="005E1F0D" w:rsidRDefault="006B442C" w:rsidP="003D0983">
      <w:pPr>
        <w:pStyle w:val="Nadpis4"/>
      </w:pPr>
      <w:bookmarkStart w:id="301" w:name="_Toc36664413"/>
      <w:r>
        <w:t>P</w:t>
      </w:r>
      <w:r w:rsidR="005E1F0D">
        <w:t xml:space="preserve">orovnanie skutočných sadzieb </w:t>
      </w:r>
      <w:r w:rsidR="00F20FA7">
        <w:t>mýta v SR so sadzbami v zahraničí</w:t>
      </w:r>
      <w:bookmarkEnd w:id="301"/>
    </w:p>
    <w:p w:rsidR="00B33B85" w:rsidRDefault="00F20FA7" w:rsidP="0021472A">
      <w:r>
        <w:t xml:space="preserve">V predchádzajúcej časti štúdie boli v rámci vyhodnotenia vozokilometrickej efektívnosti systémov ETC vypočítané priemerné </w:t>
      </w:r>
      <w:r w:rsidR="00B33B85">
        <w:t xml:space="preserve">mýtne </w:t>
      </w:r>
      <w:r>
        <w:t xml:space="preserve">sadzby </w:t>
      </w:r>
      <w:r w:rsidR="00B33B85">
        <w:t>systémov ETC</w:t>
      </w:r>
      <w:r w:rsidR="00B77097">
        <w:t>, ktoré reprezentovali priemerný výber mýta</w:t>
      </w:r>
      <w:r w:rsidR="00B33B85">
        <w:t xml:space="preserve"> </w:t>
      </w:r>
      <w:r>
        <w:t xml:space="preserve">za prejazd priemerného kilometra spoplatnenej siete priemerným povinným vozidlom. </w:t>
      </w:r>
      <w:r w:rsidR="00B33B85">
        <w:t xml:space="preserve">Priemerné sadzby boli vypočítané za obdobie prvých 9 rokov prevádzky systému ETC. </w:t>
      </w:r>
      <w:r w:rsidR="00D77D9F">
        <w:t>Priemerná sadzba v SR a ČR vychádzala na úrovni 0,154 €/vkm, v Nemecku 0,147 €/vkm, v Poľs</w:t>
      </w:r>
      <w:r w:rsidR="006E1623">
        <w:t>ku 0,067€/vkm a v Rakúsku 0,317 </w:t>
      </w:r>
      <w:r w:rsidR="00D77D9F">
        <w:t xml:space="preserve">€/vkm. </w:t>
      </w:r>
    </w:p>
    <w:p w:rsidR="0021472A" w:rsidRDefault="00F20FA7" w:rsidP="0021472A">
      <w:r>
        <w:t xml:space="preserve">V tejto časti sa riešiteľský kolektív zameriava na porovnanie skutočných sadzieb </w:t>
      </w:r>
      <w:r w:rsidR="00B33B85">
        <w:t xml:space="preserve">mýta v jednotlivých krajinách </w:t>
      </w:r>
      <w:r w:rsidR="00D77D9F">
        <w:t xml:space="preserve">za obdobie rokov 2010 až 2018. </w:t>
      </w:r>
      <w:r w:rsidR="0021472A">
        <w:t>Pretože krajiny majú mýtne sadzby odstupňované podľa kategórie ciest a vozidiel, hmotnosti vozidiel a v rámci</w:t>
      </w:r>
      <w:r w:rsidR="00B77097">
        <w:t xml:space="preserve"> nich podľa emisných kategórií</w:t>
      </w:r>
      <w:r w:rsidR="0021472A">
        <w:t xml:space="preserve">, porovnávacích kritérií je veľa. </w:t>
      </w:r>
      <w:r w:rsidR="00B77097">
        <w:t>Z toho dôvodu sú ďalej porovnávané sadzby za jednotlivé kategórie povinných vozidiel na diaľniciach a cestách I. triedy len v jednej emisnej triede</w:t>
      </w:r>
      <w:r w:rsidR="000F21F7">
        <w:t xml:space="preserve"> (EURO IV). </w:t>
      </w:r>
      <w:r w:rsidR="0021472A">
        <w:t xml:space="preserve">Prehľady mýtnych sadzieb jednotlivých porovnávaných krajín </w:t>
      </w:r>
      <w:r w:rsidR="00B77097">
        <w:t xml:space="preserve">vo všetkých emisných triedach za roky 2010-2018 </w:t>
      </w:r>
      <w:r w:rsidR="00855F2E">
        <w:t xml:space="preserve">sú </w:t>
      </w:r>
      <w:r w:rsidR="0021472A">
        <w:t>uveden</w:t>
      </w:r>
      <w:r w:rsidR="00855F2E">
        <w:t>é</w:t>
      </w:r>
      <w:r w:rsidR="0021472A">
        <w:t xml:space="preserve"> v príloh</w:t>
      </w:r>
      <w:r w:rsidR="00855F2E">
        <w:t xml:space="preserve">e 1. </w:t>
      </w:r>
    </w:p>
    <w:p w:rsidR="008268A7" w:rsidRDefault="000D1001" w:rsidP="00900E55">
      <w:pPr>
        <w:spacing w:before="0" w:after="0" w:line="240" w:lineRule="auto"/>
        <w:jc w:val="left"/>
        <w:rPr>
          <w:rStyle w:val="Siln"/>
        </w:rPr>
      </w:pPr>
      <w:r w:rsidRPr="0012091A">
        <w:rPr>
          <w:rStyle w:val="Siln"/>
        </w:rPr>
        <w:t>S</w:t>
      </w:r>
      <w:r w:rsidR="0012091A">
        <w:rPr>
          <w:rStyle w:val="Siln"/>
        </w:rPr>
        <w:t>lovenská republika</w:t>
      </w:r>
    </w:p>
    <w:p w:rsidR="001D048D" w:rsidRDefault="00900E55" w:rsidP="00900E55">
      <w:r>
        <w:t>V Slovenskej republike sa sadzby na diaľniciach za nákladné vozidlá s</w:t>
      </w:r>
      <w:r w:rsidR="001D048D">
        <w:t> </w:t>
      </w:r>
      <w:r>
        <w:t>hmotnosťou</w:t>
      </w:r>
      <w:r w:rsidR="001D048D">
        <w:t xml:space="preserve"> s hmotnosťou od 3,5 do 12 ton sa menili dvakrát (2014, 2018) v rozpätí 0,009€.</w:t>
      </w:r>
      <w:r>
        <w:t xml:space="preserve"> </w:t>
      </w:r>
      <w:r w:rsidR="001D048D">
        <w:t>U vozidiel s hmotnosťou nad 12 ton boli od začiatku systému stanovené rovnaké sadzby pre všetky 3, 4, a 5-nápravové vozidla</w:t>
      </w:r>
      <w:r w:rsidR="007D7332">
        <w:t>,</w:t>
      </w:r>
      <w:r w:rsidR="001D048D">
        <w:t xml:space="preserve"> </w:t>
      </w:r>
      <w:r w:rsidR="007D7332">
        <w:t xml:space="preserve">odlíšené boli až v roku </w:t>
      </w:r>
      <w:r w:rsidR="001D048D">
        <w:t>2014 a</w:t>
      </w:r>
      <w:r w:rsidR="007D7332">
        <w:t xml:space="preserve"> ďalej sa sadzby menili takmer každoročne, max. v rozpätí 0,029 €. U autobusov nižšej a vyššej hmotnostnej kategórie sa sadzby zmenili až v roku 2018 (zníženie o 0,002€), </w:t>
      </w:r>
      <w:r w:rsidR="00AE5B8A">
        <w:fldChar w:fldCharType="begin"/>
      </w:r>
      <w:r w:rsidR="007D7332">
        <w:instrText xml:space="preserve"> REF _Ref23081925 \h </w:instrText>
      </w:r>
      <w:r w:rsidR="00AE5B8A">
        <w:fldChar w:fldCharType="separate"/>
      </w:r>
      <w:r w:rsidR="001E4C1C">
        <w:t xml:space="preserve">Obr. </w:t>
      </w:r>
      <w:r w:rsidR="001E4C1C">
        <w:rPr>
          <w:noProof/>
        </w:rPr>
        <w:t>3</w:t>
      </w:r>
      <w:r w:rsidR="001E4C1C">
        <w:noBreakHyphen/>
      </w:r>
      <w:r w:rsidR="001E4C1C">
        <w:rPr>
          <w:noProof/>
        </w:rPr>
        <w:t>11</w:t>
      </w:r>
      <w:r w:rsidR="00AE5B8A">
        <w:fldChar w:fldCharType="end"/>
      </w:r>
      <w:r w:rsidR="007D7332">
        <w:t xml:space="preserve">.    </w:t>
      </w:r>
    </w:p>
    <w:p w:rsidR="00C66D0B" w:rsidRDefault="00C66D0B" w:rsidP="00855F2E">
      <w:r w:rsidRPr="00C66D0B">
        <w:rPr>
          <w:noProof/>
          <w:lang w:eastAsia="sk-SK"/>
        </w:rPr>
        <w:drawing>
          <wp:inline distT="0" distB="0" distL="0" distR="0">
            <wp:extent cx="5938285" cy="2160000"/>
            <wp:effectExtent l="19050" t="0" r="24365" b="0"/>
            <wp:docPr id="112"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D55EFD" w:rsidRDefault="0067251B" w:rsidP="00D55EFD">
      <w:pPr>
        <w:pStyle w:val="Popis"/>
      </w:pPr>
      <w:bookmarkStart w:id="302" w:name="_Ref23081925"/>
      <w:bookmarkStart w:id="303" w:name="_Toc36664542"/>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11</w:t>
      </w:r>
      <w:r w:rsidR="00C40D3F">
        <w:rPr>
          <w:noProof/>
        </w:rPr>
        <w:fldChar w:fldCharType="end"/>
      </w:r>
      <w:bookmarkEnd w:id="302"/>
      <w:r>
        <w:tab/>
      </w:r>
      <w:r w:rsidRPr="00A15651">
        <w:t xml:space="preserve">Vývoj </w:t>
      </w:r>
      <w:r w:rsidR="000F21F7">
        <w:t xml:space="preserve">mýtnych </w:t>
      </w:r>
      <w:r w:rsidRPr="00A15651">
        <w:t xml:space="preserve">sadzieb na </w:t>
      </w:r>
      <w:r>
        <w:t>diaľniciach</w:t>
      </w:r>
      <w:r w:rsidR="000F21F7">
        <w:t xml:space="preserve"> a rýchlostných cestách</w:t>
      </w:r>
      <w:r w:rsidRPr="00A15651">
        <w:t xml:space="preserve"> </w:t>
      </w:r>
      <w:r>
        <w:t xml:space="preserve">v </w:t>
      </w:r>
      <w:r w:rsidRPr="00A15651">
        <w:t>SR v rokoch 2010</w:t>
      </w:r>
      <w:r>
        <w:t>-2018</w:t>
      </w:r>
      <w:r w:rsidR="00D55EFD">
        <w:t>/EURO IV.</w:t>
      </w:r>
      <w:bookmarkEnd w:id="303"/>
    </w:p>
    <w:p w:rsidR="007D7332" w:rsidRDefault="007D7332" w:rsidP="007D7332">
      <w:r>
        <w:t>Na cestách I. triedy nesúbežných s diaľnicami a rýchlostnými cestami sa sadzby za nákladné vozidlá s hmotnosťou od 3,5 do 12 ton</w:t>
      </w:r>
      <w:r w:rsidRPr="007D7332">
        <w:t xml:space="preserve"> </w:t>
      </w:r>
      <w:r>
        <w:t xml:space="preserve">zvýšili </w:t>
      </w:r>
      <w:r w:rsidR="00947C3B">
        <w:t>dvakrát</w:t>
      </w:r>
      <w:r>
        <w:t xml:space="preserve"> (2014</w:t>
      </w:r>
      <w:r w:rsidR="00947C3B">
        <w:t>, 2018)</w:t>
      </w:r>
      <w:r>
        <w:t xml:space="preserve"> </w:t>
      </w:r>
      <w:r w:rsidR="00947C3B">
        <w:t>v rozpätí 0,011€, u vozidiel s hmotnosťou nad 12 ton dvakrát (2014, 2018) v rozpätí max. 0,022€. Sadzby u autobusov nižšej kategórie boli v roku 2018 znížené o jeden eurocent, u autobusov vyššej hmotnostnej kategórie o dva eurocenty (</w:t>
      </w:r>
      <w:r w:rsidR="00AE5B8A">
        <w:fldChar w:fldCharType="begin"/>
      </w:r>
      <w:r w:rsidR="00947C3B">
        <w:instrText xml:space="preserve"> REF _Ref21917457 \h </w:instrText>
      </w:r>
      <w:r w:rsidR="00AE5B8A">
        <w:fldChar w:fldCharType="separate"/>
      </w:r>
      <w:r w:rsidR="001E4C1C">
        <w:t xml:space="preserve">Obr. </w:t>
      </w:r>
      <w:r w:rsidR="001E4C1C">
        <w:rPr>
          <w:noProof/>
        </w:rPr>
        <w:t>3</w:t>
      </w:r>
      <w:r w:rsidR="001E4C1C">
        <w:noBreakHyphen/>
      </w:r>
      <w:r w:rsidR="001E4C1C">
        <w:rPr>
          <w:noProof/>
        </w:rPr>
        <w:t>12</w:t>
      </w:r>
      <w:r w:rsidR="00AE5B8A">
        <w:fldChar w:fldCharType="end"/>
      </w:r>
      <w:r w:rsidR="00947C3B">
        <w:t xml:space="preserve">). </w:t>
      </w:r>
      <w:r>
        <w:t>Sadzby za súbežné cesty neboli porovnávané, pretože majú reštrikčný charakter a sú zvýšené na úroveň sadzieb za diaľnice.</w:t>
      </w:r>
    </w:p>
    <w:p w:rsidR="0042246F" w:rsidRDefault="00A21487" w:rsidP="00855F2E">
      <w:r w:rsidRPr="00A21487">
        <w:rPr>
          <w:noProof/>
          <w:lang w:eastAsia="sk-SK"/>
        </w:rPr>
        <w:drawing>
          <wp:inline distT="0" distB="0" distL="0" distR="0">
            <wp:extent cx="5940000" cy="2157573"/>
            <wp:effectExtent l="19050" t="0" r="22650" b="0"/>
            <wp:docPr id="116"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D55EFD" w:rsidRDefault="0067251B" w:rsidP="00D55EFD">
      <w:pPr>
        <w:pStyle w:val="Popis"/>
      </w:pPr>
      <w:bookmarkStart w:id="304" w:name="_Ref21917457"/>
      <w:bookmarkStart w:id="305" w:name="_Toc36664543"/>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12</w:t>
      </w:r>
      <w:r w:rsidR="00C40D3F">
        <w:rPr>
          <w:noProof/>
        </w:rPr>
        <w:fldChar w:fldCharType="end"/>
      </w:r>
      <w:bookmarkEnd w:id="304"/>
      <w:r>
        <w:tab/>
      </w:r>
      <w:r w:rsidRPr="00A15651">
        <w:t xml:space="preserve">Vývoj </w:t>
      </w:r>
      <w:r w:rsidR="000F21F7">
        <w:t xml:space="preserve">mýtnych </w:t>
      </w:r>
      <w:r w:rsidRPr="00A15651">
        <w:t xml:space="preserve">sadzieb na cestách I. triedy </w:t>
      </w:r>
      <w:r w:rsidR="000F21F7">
        <w:t xml:space="preserve">nesúbežných s diaľnicami a rýchlostnými cestami </w:t>
      </w:r>
      <w:r>
        <w:t xml:space="preserve">v </w:t>
      </w:r>
      <w:r w:rsidRPr="00A15651">
        <w:t>SR v rokoch 2010</w:t>
      </w:r>
      <w:r>
        <w:t>-2018</w:t>
      </w:r>
      <w:r w:rsidR="00D55EFD">
        <w:t>/EURO IV.</w:t>
      </w:r>
      <w:bookmarkEnd w:id="305"/>
    </w:p>
    <w:p w:rsidR="00A21487" w:rsidRPr="00900E55" w:rsidRDefault="00281840" w:rsidP="00900E55">
      <w:pPr>
        <w:spacing w:before="0" w:after="0" w:line="240" w:lineRule="auto"/>
        <w:jc w:val="left"/>
        <w:rPr>
          <w:rStyle w:val="Siln"/>
          <w:b w:val="0"/>
          <w:bCs w:val="0"/>
        </w:rPr>
      </w:pPr>
      <w:r w:rsidRPr="00281840">
        <w:rPr>
          <w:rStyle w:val="Siln"/>
        </w:rPr>
        <w:t>Nemecko</w:t>
      </w:r>
    </w:p>
    <w:p w:rsidR="0078640B" w:rsidRDefault="0078640B" w:rsidP="0078640B">
      <w:pPr>
        <w:pStyle w:val="Normaltext"/>
        <w:spacing w:line="276" w:lineRule="auto"/>
      </w:pPr>
      <w:r w:rsidRPr="00855F2E">
        <w:t>V Nemecku nie sú sadzby odlišné podľa kategórie c</w:t>
      </w:r>
      <w:r w:rsidR="005604B8">
        <w:t>iest</w:t>
      </w:r>
      <w:r w:rsidRPr="00855F2E">
        <w:t xml:space="preserve"> a nie sú odlišné </w:t>
      </w:r>
      <w:r w:rsidR="005604B8">
        <w:t>ani pre</w:t>
      </w:r>
      <w:r w:rsidRPr="00855F2E">
        <w:t xml:space="preserve"> autobusy. Porovnávané boli kategória 2 nápravy, ktorá približne zodpovedá slovenskej kategórii 3,5 - 12 ton, kategória 3 nápravy približne </w:t>
      </w:r>
      <w:r w:rsidR="00371ED4" w:rsidRPr="00855F2E">
        <w:t>zodpoveda</w:t>
      </w:r>
      <w:r w:rsidR="00371ED4">
        <w:t>júca</w:t>
      </w:r>
      <w:r w:rsidRPr="00855F2E">
        <w:t xml:space="preserve"> slovenskej kategórii 3-nápravové vozidlo s hmotnosťou nad 12 ton</w:t>
      </w:r>
      <w:r w:rsidR="005604B8">
        <w:t xml:space="preserve"> atď.</w:t>
      </w:r>
      <w:r w:rsidRPr="00855F2E">
        <w:t xml:space="preserve"> Do </w:t>
      </w:r>
      <w:r w:rsidR="005604B8">
        <w:t>konca roku 2014</w:t>
      </w:r>
      <w:r w:rsidRPr="00855F2E">
        <w:t xml:space="preserve"> boli počty náprav rozdelené do skupín „do 3“ a „4 a viac“.</w:t>
      </w:r>
    </w:p>
    <w:p w:rsidR="0078640B" w:rsidRPr="00855F2E" w:rsidRDefault="00991EA3" w:rsidP="0078640B">
      <w:pPr>
        <w:pStyle w:val="Normaltext"/>
        <w:spacing w:line="276" w:lineRule="auto"/>
      </w:pPr>
      <w:r>
        <w:t>S</w:t>
      </w:r>
      <w:r w:rsidR="0078640B" w:rsidRPr="00855F2E">
        <w:t>adzby za nákladné vozidlá sa menili trikrát</w:t>
      </w:r>
      <w:r w:rsidR="005604B8">
        <w:t xml:space="preserve"> (</w:t>
      </w:r>
      <w:r w:rsidR="00A10FE7">
        <w:t xml:space="preserve">dvakrát v roku </w:t>
      </w:r>
      <w:r w:rsidR="005604B8">
        <w:t>2015,</w:t>
      </w:r>
      <w:r w:rsidR="00A10FE7">
        <w:t xml:space="preserve"> 2018</w:t>
      </w:r>
      <w:r w:rsidR="005604B8">
        <w:t>)</w:t>
      </w:r>
      <w:r w:rsidR="0078640B" w:rsidRPr="00855F2E">
        <w:t>, celkovo o 0,0</w:t>
      </w:r>
      <w:r w:rsidR="005604B8">
        <w:t>34</w:t>
      </w:r>
      <w:r w:rsidR="0078640B" w:rsidRPr="00855F2E">
        <w:t>€</w:t>
      </w:r>
      <w:r w:rsidR="00BE2E49">
        <w:t xml:space="preserve"> pre vozidlá nad 12 ton</w:t>
      </w:r>
      <w:r w:rsidR="00A10FE7">
        <w:t>,</w:t>
      </w:r>
      <w:r w:rsidR="00BE2E49">
        <w:t xml:space="preserve"> pre </w:t>
      </w:r>
      <w:r w:rsidR="0078640B" w:rsidRPr="00855F2E">
        <w:t>ľahšie vozidlá</w:t>
      </w:r>
      <w:r w:rsidR="005604B8">
        <w:t xml:space="preserve"> o 0,056€</w:t>
      </w:r>
      <w:r w:rsidR="0078640B" w:rsidRPr="00855F2E">
        <w:t xml:space="preserve">. </w:t>
      </w:r>
      <w:r w:rsidR="005604B8">
        <w:t xml:space="preserve"> Išlo o dvojité znižovanie sadzieb pre všetky kategórie vozidiel v danej emisnej triede</w:t>
      </w:r>
      <w:r w:rsidR="00BE2E49">
        <w:t xml:space="preserve">, pričom sadzby pre ľahšie vozidla boli znížené viac ako sadzby pre ťažšie vozidlá </w:t>
      </w:r>
      <w:r w:rsidR="003C588A">
        <w:t>(</w:t>
      </w:r>
      <w:r w:rsidR="00AE5B8A">
        <w:rPr>
          <w:highlight w:val="yellow"/>
        </w:rPr>
        <w:fldChar w:fldCharType="begin"/>
      </w:r>
      <w:r w:rsidR="003C588A">
        <w:instrText xml:space="preserve"> REF _Ref23928440 \h </w:instrText>
      </w:r>
      <w:r w:rsidR="00AE5B8A">
        <w:rPr>
          <w:highlight w:val="yellow"/>
        </w:rPr>
      </w:r>
      <w:r w:rsidR="00AE5B8A">
        <w:rPr>
          <w:highlight w:val="yellow"/>
        </w:rPr>
        <w:fldChar w:fldCharType="separate"/>
      </w:r>
      <w:r w:rsidR="001E4C1C">
        <w:t xml:space="preserve">Obr. </w:t>
      </w:r>
      <w:r w:rsidR="001E4C1C">
        <w:rPr>
          <w:noProof/>
        </w:rPr>
        <w:t>3</w:t>
      </w:r>
      <w:r w:rsidR="001E4C1C">
        <w:noBreakHyphen/>
      </w:r>
      <w:r w:rsidR="001E4C1C">
        <w:rPr>
          <w:noProof/>
        </w:rPr>
        <w:t>13</w:t>
      </w:r>
      <w:r w:rsidR="00AE5B8A">
        <w:rPr>
          <w:highlight w:val="yellow"/>
        </w:rPr>
        <w:fldChar w:fldCharType="end"/>
      </w:r>
      <w:r w:rsidR="003C588A">
        <w:t xml:space="preserve">). </w:t>
      </w:r>
      <w:r w:rsidR="00BE2E49">
        <w:t xml:space="preserve">To súviselo s podrobnejším rozlíšením kategórií vozidiel </w:t>
      </w:r>
      <w:r w:rsidR="00A10FE7">
        <w:t>na</w:t>
      </w:r>
      <w:r w:rsidR="00BE2E49">
        <w:t xml:space="preserve"> 2,3,4,5 a viac náprav. </w:t>
      </w:r>
    </w:p>
    <w:p w:rsidR="00A21487" w:rsidRDefault="0067251B" w:rsidP="00855F2E">
      <w:r w:rsidRPr="0067251B">
        <w:rPr>
          <w:noProof/>
          <w:lang w:eastAsia="sk-SK"/>
        </w:rPr>
        <w:drawing>
          <wp:inline distT="0" distB="0" distL="0" distR="0">
            <wp:extent cx="5940000" cy="2160000"/>
            <wp:effectExtent l="19050" t="0" r="22650" b="0"/>
            <wp:docPr id="117" name="Graf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D55EFD" w:rsidRDefault="0067251B" w:rsidP="00D55EFD">
      <w:pPr>
        <w:pStyle w:val="Popis"/>
      </w:pPr>
      <w:bookmarkStart w:id="306" w:name="_Ref23928440"/>
      <w:bookmarkStart w:id="307" w:name="_Toc36664544"/>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13</w:t>
      </w:r>
      <w:r w:rsidR="00C40D3F">
        <w:rPr>
          <w:noProof/>
        </w:rPr>
        <w:fldChar w:fldCharType="end"/>
      </w:r>
      <w:bookmarkEnd w:id="306"/>
      <w:r>
        <w:tab/>
      </w:r>
      <w:r w:rsidRPr="00AE26CC">
        <w:t xml:space="preserve">Vývoj </w:t>
      </w:r>
      <w:r w:rsidR="005604B8">
        <w:t xml:space="preserve">mýtnych </w:t>
      </w:r>
      <w:r w:rsidRPr="00AE26CC">
        <w:t xml:space="preserve">sadzieb </w:t>
      </w:r>
      <w:r w:rsidRPr="00A15651">
        <w:t xml:space="preserve">na </w:t>
      </w:r>
      <w:r w:rsidR="005604B8">
        <w:t xml:space="preserve">diaľniciach a štátnych </w:t>
      </w:r>
      <w:r w:rsidRPr="00A15651">
        <w:t xml:space="preserve">cestách </w:t>
      </w:r>
      <w:r>
        <w:t>v Nemecku</w:t>
      </w:r>
      <w:r w:rsidRPr="00AE26CC">
        <w:t xml:space="preserve"> v rokoch 2010</w:t>
      </w:r>
      <w:r>
        <w:t>-2018</w:t>
      </w:r>
      <w:r w:rsidR="00D55EFD">
        <w:t>/EURO IV.</w:t>
      </w:r>
      <w:bookmarkEnd w:id="307"/>
    </w:p>
    <w:p w:rsidR="00281840" w:rsidRPr="0075581A" w:rsidRDefault="00281840" w:rsidP="00281840">
      <w:pPr>
        <w:rPr>
          <w:rStyle w:val="Siln"/>
        </w:rPr>
      </w:pPr>
      <w:r w:rsidRPr="0075581A">
        <w:rPr>
          <w:rStyle w:val="Siln"/>
        </w:rPr>
        <w:t>Rakúsko</w:t>
      </w:r>
    </w:p>
    <w:p w:rsidR="003F3AD3" w:rsidRDefault="0078640B" w:rsidP="0078640B">
      <w:pPr>
        <w:pStyle w:val="Normaltext"/>
        <w:spacing w:line="276" w:lineRule="auto"/>
      </w:pPr>
      <w:r w:rsidRPr="00855F2E">
        <w:t xml:space="preserve">V Rakúsku sú spoplatnené len diaľnice a rýchlostné cesty a nie sú odlišné sadzby za autobusy. </w:t>
      </w:r>
      <w:r w:rsidR="00A10FE7">
        <w:t>Kategória</w:t>
      </w:r>
      <w:r w:rsidRPr="00855F2E">
        <w:t xml:space="preserve"> 2 nápravy</w:t>
      </w:r>
      <w:r w:rsidR="00A10FE7">
        <w:t xml:space="preserve"> </w:t>
      </w:r>
      <w:r w:rsidRPr="00855F2E">
        <w:t>približne zodpovedá slovenskej kategórii 3,5 - 12 ton a kategóri</w:t>
      </w:r>
      <w:r w:rsidR="00A10FE7">
        <w:t>e</w:t>
      </w:r>
      <w:r w:rsidRPr="00855F2E">
        <w:t xml:space="preserve"> 3</w:t>
      </w:r>
      <w:r w:rsidR="00A10FE7">
        <w:t>,4 a 5</w:t>
      </w:r>
      <w:r w:rsidRPr="00855F2E">
        <w:t xml:space="preserve"> náprav</w:t>
      </w:r>
      <w:r w:rsidR="00A10FE7">
        <w:t xml:space="preserve"> </w:t>
      </w:r>
      <w:r w:rsidRPr="00855F2E">
        <w:t>približne zodpovedá slovenskej kategórii 3</w:t>
      </w:r>
      <w:r w:rsidR="00A10FE7">
        <w:t>,4,5</w:t>
      </w:r>
      <w:r w:rsidRPr="00855F2E">
        <w:t xml:space="preserve">-nápravové vozidlo s hmotnosťou nad 12 ton. </w:t>
      </w:r>
      <w:r w:rsidR="00A10FE7">
        <w:t xml:space="preserve">Od roku 2017 boli </w:t>
      </w:r>
      <w:r w:rsidRPr="00855F2E">
        <w:t>sadzby rozdelené na denné a</w:t>
      </w:r>
      <w:r w:rsidR="00A10FE7">
        <w:t> </w:t>
      </w:r>
      <w:r w:rsidRPr="00855F2E">
        <w:t>nočné</w:t>
      </w:r>
      <w:r w:rsidR="00A10FE7">
        <w:t xml:space="preserve">. </w:t>
      </w:r>
    </w:p>
    <w:p w:rsidR="0078640B" w:rsidRDefault="0078640B" w:rsidP="0078640B">
      <w:pPr>
        <w:pStyle w:val="Normaltext"/>
        <w:spacing w:line="276" w:lineRule="auto"/>
      </w:pPr>
      <w:r>
        <w:t xml:space="preserve">Graf ukazuje, že sadzby za </w:t>
      </w:r>
      <w:r w:rsidR="00A10FE7">
        <w:t xml:space="preserve">všetky </w:t>
      </w:r>
      <w:r>
        <w:t>nákladné vozidlá sa menili každý rok</w:t>
      </w:r>
      <w:r w:rsidR="00A10FE7">
        <w:t xml:space="preserve"> (prevažne zvyšovali)</w:t>
      </w:r>
      <w:r>
        <w:t xml:space="preserve">, v rozpätí </w:t>
      </w:r>
      <w:r w:rsidR="00A10FE7">
        <w:t xml:space="preserve">0,028 (2 nápravy) až </w:t>
      </w:r>
      <w:r>
        <w:t>0,0</w:t>
      </w:r>
      <w:r w:rsidR="00A10FE7">
        <w:t>92</w:t>
      </w:r>
      <w:r>
        <w:t xml:space="preserve"> €</w:t>
      </w:r>
      <w:r w:rsidR="00A10FE7">
        <w:t xml:space="preserve"> (4 a viac náprav). </w:t>
      </w:r>
      <w:r>
        <w:t xml:space="preserve">Sadzby pre jazdu v noci medzi 22. a </w:t>
      </w:r>
      <w:r w:rsidR="00A10FE7">
        <w:t>0</w:t>
      </w:r>
      <w:r>
        <w:t>5. hodinou neboli porovnávané, pretože majú reštrikčný charakter a sú navýšené (</w:t>
      </w:r>
      <w:r w:rsidR="00AE5B8A">
        <w:fldChar w:fldCharType="begin"/>
      </w:r>
      <w:r>
        <w:instrText xml:space="preserve"> REF _Ref21917755 \h </w:instrText>
      </w:r>
      <w:r w:rsidR="00AE5B8A">
        <w:fldChar w:fldCharType="separate"/>
      </w:r>
      <w:r w:rsidR="001E4C1C">
        <w:t xml:space="preserve">Obr. </w:t>
      </w:r>
      <w:r w:rsidR="001E4C1C">
        <w:rPr>
          <w:noProof/>
        </w:rPr>
        <w:t>3</w:t>
      </w:r>
      <w:r w:rsidR="001E4C1C">
        <w:noBreakHyphen/>
      </w:r>
      <w:r w:rsidR="001E4C1C">
        <w:rPr>
          <w:noProof/>
        </w:rPr>
        <w:t>14</w:t>
      </w:r>
      <w:r w:rsidR="00AE5B8A">
        <w:fldChar w:fldCharType="end"/>
      </w:r>
      <w:r>
        <w:t>).</w:t>
      </w:r>
    </w:p>
    <w:p w:rsidR="00A10FE7" w:rsidRPr="00855F2E" w:rsidRDefault="00A10FE7" w:rsidP="0078640B">
      <w:pPr>
        <w:pStyle w:val="Normaltext"/>
        <w:spacing w:line="276" w:lineRule="auto"/>
      </w:pPr>
      <w:r w:rsidRPr="00A10FE7">
        <w:rPr>
          <w:noProof/>
          <w:lang w:eastAsia="sk-SK"/>
        </w:rPr>
        <w:drawing>
          <wp:inline distT="0" distB="0" distL="0" distR="0">
            <wp:extent cx="5909310" cy="2041451"/>
            <wp:effectExtent l="19050" t="0" r="15240" b="0"/>
            <wp:docPr id="53"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D55EFD" w:rsidRDefault="00220C8B" w:rsidP="00D55EFD">
      <w:pPr>
        <w:pStyle w:val="Popis"/>
      </w:pPr>
      <w:bookmarkStart w:id="308" w:name="_Ref21917755"/>
      <w:bookmarkStart w:id="309" w:name="_Toc36664545"/>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w:instrText>
      </w:r>
      <w:r w:rsidR="00C40D3F">
        <w:instrText xml:space="preserve">IC \s 1 </w:instrText>
      </w:r>
      <w:r w:rsidR="00C40D3F">
        <w:fldChar w:fldCharType="separate"/>
      </w:r>
      <w:r w:rsidR="00D61B89">
        <w:rPr>
          <w:noProof/>
        </w:rPr>
        <w:t>14</w:t>
      </w:r>
      <w:r w:rsidR="00C40D3F">
        <w:rPr>
          <w:noProof/>
        </w:rPr>
        <w:fldChar w:fldCharType="end"/>
      </w:r>
      <w:bookmarkEnd w:id="308"/>
      <w:r>
        <w:tab/>
      </w:r>
      <w:r w:rsidRPr="00AE26CC">
        <w:t xml:space="preserve">Vývoj sadzieb </w:t>
      </w:r>
      <w:r w:rsidRPr="00A15651">
        <w:t xml:space="preserve">na cestách </w:t>
      </w:r>
      <w:r>
        <w:t xml:space="preserve">v Rakúsku </w:t>
      </w:r>
      <w:r w:rsidRPr="00AE26CC">
        <w:t xml:space="preserve">v rokoch </w:t>
      </w:r>
      <w:r w:rsidR="00900E55">
        <w:t>2010-2018</w:t>
      </w:r>
      <w:r w:rsidR="00D55EFD">
        <w:t>/EURO IV.</w:t>
      </w:r>
      <w:bookmarkEnd w:id="309"/>
    </w:p>
    <w:p w:rsidR="00991EA3" w:rsidRDefault="00991EA3" w:rsidP="00855F2E">
      <w:pPr>
        <w:rPr>
          <w:rStyle w:val="Siln"/>
        </w:rPr>
      </w:pPr>
    </w:p>
    <w:p w:rsidR="004D7E54" w:rsidRDefault="004D7E54" w:rsidP="00855F2E">
      <w:pPr>
        <w:rPr>
          <w:rStyle w:val="Siln"/>
        </w:rPr>
      </w:pPr>
    </w:p>
    <w:p w:rsidR="0075581A" w:rsidRDefault="0075581A" w:rsidP="00855F2E">
      <w:pPr>
        <w:rPr>
          <w:rStyle w:val="Siln"/>
        </w:rPr>
      </w:pPr>
      <w:r w:rsidRPr="0075581A">
        <w:rPr>
          <w:rStyle w:val="Siln"/>
        </w:rPr>
        <w:t>Česká republika</w:t>
      </w:r>
    </w:p>
    <w:p w:rsidR="00935D61" w:rsidRDefault="00935D61" w:rsidP="00935D61">
      <w:r>
        <w:t xml:space="preserve">V Českej republike sa sadzby za nákladné vozidlá </w:t>
      </w:r>
      <w:r w:rsidR="002B0615">
        <w:t xml:space="preserve">a autobusy </w:t>
      </w:r>
      <w:r w:rsidR="003F3AD3">
        <w:t>menili každoročne</w:t>
      </w:r>
      <w:r w:rsidR="002B0615">
        <w:t xml:space="preserve"> (prevažne zvyšovali)</w:t>
      </w:r>
      <w:r w:rsidR="00B14BFB">
        <w:t>, v súčasnosti sú sadzby najvyššie.</w:t>
      </w:r>
      <w:r w:rsidR="002B0615">
        <w:t xml:space="preserve"> Pre dvojnápravové vozidlá boli sadzby medzi rokom 2010 a 2018 zvýšené v rozpätí o</w:t>
      </w:r>
      <w:r w:rsidR="003F3AD3">
        <w:t xml:space="preserve"> </w:t>
      </w:r>
      <w:r w:rsidR="002B0615">
        <w:t>0,043€, pre 3-nápravové o 0,075€, pre 4 a viac-nápravové vozidlá o 0,107€ a pre autobusy o 4 eurocenty.</w:t>
      </w:r>
      <w:r w:rsidR="002B0615" w:rsidRPr="002B0615">
        <w:t xml:space="preserve"> </w:t>
      </w:r>
      <w:r w:rsidR="002B0615">
        <w:t xml:space="preserve">Kategória 2 nápravy približne zodpovedá slovenskej kategórii 3,5 - 12 ton, kategória 3, 4 a viac nápravy približne zodpovedá slovenskej kategórii 3, 4, 5-nápravové vozidlo s hmotnosťou nad 12 ton. Autobusy nemajú rozlíšené hmotnostné kategórie. </w:t>
      </w:r>
      <w:r>
        <w:t>Sadzby pre piatky medzi 15. a 20.</w:t>
      </w:r>
      <w:r w:rsidR="003F3AD3">
        <w:t xml:space="preserve"> (</w:t>
      </w:r>
      <w:r w:rsidR="00220C8B">
        <w:t>21.</w:t>
      </w:r>
      <w:r w:rsidR="003F3AD3">
        <w:t>)</w:t>
      </w:r>
      <w:r w:rsidR="00220C8B">
        <w:t xml:space="preserve"> hodinou</w:t>
      </w:r>
      <w:r>
        <w:t xml:space="preserve"> neboli porovnávané, pretože majú reštrikčný charakter a sú navýšené (</w:t>
      </w:r>
      <w:r w:rsidR="00AE5B8A">
        <w:fldChar w:fldCharType="begin"/>
      </w:r>
      <w:r w:rsidR="00B14BFB">
        <w:instrText xml:space="preserve"> REF _Ref23086407 \h </w:instrText>
      </w:r>
      <w:r w:rsidR="00AE5B8A">
        <w:fldChar w:fldCharType="separate"/>
      </w:r>
      <w:r w:rsidR="001E4C1C" w:rsidRPr="00220C8B">
        <w:t xml:space="preserve">Obr. </w:t>
      </w:r>
      <w:r w:rsidR="001E4C1C">
        <w:rPr>
          <w:noProof/>
        </w:rPr>
        <w:t>3</w:t>
      </w:r>
      <w:r w:rsidR="001E4C1C">
        <w:noBreakHyphen/>
      </w:r>
      <w:r w:rsidR="001E4C1C">
        <w:rPr>
          <w:noProof/>
        </w:rPr>
        <w:t>15</w:t>
      </w:r>
      <w:r w:rsidR="00AE5B8A">
        <w:fldChar w:fldCharType="end"/>
      </w:r>
      <w:r w:rsidR="00ED44E6">
        <w:t>).</w:t>
      </w:r>
    </w:p>
    <w:p w:rsidR="009A3F49" w:rsidRDefault="001117C3" w:rsidP="00D55EFD">
      <w:pPr>
        <w:pStyle w:val="Popis"/>
      </w:pPr>
      <w:r w:rsidRPr="0017652B">
        <w:rPr>
          <w:b/>
          <w:noProof/>
          <w:lang w:eastAsia="sk-SK"/>
        </w:rPr>
        <w:drawing>
          <wp:inline distT="0" distB="0" distL="0" distR="0">
            <wp:extent cx="5972810" cy="2153285"/>
            <wp:effectExtent l="19050" t="0" r="27940" b="0"/>
            <wp:docPr id="109"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bookmarkStart w:id="310" w:name="_Ref21917866"/>
    </w:p>
    <w:p w:rsidR="00D55EFD" w:rsidRDefault="0067251B" w:rsidP="00D55EFD">
      <w:pPr>
        <w:pStyle w:val="Popis"/>
      </w:pPr>
      <w:bookmarkStart w:id="311" w:name="_Ref23086407"/>
      <w:bookmarkStart w:id="312" w:name="_Toc36664546"/>
      <w:r w:rsidRPr="00220C8B">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15</w:t>
      </w:r>
      <w:r w:rsidR="00C40D3F">
        <w:rPr>
          <w:noProof/>
        </w:rPr>
        <w:fldChar w:fldCharType="end"/>
      </w:r>
      <w:bookmarkEnd w:id="310"/>
      <w:bookmarkEnd w:id="311"/>
      <w:r w:rsidRPr="00220C8B">
        <w:tab/>
        <w:t xml:space="preserve">Vývoj </w:t>
      </w:r>
      <w:r w:rsidR="00B14BFB">
        <w:t xml:space="preserve">mýtnych </w:t>
      </w:r>
      <w:r w:rsidRPr="00220C8B">
        <w:t>sadzieb na diaľniciach</w:t>
      </w:r>
      <w:r w:rsidR="00B14BFB">
        <w:t xml:space="preserve"> a rýchlostných cestách</w:t>
      </w:r>
      <w:r w:rsidRPr="00220C8B">
        <w:t xml:space="preserve"> v ČR v rokoch </w:t>
      </w:r>
      <w:r w:rsidR="00900E55">
        <w:t>2010-2018</w:t>
      </w:r>
      <w:r w:rsidR="00D55EFD">
        <w:t>/EURO IV.</w:t>
      </w:r>
      <w:bookmarkEnd w:id="312"/>
    </w:p>
    <w:p w:rsidR="00B14BFB" w:rsidRPr="00935D61" w:rsidRDefault="00B14BFB" w:rsidP="00B14BFB">
      <w:r w:rsidRPr="00B14BFB">
        <w:t xml:space="preserve">Mýtne sadzby pre jednotlivé nápravové kategórie nákladných vozidiel a autobusy na cestách I. triedy sa podobne menili každoročne - prevažne rástli a v rokoch 2013 a 2014 klesli. Rozdiel </w:t>
      </w:r>
      <w:r w:rsidR="0003478F">
        <w:t>medzi</w:t>
      </w:r>
      <w:r w:rsidRPr="00B14BFB">
        <w:t> sadzb</w:t>
      </w:r>
      <w:r w:rsidR="0003478F">
        <w:t>ami</w:t>
      </w:r>
      <w:r w:rsidRPr="00B14BFB">
        <w:t xml:space="preserve"> </w:t>
      </w:r>
      <w:r w:rsidR="0003478F">
        <w:t xml:space="preserve">v </w:t>
      </w:r>
      <w:r w:rsidRPr="00B14BFB">
        <w:t xml:space="preserve">roku 2010 </w:t>
      </w:r>
      <w:r w:rsidR="0003478F">
        <w:t>a</w:t>
      </w:r>
      <w:r w:rsidRPr="00B14BFB">
        <w:t xml:space="preserve"> 2018 je na</w:t>
      </w:r>
      <w:r>
        <w:t>j</w:t>
      </w:r>
      <w:r w:rsidRPr="00B14BFB">
        <w:t>nižší pre autobusy</w:t>
      </w:r>
      <w:r w:rsidR="0003478F">
        <w:t xml:space="preserve"> a </w:t>
      </w:r>
      <w:r w:rsidRPr="00B14BFB">
        <w:t>najvyšší pre kategóriu 4 a viac náprav (o 0,051 €)</w:t>
      </w:r>
      <w:r w:rsidR="0003478F">
        <w:t>.</w:t>
      </w:r>
      <w:r w:rsidRPr="00B14BFB">
        <w:t xml:space="preserve"> V súčasnosti sú sadzby najvyššie.</w:t>
      </w:r>
    </w:p>
    <w:p w:rsidR="0075581A" w:rsidRDefault="0075581A" w:rsidP="00855F2E">
      <w:r w:rsidRPr="0075581A">
        <w:rPr>
          <w:noProof/>
          <w:lang w:eastAsia="sk-SK"/>
        </w:rPr>
        <w:drawing>
          <wp:inline distT="0" distB="0" distL="0" distR="0">
            <wp:extent cx="5940000" cy="2160000"/>
            <wp:effectExtent l="19050" t="0" r="22650" b="0"/>
            <wp:docPr id="114"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67251B" w:rsidRDefault="0067251B" w:rsidP="0067251B">
      <w:pPr>
        <w:pStyle w:val="Popis"/>
      </w:pPr>
      <w:bookmarkStart w:id="313" w:name="_Ref21917869"/>
      <w:bookmarkStart w:id="314" w:name="_Toc36664547"/>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16</w:t>
      </w:r>
      <w:r w:rsidR="00C40D3F">
        <w:rPr>
          <w:noProof/>
        </w:rPr>
        <w:fldChar w:fldCharType="end"/>
      </w:r>
      <w:bookmarkEnd w:id="313"/>
      <w:r>
        <w:tab/>
      </w:r>
      <w:r w:rsidRPr="00AE26CC">
        <w:t xml:space="preserve">Vývoj </w:t>
      </w:r>
      <w:r w:rsidR="00B14BFB">
        <w:t xml:space="preserve">mýtnych </w:t>
      </w:r>
      <w:r w:rsidRPr="00AE26CC">
        <w:t xml:space="preserve">sadzieb </w:t>
      </w:r>
      <w:r w:rsidRPr="00A15651">
        <w:t xml:space="preserve">na cestách I. triedy </w:t>
      </w:r>
      <w:r>
        <w:t>v ČR</w:t>
      </w:r>
      <w:r w:rsidRPr="00AE26CC">
        <w:t xml:space="preserve"> v rokoch </w:t>
      </w:r>
      <w:r w:rsidR="00900E55">
        <w:t>2010-2018</w:t>
      </w:r>
      <w:r w:rsidR="00D55EFD">
        <w:t>/EURO IV.</w:t>
      </w:r>
      <w:bookmarkEnd w:id="314"/>
    </w:p>
    <w:p w:rsidR="0075581A" w:rsidRDefault="0075581A" w:rsidP="00220C8B">
      <w:pPr>
        <w:spacing w:before="0" w:after="0" w:line="240" w:lineRule="auto"/>
        <w:jc w:val="left"/>
        <w:rPr>
          <w:rStyle w:val="Siln"/>
        </w:rPr>
      </w:pPr>
      <w:r w:rsidRPr="0075581A">
        <w:rPr>
          <w:rStyle w:val="Siln"/>
        </w:rPr>
        <w:t xml:space="preserve">Poľsko </w:t>
      </w:r>
    </w:p>
    <w:p w:rsidR="00853567" w:rsidRDefault="00045042" w:rsidP="00045042">
      <w:r>
        <w:t>V </w:t>
      </w:r>
      <w:r w:rsidR="00853567">
        <w:t>grafe</w:t>
      </w:r>
      <w:r>
        <w:t xml:space="preserve"> sú uvedené sadzby </w:t>
      </w:r>
      <w:r w:rsidR="00853567">
        <w:t xml:space="preserve">pre jednotlivé kategórie vozidiel </w:t>
      </w:r>
      <w:r>
        <w:t xml:space="preserve">za </w:t>
      </w:r>
      <w:r w:rsidR="00853567">
        <w:t xml:space="preserve">prejazd štátnych </w:t>
      </w:r>
      <w:r>
        <w:t>diaľn</w:t>
      </w:r>
      <w:r w:rsidR="00E85785">
        <w:t>i</w:t>
      </w:r>
      <w:r w:rsidR="00853567">
        <w:t xml:space="preserve">c a rýchlostných ciest a na porovnanie tiež koncesných diaľnic, konkrétne AWSA. </w:t>
      </w:r>
      <w:r>
        <w:t xml:space="preserve"> </w:t>
      </w:r>
      <w:r w:rsidR="00853567">
        <w:t>Na štátnych diaľniciach sú uvažované 3 kategórie vozidiel – NV s hmotnosťou od 3,5 tony do 12 ton, BV s hmotnosťou nad 12 ton a kategória autobusy. Na koncesnej diaľnici AWSA sú uvažované 4 kategórie vozidiel  - trieda 2</w:t>
      </w:r>
      <w:r w:rsidR="00853567" w:rsidRPr="00853567">
        <w:t xml:space="preserve"> </w:t>
      </w:r>
      <w:r w:rsidR="00853567">
        <w:t xml:space="preserve">približne zodpovedá slovenskej kategórii 3,5 - 12 ton, trieda 3 a 4 približne zodpovedá slovenskej kategórii 3 a 4-nápravové </w:t>
      </w:r>
      <w:r w:rsidR="00853567" w:rsidRPr="00045042">
        <w:t>vozidlo</w:t>
      </w:r>
      <w:r w:rsidR="00853567">
        <w:t xml:space="preserve"> s hmotnosťou nad 12 ton a kategória 5 </w:t>
      </w:r>
      <w:r w:rsidR="009D1655">
        <w:t>je určená pre vozidlá, ktorých</w:t>
      </w:r>
      <w:r w:rsidR="00853567">
        <w:t xml:space="preserve"> </w:t>
      </w:r>
      <w:r w:rsidR="00853567" w:rsidRPr="00853567">
        <w:t>rozmery, zaťaženie nápravy alebo hmotnosť presahujú normy stanovené v predpisoch o cestnej premávke</w:t>
      </w:r>
      <w:r w:rsidR="00995B03">
        <w:t xml:space="preserve"> (</w:t>
      </w:r>
      <w:r w:rsidR="00AE5B8A">
        <w:fldChar w:fldCharType="begin"/>
      </w:r>
      <w:r w:rsidR="00995B03">
        <w:instrText xml:space="preserve"> REF _Ref23088750 \h </w:instrText>
      </w:r>
      <w:r w:rsidR="00AE5B8A">
        <w:fldChar w:fldCharType="separate"/>
      </w:r>
      <w:r w:rsidR="001E4C1C" w:rsidRPr="00220C8B">
        <w:t xml:space="preserve">Obr. </w:t>
      </w:r>
      <w:r w:rsidR="001E4C1C">
        <w:rPr>
          <w:noProof/>
        </w:rPr>
        <w:t>3</w:t>
      </w:r>
      <w:r w:rsidR="001E4C1C">
        <w:noBreakHyphen/>
      </w:r>
      <w:r w:rsidR="001E4C1C">
        <w:rPr>
          <w:noProof/>
        </w:rPr>
        <w:t>17</w:t>
      </w:r>
      <w:r w:rsidR="00AE5B8A">
        <w:fldChar w:fldCharType="end"/>
      </w:r>
      <w:r w:rsidR="00995B03">
        <w:t>)</w:t>
      </w:r>
      <w:r w:rsidR="00853567" w:rsidRPr="00853567">
        <w:t>.</w:t>
      </w:r>
    </w:p>
    <w:p w:rsidR="009D1655" w:rsidRDefault="00045042" w:rsidP="00045042">
      <w:r>
        <w:t xml:space="preserve">Graf ukazuje, že sadzby </w:t>
      </w:r>
      <w:r w:rsidR="009D1655">
        <w:t>pre</w:t>
      </w:r>
      <w:r>
        <w:t xml:space="preserve"> nákladné vozidlá </w:t>
      </w:r>
      <w:r w:rsidR="009D1655">
        <w:t>na štátnych diaľniciach sú mnohonásobne nižšie ako na koncesných diaľniciach. Na štátnych diaľniciach zostáva mýto od roku 2011 nezmenené, pričom rozdiely na úrovni 1 eurocentu sú spôsobené zmen</w:t>
      </w:r>
      <w:r w:rsidR="00995B03">
        <w:t>ou</w:t>
      </w:r>
      <w:r w:rsidR="009D1655">
        <w:t xml:space="preserve"> ročných kurzov PLN/EUR. Na koncesných diaľniciach dochádzalo počas prevádzky systému prevažne k zvyšovaniu sadzieb mýta</w:t>
      </w:r>
      <w:r w:rsidR="00995B03">
        <w:t xml:space="preserve"> (</w:t>
      </w:r>
      <w:r w:rsidR="00AE5B8A">
        <w:fldChar w:fldCharType="begin"/>
      </w:r>
      <w:r w:rsidR="00995B03">
        <w:instrText xml:space="preserve"> REF _Ref23088750 \h </w:instrText>
      </w:r>
      <w:r w:rsidR="00AE5B8A">
        <w:fldChar w:fldCharType="separate"/>
      </w:r>
      <w:r w:rsidR="001E4C1C" w:rsidRPr="00220C8B">
        <w:t xml:space="preserve">Obr. </w:t>
      </w:r>
      <w:r w:rsidR="001E4C1C">
        <w:rPr>
          <w:noProof/>
        </w:rPr>
        <w:t>3</w:t>
      </w:r>
      <w:r w:rsidR="001E4C1C">
        <w:noBreakHyphen/>
      </w:r>
      <w:r w:rsidR="001E4C1C">
        <w:rPr>
          <w:noProof/>
        </w:rPr>
        <w:t>17</w:t>
      </w:r>
      <w:r w:rsidR="00AE5B8A">
        <w:fldChar w:fldCharType="end"/>
      </w:r>
      <w:r w:rsidR="00995B03">
        <w:t>)</w:t>
      </w:r>
      <w:r w:rsidR="00995B03" w:rsidRPr="00853567">
        <w:t>.</w:t>
      </w:r>
    </w:p>
    <w:p w:rsidR="00900E55" w:rsidRDefault="00900E55" w:rsidP="00045042">
      <w:r w:rsidRPr="00900E55">
        <w:rPr>
          <w:noProof/>
          <w:lang w:eastAsia="sk-SK"/>
        </w:rPr>
        <w:drawing>
          <wp:inline distT="0" distB="0" distL="0" distR="0">
            <wp:extent cx="5940000" cy="2880000"/>
            <wp:effectExtent l="19050" t="0" r="22650" b="0"/>
            <wp:docPr id="120" name="Graf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D55EFD" w:rsidRDefault="00900E55" w:rsidP="00D55EFD">
      <w:pPr>
        <w:pStyle w:val="Popis"/>
      </w:pPr>
      <w:bookmarkStart w:id="315" w:name="_Ref23088750"/>
      <w:bookmarkStart w:id="316" w:name="_Toc36664548"/>
      <w:r w:rsidRPr="00220C8B">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17</w:t>
      </w:r>
      <w:r w:rsidR="00C40D3F">
        <w:rPr>
          <w:noProof/>
        </w:rPr>
        <w:fldChar w:fldCharType="end"/>
      </w:r>
      <w:bookmarkEnd w:id="315"/>
      <w:r w:rsidRPr="00220C8B">
        <w:tab/>
        <w:t>Vývoj sadzieb na diaľnic</w:t>
      </w:r>
      <w:r w:rsidR="00853567">
        <w:t>i</w:t>
      </w:r>
      <w:r w:rsidRPr="00220C8B">
        <w:t xml:space="preserve">ach </w:t>
      </w:r>
      <w:r w:rsidR="00D55EFD">
        <w:t xml:space="preserve">a rýchlostných cestách </w:t>
      </w:r>
      <w:r w:rsidRPr="00220C8B">
        <w:t xml:space="preserve">v </w:t>
      </w:r>
      <w:r>
        <w:t>PL</w:t>
      </w:r>
      <w:r w:rsidRPr="00220C8B">
        <w:t xml:space="preserve"> v rokoch </w:t>
      </w:r>
      <w:r>
        <w:t>2010-2018</w:t>
      </w:r>
      <w:r w:rsidR="00D55EFD">
        <w:t>/EURO IV.</w:t>
      </w:r>
      <w:bookmarkEnd w:id="316"/>
    </w:p>
    <w:p w:rsidR="00900E55" w:rsidRPr="009D1655" w:rsidRDefault="009D1655" w:rsidP="009D1655">
      <w:r>
        <w:t>Sadzby za užívanie štátnych ciest v Poľsku sa počas prevádzky systému taktiež nemenili</w:t>
      </w:r>
      <w:r w:rsidR="00995B03">
        <w:t xml:space="preserve"> </w:t>
      </w:r>
      <w:r w:rsidR="00995B03" w:rsidRPr="00995B03">
        <w:t>(</w:t>
      </w:r>
      <w:r w:rsidR="00C40D3F">
        <w:fldChar w:fldCharType="begin"/>
      </w:r>
      <w:r w:rsidR="00C40D3F">
        <w:instrText xml:space="preserve"> REF _Ref23088775 \h  \* MERGEFORMAT </w:instrText>
      </w:r>
      <w:r w:rsidR="00C40D3F">
        <w:fldChar w:fldCharType="separate"/>
      </w:r>
      <w:r w:rsidR="001E4C1C" w:rsidRPr="001E4C1C">
        <w:rPr>
          <w:rFonts w:asciiTheme="minorHAnsi" w:hAnsiTheme="minorHAnsi" w:cstheme="minorHAnsi"/>
        </w:rPr>
        <w:t xml:space="preserve">Obr. </w:t>
      </w:r>
      <w:r w:rsidR="001E4C1C" w:rsidRPr="001E4C1C">
        <w:rPr>
          <w:rFonts w:asciiTheme="minorHAnsi" w:hAnsiTheme="minorHAnsi" w:cstheme="minorHAnsi"/>
          <w:noProof/>
        </w:rPr>
        <w:t>3</w:t>
      </w:r>
      <w:r w:rsidR="001E4C1C" w:rsidRPr="001E4C1C">
        <w:rPr>
          <w:rFonts w:asciiTheme="minorHAnsi" w:hAnsiTheme="minorHAnsi" w:cstheme="minorHAnsi"/>
          <w:noProof/>
        </w:rPr>
        <w:noBreakHyphen/>
        <w:t>18</w:t>
      </w:r>
      <w:r w:rsidR="00C40D3F">
        <w:fldChar w:fldCharType="end"/>
      </w:r>
      <w:r w:rsidR="00995B03" w:rsidRPr="00995B03">
        <w:t>)</w:t>
      </w:r>
      <w:r w:rsidRPr="00995B03">
        <w:t>.</w:t>
      </w:r>
      <w:r>
        <w:t xml:space="preserve"> </w:t>
      </w:r>
    </w:p>
    <w:p w:rsidR="004233D9" w:rsidRDefault="0075581A" w:rsidP="00855F2E">
      <w:r w:rsidRPr="0075581A">
        <w:rPr>
          <w:noProof/>
          <w:lang w:eastAsia="sk-SK"/>
        </w:rPr>
        <w:drawing>
          <wp:inline distT="0" distB="0" distL="0" distR="0">
            <wp:extent cx="5940000" cy="2160000"/>
            <wp:effectExtent l="19050" t="0" r="22650" b="0"/>
            <wp:docPr id="113"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D55EFD" w:rsidRDefault="00D55EFD" w:rsidP="00D55EFD">
      <w:pPr>
        <w:jc w:val="center"/>
        <w:rPr>
          <w:caps/>
        </w:rPr>
      </w:pPr>
      <w:bookmarkStart w:id="317" w:name="_Ref23088775"/>
      <w:bookmarkStart w:id="318" w:name="_Toc36664549"/>
      <w:r w:rsidRPr="00220C8B">
        <w:rPr>
          <w:rFonts w:asciiTheme="minorHAnsi" w:hAnsiTheme="minorHAnsi" w:cstheme="minorHAnsi"/>
          <w:sz w:val="20"/>
        </w:rPr>
        <w:t xml:space="preserve">Obr. </w:t>
      </w:r>
      <w:r w:rsidR="00D61B89">
        <w:rPr>
          <w:rFonts w:asciiTheme="minorHAnsi" w:hAnsiTheme="minorHAnsi" w:cstheme="minorHAnsi"/>
          <w:sz w:val="20"/>
        </w:rPr>
        <w:fldChar w:fldCharType="begin"/>
      </w:r>
      <w:r w:rsidR="00D61B89">
        <w:rPr>
          <w:rFonts w:asciiTheme="minorHAnsi" w:hAnsiTheme="minorHAnsi" w:cstheme="minorHAnsi"/>
          <w:sz w:val="20"/>
        </w:rPr>
        <w:instrText xml:space="preserve"> STYLEREF 1 \s </w:instrText>
      </w:r>
      <w:r w:rsidR="00D61B89">
        <w:rPr>
          <w:rFonts w:asciiTheme="minorHAnsi" w:hAnsiTheme="minorHAnsi" w:cstheme="minorHAnsi"/>
          <w:sz w:val="20"/>
        </w:rPr>
        <w:fldChar w:fldCharType="separate"/>
      </w:r>
      <w:r w:rsidR="00D61B89">
        <w:rPr>
          <w:rFonts w:asciiTheme="minorHAnsi" w:hAnsiTheme="minorHAnsi" w:cstheme="minorHAnsi"/>
          <w:noProof/>
          <w:sz w:val="20"/>
        </w:rPr>
        <w:t>3</w:t>
      </w:r>
      <w:r w:rsidR="00D61B89">
        <w:rPr>
          <w:rFonts w:asciiTheme="minorHAnsi" w:hAnsiTheme="minorHAnsi" w:cstheme="minorHAnsi"/>
          <w:sz w:val="20"/>
        </w:rPr>
        <w:fldChar w:fldCharType="end"/>
      </w:r>
      <w:r w:rsidR="00D61B89">
        <w:rPr>
          <w:rFonts w:asciiTheme="minorHAnsi" w:hAnsiTheme="minorHAnsi" w:cstheme="minorHAnsi"/>
          <w:sz w:val="20"/>
        </w:rPr>
        <w:noBreakHyphen/>
      </w:r>
      <w:r w:rsidR="00D61B89">
        <w:rPr>
          <w:rFonts w:asciiTheme="minorHAnsi" w:hAnsiTheme="minorHAnsi" w:cstheme="minorHAnsi"/>
          <w:sz w:val="20"/>
        </w:rPr>
        <w:fldChar w:fldCharType="begin"/>
      </w:r>
      <w:r w:rsidR="00D61B89">
        <w:rPr>
          <w:rFonts w:asciiTheme="minorHAnsi" w:hAnsiTheme="minorHAnsi" w:cstheme="minorHAnsi"/>
          <w:sz w:val="20"/>
        </w:rPr>
        <w:instrText xml:space="preserve"> SEQ Obr. \* ARABIC \s 1 </w:instrText>
      </w:r>
      <w:r w:rsidR="00D61B89">
        <w:rPr>
          <w:rFonts w:asciiTheme="minorHAnsi" w:hAnsiTheme="minorHAnsi" w:cstheme="minorHAnsi"/>
          <w:sz w:val="20"/>
        </w:rPr>
        <w:fldChar w:fldCharType="separate"/>
      </w:r>
      <w:r w:rsidR="00D61B89">
        <w:rPr>
          <w:rFonts w:asciiTheme="minorHAnsi" w:hAnsiTheme="minorHAnsi" w:cstheme="minorHAnsi"/>
          <w:noProof/>
          <w:sz w:val="20"/>
        </w:rPr>
        <w:t>18</w:t>
      </w:r>
      <w:r w:rsidR="00D61B89">
        <w:rPr>
          <w:rFonts w:asciiTheme="minorHAnsi" w:hAnsiTheme="minorHAnsi" w:cstheme="minorHAnsi"/>
          <w:sz w:val="20"/>
        </w:rPr>
        <w:fldChar w:fldCharType="end"/>
      </w:r>
      <w:bookmarkEnd w:id="317"/>
      <w:r w:rsidRPr="00220C8B">
        <w:rPr>
          <w:rFonts w:asciiTheme="minorHAnsi" w:hAnsiTheme="minorHAnsi" w:cstheme="minorHAnsi"/>
          <w:sz w:val="20"/>
        </w:rPr>
        <w:tab/>
        <w:t xml:space="preserve">Vývoj sadzieb na </w:t>
      </w:r>
      <w:r>
        <w:rPr>
          <w:rFonts w:asciiTheme="minorHAnsi" w:hAnsiTheme="minorHAnsi" w:cstheme="minorHAnsi"/>
          <w:sz w:val="20"/>
        </w:rPr>
        <w:t>štátnych cestách</w:t>
      </w:r>
      <w:r w:rsidRPr="00220C8B">
        <w:rPr>
          <w:rFonts w:asciiTheme="minorHAnsi" w:hAnsiTheme="minorHAnsi" w:cstheme="minorHAnsi"/>
          <w:sz w:val="20"/>
        </w:rPr>
        <w:t xml:space="preserve"> v </w:t>
      </w:r>
      <w:r>
        <w:rPr>
          <w:rFonts w:asciiTheme="minorHAnsi" w:hAnsiTheme="minorHAnsi" w:cstheme="minorHAnsi"/>
          <w:sz w:val="20"/>
        </w:rPr>
        <w:t>PL</w:t>
      </w:r>
      <w:r w:rsidRPr="00220C8B">
        <w:rPr>
          <w:rFonts w:asciiTheme="minorHAnsi" w:hAnsiTheme="minorHAnsi" w:cstheme="minorHAnsi"/>
          <w:sz w:val="20"/>
        </w:rPr>
        <w:t xml:space="preserve"> v rokoch </w:t>
      </w:r>
      <w:r>
        <w:rPr>
          <w:rFonts w:asciiTheme="minorHAnsi" w:hAnsiTheme="minorHAnsi" w:cstheme="minorHAnsi"/>
          <w:sz w:val="20"/>
        </w:rPr>
        <w:t>2010-2018/EURO IV.</w:t>
      </w:r>
      <w:bookmarkEnd w:id="318"/>
    </w:p>
    <w:p w:rsidR="0078640B" w:rsidRPr="0078640B" w:rsidRDefault="00045042" w:rsidP="00045042">
      <w:pPr>
        <w:spacing w:before="0" w:after="0" w:line="240" w:lineRule="auto"/>
        <w:jc w:val="left"/>
        <w:rPr>
          <w:rStyle w:val="Siln"/>
        </w:rPr>
      </w:pPr>
      <w:r>
        <w:rPr>
          <w:rStyle w:val="Siln"/>
        </w:rPr>
        <w:br w:type="page"/>
      </w:r>
      <w:r w:rsidR="0078640B" w:rsidRPr="0078640B">
        <w:rPr>
          <w:rStyle w:val="Siln"/>
        </w:rPr>
        <w:t xml:space="preserve">Porovnanie sadzieb mýta v SR a zahraničí pre jednotlivé kategórie povinných vozidiel </w:t>
      </w:r>
    </w:p>
    <w:p w:rsidR="008268A7" w:rsidRDefault="0078640B" w:rsidP="0078640B">
      <w:pPr>
        <w:contextualSpacing/>
        <w:rPr>
          <w:rStyle w:val="Siln"/>
        </w:rPr>
      </w:pPr>
      <w:r w:rsidRPr="0078640B">
        <w:rPr>
          <w:rStyle w:val="Siln"/>
        </w:rPr>
        <w:t>(diaľnice</w:t>
      </w:r>
      <w:r w:rsidR="00220C8B">
        <w:rPr>
          <w:rStyle w:val="Siln"/>
        </w:rPr>
        <w:t xml:space="preserve"> a rýchlostné cesty</w:t>
      </w:r>
      <w:r w:rsidRPr="0078640B">
        <w:rPr>
          <w:rStyle w:val="Siln"/>
        </w:rPr>
        <w:t>, EURO IV.)</w:t>
      </w:r>
    </w:p>
    <w:p w:rsidR="00220C8B" w:rsidRPr="0078640B" w:rsidRDefault="00220C8B" w:rsidP="0078640B">
      <w:pPr>
        <w:contextualSpacing/>
        <w:rPr>
          <w:rStyle w:val="Siln"/>
        </w:rPr>
      </w:pPr>
    </w:p>
    <w:p w:rsidR="002A01A5" w:rsidRDefault="002A01A5" w:rsidP="00855F2E">
      <w:r>
        <w:rPr>
          <w:noProof/>
          <w:lang w:eastAsia="sk-SK"/>
        </w:rPr>
        <w:drawing>
          <wp:inline distT="0" distB="0" distL="0" distR="0">
            <wp:extent cx="5940000" cy="1794510"/>
            <wp:effectExtent l="19050" t="0" r="22650" b="0"/>
            <wp:docPr id="8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Pr>
          <w:noProof/>
          <w:lang w:eastAsia="sk-SK"/>
        </w:rPr>
        <w:drawing>
          <wp:inline distT="0" distB="0" distL="0" distR="0">
            <wp:extent cx="5940000" cy="1794510"/>
            <wp:effectExtent l="19050" t="0" r="22650" b="0"/>
            <wp:docPr id="87" name="Graf 7"/>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Pr>
          <w:noProof/>
          <w:lang w:eastAsia="sk-SK"/>
        </w:rPr>
        <w:drawing>
          <wp:inline distT="0" distB="0" distL="0" distR="0">
            <wp:extent cx="5940000" cy="1794510"/>
            <wp:effectExtent l="19050" t="0" r="22650" b="0"/>
            <wp:docPr id="89"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Pr>
          <w:noProof/>
          <w:lang w:eastAsia="sk-SK"/>
        </w:rPr>
        <w:drawing>
          <wp:inline distT="0" distB="0" distL="0" distR="0">
            <wp:extent cx="5940000" cy="1794510"/>
            <wp:effectExtent l="19050" t="0" r="22650" b="0"/>
            <wp:docPr id="90"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78640B" w:rsidRDefault="00D55EFD" w:rsidP="00D55EFD">
      <w:pPr>
        <w:pStyle w:val="Popis"/>
        <w:rPr>
          <w:rStyle w:val="Siln"/>
        </w:rPr>
      </w:pPr>
      <w:bookmarkStart w:id="319" w:name="_Ref23091506"/>
      <w:bookmarkStart w:id="320" w:name="_Toc36664550"/>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19</w:t>
      </w:r>
      <w:r w:rsidR="00C40D3F">
        <w:rPr>
          <w:noProof/>
        </w:rPr>
        <w:fldChar w:fldCharType="end"/>
      </w:r>
      <w:bookmarkEnd w:id="319"/>
      <w:r>
        <w:t xml:space="preserve"> </w:t>
      </w:r>
      <w:r w:rsidR="000B0293">
        <w:tab/>
      </w:r>
      <w:r>
        <w:t>P</w:t>
      </w:r>
      <w:r w:rsidRPr="00196F90">
        <w:t xml:space="preserve">orovnanie sadzieb štátov </w:t>
      </w:r>
      <w:r>
        <w:t xml:space="preserve">na diaľniciach a RC </w:t>
      </w:r>
      <w:r w:rsidRPr="00196F90">
        <w:t>pre jednotlivé kategórie vozidiel</w:t>
      </w:r>
      <w:r>
        <w:t>/EURO IV.</w:t>
      </w:r>
      <w:bookmarkEnd w:id="320"/>
    </w:p>
    <w:p w:rsidR="00220C8B" w:rsidRDefault="00220C8B">
      <w:pPr>
        <w:spacing w:before="0" w:after="0" w:line="240" w:lineRule="auto"/>
        <w:jc w:val="left"/>
        <w:rPr>
          <w:rStyle w:val="Siln"/>
        </w:rPr>
      </w:pPr>
      <w:r>
        <w:rPr>
          <w:rStyle w:val="Siln"/>
        </w:rPr>
        <w:br w:type="page"/>
      </w:r>
    </w:p>
    <w:p w:rsidR="0078640B" w:rsidRPr="0078640B" w:rsidRDefault="0078640B" w:rsidP="0078640B">
      <w:pPr>
        <w:contextualSpacing/>
        <w:rPr>
          <w:rStyle w:val="Siln"/>
        </w:rPr>
      </w:pPr>
      <w:r w:rsidRPr="0078640B">
        <w:rPr>
          <w:rStyle w:val="Siln"/>
        </w:rPr>
        <w:t xml:space="preserve">Porovnanie sadzieb mýta v SR a zahraničí pre jednotlivé kategórie povinných vozidiel </w:t>
      </w:r>
    </w:p>
    <w:p w:rsidR="0078640B" w:rsidRDefault="0078640B" w:rsidP="0078640B">
      <w:pPr>
        <w:contextualSpacing/>
        <w:rPr>
          <w:rStyle w:val="Siln"/>
        </w:rPr>
      </w:pPr>
      <w:r w:rsidRPr="0078640B">
        <w:rPr>
          <w:rStyle w:val="Siln"/>
        </w:rPr>
        <w:t>(</w:t>
      </w:r>
      <w:r>
        <w:rPr>
          <w:rStyle w:val="Siln"/>
        </w:rPr>
        <w:t>cesty I. triedy/štátne cesty</w:t>
      </w:r>
      <w:r w:rsidRPr="0078640B">
        <w:rPr>
          <w:rStyle w:val="Siln"/>
        </w:rPr>
        <w:t xml:space="preserve">, </w:t>
      </w:r>
      <w:r>
        <w:rPr>
          <w:rStyle w:val="Siln"/>
        </w:rPr>
        <w:t>EURO IV.</w:t>
      </w:r>
      <w:r w:rsidRPr="0078640B">
        <w:rPr>
          <w:rStyle w:val="Siln"/>
        </w:rPr>
        <w:t>)</w:t>
      </w:r>
    </w:p>
    <w:p w:rsidR="0078640B" w:rsidRDefault="0078640B" w:rsidP="0078640B">
      <w:pPr>
        <w:contextualSpacing/>
        <w:rPr>
          <w:rStyle w:val="Siln"/>
        </w:rPr>
      </w:pPr>
    </w:p>
    <w:p w:rsidR="00220C8B" w:rsidRDefault="008268A7" w:rsidP="0078640B">
      <w:pPr>
        <w:contextualSpacing/>
      </w:pPr>
      <w:r>
        <w:rPr>
          <w:noProof/>
          <w:lang w:eastAsia="sk-SK"/>
        </w:rPr>
        <w:drawing>
          <wp:inline distT="0" distB="0" distL="0" distR="0">
            <wp:extent cx="5940000" cy="1794510"/>
            <wp:effectExtent l="19050" t="0" r="22650" b="0"/>
            <wp:docPr id="91"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Pr>
          <w:noProof/>
          <w:lang w:eastAsia="sk-SK"/>
        </w:rPr>
        <w:drawing>
          <wp:inline distT="0" distB="0" distL="0" distR="0">
            <wp:extent cx="5940000" cy="1794510"/>
            <wp:effectExtent l="19050" t="0" r="22650" b="0"/>
            <wp:docPr id="93"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r>
        <w:rPr>
          <w:noProof/>
          <w:lang w:eastAsia="sk-SK"/>
        </w:rPr>
        <w:drawing>
          <wp:inline distT="0" distB="0" distL="0" distR="0">
            <wp:extent cx="5940000" cy="1794510"/>
            <wp:effectExtent l="19050" t="0" r="22650" b="0"/>
            <wp:docPr id="94"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r>
        <w:rPr>
          <w:noProof/>
          <w:lang w:eastAsia="sk-SK"/>
        </w:rPr>
        <w:drawing>
          <wp:inline distT="0" distB="0" distL="0" distR="0">
            <wp:extent cx="5940000" cy="1794510"/>
            <wp:effectExtent l="19050" t="0" r="22650" b="0"/>
            <wp:docPr id="97"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D55EFD" w:rsidRDefault="00D55EFD" w:rsidP="00D55EFD">
      <w:pPr>
        <w:pStyle w:val="Popis"/>
        <w:rPr>
          <w:rStyle w:val="Siln"/>
        </w:rPr>
      </w:pPr>
      <w:bookmarkStart w:id="321" w:name="_Ref23091539"/>
      <w:bookmarkStart w:id="322" w:name="_Toc36664551"/>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20</w:t>
      </w:r>
      <w:r w:rsidR="00C40D3F">
        <w:rPr>
          <w:noProof/>
        </w:rPr>
        <w:fldChar w:fldCharType="end"/>
      </w:r>
      <w:bookmarkEnd w:id="321"/>
      <w:r>
        <w:t xml:space="preserve"> </w:t>
      </w:r>
      <w:r w:rsidR="000B0293">
        <w:tab/>
      </w:r>
      <w:r>
        <w:t>P</w:t>
      </w:r>
      <w:r w:rsidRPr="00196F90">
        <w:t xml:space="preserve">orovnanie sadzieb štátov </w:t>
      </w:r>
      <w:r>
        <w:t xml:space="preserve">na cestách I. triedy </w:t>
      </w:r>
      <w:r w:rsidRPr="00196F90">
        <w:t>pre jednotlivé kategórie vozidiel</w:t>
      </w:r>
      <w:r>
        <w:t>/EURO IV.</w:t>
      </w:r>
      <w:bookmarkEnd w:id="322"/>
    </w:p>
    <w:p w:rsidR="00D55EFD" w:rsidRDefault="00D55EFD" w:rsidP="0078640B">
      <w:pPr>
        <w:contextualSpacing/>
      </w:pPr>
    </w:p>
    <w:p w:rsidR="00371ED4" w:rsidRDefault="00371ED4" w:rsidP="00371ED4">
      <w:r>
        <w:t>Na predchádzajúcich obrázkoch sú zobrazené porovnania mýtnych sadzieb v jednotlivých krajinách pre kategórie povinných nákladných vozidiel</w:t>
      </w:r>
      <w:r w:rsidR="00412F03">
        <w:t xml:space="preserve"> v emisnej triede EURO IV</w:t>
      </w:r>
      <w:r>
        <w:t>. Obrázok (</w:t>
      </w:r>
      <w:r w:rsidR="00AE5B8A">
        <w:fldChar w:fldCharType="begin"/>
      </w:r>
      <w:r>
        <w:instrText xml:space="preserve"> REF _Ref23091506 \h </w:instrText>
      </w:r>
      <w:r w:rsidR="00AE5B8A">
        <w:fldChar w:fldCharType="separate"/>
      </w:r>
      <w:r w:rsidR="001E4C1C">
        <w:t xml:space="preserve">Obr. </w:t>
      </w:r>
      <w:r w:rsidR="001E4C1C">
        <w:rPr>
          <w:noProof/>
        </w:rPr>
        <w:t>3</w:t>
      </w:r>
      <w:r w:rsidR="001E4C1C">
        <w:noBreakHyphen/>
      </w:r>
      <w:r w:rsidR="001E4C1C">
        <w:rPr>
          <w:noProof/>
        </w:rPr>
        <w:t>19</w:t>
      </w:r>
      <w:r w:rsidR="00AE5B8A">
        <w:fldChar w:fldCharType="end"/>
      </w:r>
      <w:r>
        <w:t>) porovnáva sadzby za užívanie diaľnic a rýchlostných ciest, obrázok (</w:t>
      </w:r>
      <w:r w:rsidR="00AE5B8A">
        <w:fldChar w:fldCharType="begin"/>
      </w:r>
      <w:r>
        <w:instrText xml:space="preserve"> REF _Ref23091539 \h </w:instrText>
      </w:r>
      <w:r w:rsidR="00AE5B8A">
        <w:fldChar w:fldCharType="separate"/>
      </w:r>
      <w:r w:rsidR="001E4C1C">
        <w:t xml:space="preserve">Obr. </w:t>
      </w:r>
      <w:r w:rsidR="001E4C1C">
        <w:rPr>
          <w:noProof/>
        </w:rPr>
        <w:t>3</w:t>
      </w:r>
      <w:r w:rsidR="001E4C1C">
        <w:noBreakHyphen/>
      </w:r>
      <w:r w:rsidR="001E4C1C">
        <w:rPr>
          <w:noProof/>
        </w:rPr>
        <w:t>20</w:t>
      </w:r>
      <w:r w:rsidR="00AE5B8A">
        <w:fldChar w:fldCharType="end"/>
      </w:r>
      <w:r>
        <w:t xml:space="preserve">) za užívanie ciest I. triedy, resp. štátnych ciest. </w:t>
      </w:r>
    </w:p>
    <w:p w:rsidR="00C86402" w:rsidRDefault="00C86402" w:rsidP="00C86402">
      <w:r>
        <w:t>Z porovnania sadzieb na diaľniciach vyplýva, že sadzby v Rakúsku sú najvyššie pre všetky kategórie vozidiel, naopak najnižšie v Poľsku. Pre nižšiu hmotnostnú kategóriu NV (3,5-12 t, 2 nápravy) sú v porovnaní so Slovenskom nižšie sadzby len v Poľsku, pre ťažšiu hmotnostnú kategóriu vozidiel (nad 12 t, 3-4-5 náprav) sú na Slovensku vyššie sadzby ako v Nemecku a Poľsku, naopak nižšie sadzby v porovnaní s Českou republikou (okrem 3-nápravovej kategórie NV nad 12 t).</w:t>
      </w:r>
    </w:p>
    <w:p w:rsidR="00C86402" w:rsidRDefault="00C86402" w:rsidP="00C86402">
      <w:r>
        <w:t>Porovnaním sadzieb mýta na cestách I. triedy možno konštatovať, že sadzby mýta na Slovensku sú porovnateľné s</w:t>
      </w:r>
      <w:r w:rsidR="009D0767">
        <w:t> </w:t>
      </w:r>
      <w:r>
        <w:t>Nemeckom</w:t>
      </w:r>
      <w:r w:rsidR="009D0767">
        <w:t xml:space="preserve"> (okrem najnižšej hmotnostnej kategórie)</w:t>
      </w:r>
      <w:r>
        <w:t xml:space="preserve"> a vyššie oproti Českej republike a Poľsku.  Najvyšší rozdiel medzi SR a ČR je v hmotnostnej kategórii NV nad 12</w:t>
      </w:r>
      <w:r w:rsidR="00412F03">
        <w:t xml:space="preserve"> ton</w:t>
      </w:r>
      <w:r>
        <w:t xml:space="preserve"> s 3 nápravami (o 0,08 €), najnižší v ľahšej hmotnostnej kategórii 3,5-12 t (o 0,02 €). </w:t>
      </w:r>
    </w:p>
    <w:p w:rsidR="00C86402" w:rsidRDefault="00C86402" w:rsidP="00C86402">
      <w:r>
        <w:t xml:space="preserve">Sadzby za autobusy </w:t>
      </w:r>
      <w:r w:rsidR="009D0767">
        <w:t>neboli</w:t>
      </w:r>
      <w:r>
        <w:t xml:space="preserve"> porovnávané, nakoľko ich kategorizácia je významne odlišná. Na Slovensku je odlíšená hmotnostná kategória autobusov, v Českej republike a Poľsku je uvažovaná len jedna kategória pre autobusy</w:t>
      </w:r>
      <w:r w:rsidR="00FD4095">
        <w:t xml:space="preserve"> a </w:t>
      </w:r>
      <w:r>
        <w:t xml:space="preserve">v Nemecku a Rakúsku sú kategórie autobusov odlíšené podľa </w:t>
      </w:r>
      <w:r w:rsidR="00FD4095">
        <w:t xml:space="preserve">počtu </w:t>
      </w:r>
      <w:r>
        <w:t>náprav</w:t>
      </w:r>
      <w:r w:rsidR="00412F03">
        <w:t xml:space="preserve"> rovnako ako nákladné vozidlá.</w:t>
      </w:r>
    </w:p>
    <w:p w:rsidR="003C588A" w:rsidRDefault="003C588A" w:rsidP="003C588A">
      <w:bookmarkStart w:id="323" w:name="_Ref23756128"/>
      <w:r>
        <w:rPr>
          <w:b/>
        </w:rPr>
        <w:t>P</w:t>
      </w:r>
      <w:r w:rsidRPr="008C006B">
        <w:rPr>
          <w:b/>
        </w:rPr>
        <w:t>orovnan</w:t>
      </w:r>
      <w:r>
        <w:rPr>
          <w:b/>
        </w:rPr>
        <w:t xml:space="preserve">ím skutočných </w:t>
      </w:r>
      <w:r w:rsidRPr="008C006B">
        <w:rPr>
          <w:b/>
        </w:rPr>
        <w:t xml:space="preserve">sadzieb </w:t>
      </w:r>
      <w:r>
        <w:rPr>
          <w:b/>
        </w:rPr>
        <w:t xml:space="preserve">mýta pre jednotlivé kategórie vozidiel a kategórie ciest v SR a zahraničí </w:t>
      </w:r>
      <w:r w:rsidRPr="008C006B">
        <w:rPr>
          <w:b/>
        </w:rPr>
        <w:t>možno konštatovať používanie podobnej cenovej politiky</w:t>
      </w:r>
      <w:r>
        <w:rPr>
          <w:b/>
        </w:rPr>
        <w:t xml:space="preserve">, </w:t>
      </w:r>
      <w:r w:rsidRPr="008C006B">
        <w:rPr>
          <w:b/>
        </w:rPr>
        <w:t xml:space="preserve"> najmä Slovenska, Nemecka  a Českej republiky pre diaľnice aj cesty I. triedy.</w:t>
      </w:r>
      <w:r w:rsidRPr="008C006B">
        <w:t xml:space="preserve"> </w:t>
      </w:r>
      <w:r>
        <w:t xml:space="preserve"> </w:t>
      </w:r>
      <w:r w:rsidRPr="008C006B">
        <w:rPr>
          <w:b/>
        </w:rPr>
        <w:t xml:space="preserve">Všeobecne najvyššie </w:t>
      </w:r>
      <w:r>
        <w:rPr>
          <w:b/>
        </w:rPr>
        <w:t xml:space="preserve">mýtne </w:t>
      </w:r>
      <w:r w:rsidRPr="008C006B">
        <w:rPr>
          <w:b/>
        </w:rPr>
        <w:t>sadzby sú v </w:t>
      </w:r>
      <w:r>
        <w:rPr>
          <w:b/>
        </w:rPr>
        <w:t>R</w:t>
      </w:r>
      <w:r w:rsidRPr="008C006B">
        <w:rPr>
          <w:b/>
        </w:rPr>
        <w:t>akúsku a najnižšie v Poľsku.</w:t>
      </w:r>
      <w:r>
        <w:t xml:space="preserve"> </w:t>
      </w:r>
    </w:p>
    <w:p w:rsidR="00CC221E" w:rsidRDefault="00076BB5" w:rsidP="009662E0">
      <w:pPr>
        <w:pStyle w:val="Nadpis3"/>
      </w:pPr>
      <w:bookmarkStart w:id="324" w:name="_Ref23951774"/>
      <w:bookmarkStart w:id="325" w:name="_Toc36664414"/>
      <w:r>
        <w:t>D</w:t>
      </w:r>
      <w:r w:rsidR="00544602">
        <w:t>opravné</w:t>
      </w:r>
      <w:r w:rsidR="00A038B1">
        <w:t xml:space="preserve"> výkony </w:t>
      </w:r>
      <w:r w:rsidR="009662E0">
        <w:t>povinných vozidiel na sieti</w:t>
      </w:r>
      <w:bookmarkEnd w:id="323"/>
      <w:bookmarkEnd w:id="324"/>
      <w:bookmarkEnd w:id="325"/>
    </w:p>
    <w:p w:rsidR="000C6A03" w:rsidRDefault="000C6A03" w:rsidP="00544602">
      <w:pPr>
        <w:pStyle w:val="Normaltext"/>
        <w:spacing w:line="276" w:lineRule="auto"/>
      </w:pPr>
      <w:r>
        <w:t xml:space="preserve">Vzhľadom na to, že výnosy systému sú dané vozokilometrickými </w:t>
      </w:r>
      <w:r w:rsidR="00544602">
        <w:t xml:space="preserve">výkonmi povinných vozidiel na spoplatnenej sieti, riešiteľský kolektív porovnal prognózované (2009) a skutočné dopravné výkony vozidiel osobitne na diaľniciach a rýchlostných cestách, na cestách I. triedy a spolu na celkovej spoplatnenej sieti ciest. </w:t>
      </w:r>
    </w:p>
    <w:p w:rsidR="00544602" w:rsidRDefault="00544602" w:rsidP="00544602">
      <w:pPr>
        <w:pStyle w:val="Normaltext"/>
        <w:spacing w:line="276" w:lineRule="auto"/>
      </w:pPr>
      <w:r>
        <w:t>Hodnoty prognózovaných dopravných výkonov</w:t>
      </w:r>
      <w:r w:rsidRPr="003F5B17">
        <w:t xml:space="preserve"> </w:t>
      </w:r>
      <w:r>
        <w:t>povinných vozidiel</w:t>
      </w:r>
      <w:r w:rsidRPr="003F5B17">
        <w:t xml:space="preserve"> </w:t>
      </w:r>
      <w:r>
        <w:t xml:space="preserve">na spoplatnených úsekoch ciest boli vypočítané </w:t>
      </w:r>
      <w:r w:rsidRPr="003F5B17">
        <w:t>z</w:t>
      </w:r>
      <w:r>
        <w:t> údajov uvedených v D</w:t>
      </w:r>
      <w:r w:rsidRPr="003F5B17">
        <w:t>okumentáci</w:t>
      </w:r>
      <w:r>
        <w:t>i</w:t>
      </w:r>
      <w:r w:rsidRPr="003F5B17">
        <w:t xml:space="preserve"> pre výberové konanie na službu elektronického výberu mýta</w:t>
      </w:r>
      <w:r>
        <w:t xml:space="preserve"> </w:t>
      </w:r>
      <w:r w:rsidRPr="00371ED4">
        <w:rPr>
          <w:rFonts w:asciiTheme="minorHAnsi" w:hAnsiTheme="minorHAnsi" w:cstheme="minorHAnsi"/>
        </w:rPr>
        <w:t>[12]</w:t>
      </w:r>
      <w:r>
        <w:rPr>
          <w:rFonts w:asciiTheme="minorHAnsi" w:hAnsiTheme="minorHAnsi" w:cstheme="minorHAnsi"/>
        </w:rPr>
        <w:t xml:space="preserve">, údaje o skutočných dopravných výkonoch vozidiel boli získané z údajov prevádzkovateľa systému </w:t>
      </w:r>
      <w:r w:rsidRPr="007D391E">
        <w:rPr>
          <w:rFonts w:asciiTheme="minorHAnsi" w:hAnsiTheme="minorHAnsi" w:cstheme="minorHAnsi"/>
        </w:rPr>
        <w:t>[7]</w:t>
      </w:r>
      <w:r>
        <w:rPr>
          <w:rFonts w:asciiTheme="minorHAnsi" w:hAnsiTheme="minorHAnsi" w:cstheme="minorHAnsi"/>
        </w:rPr>
        <w:t xml:space="preserve">. </w:t>
      </w:r>
      <w:r w:rsidR="004965D4">
        <w:rPr>
          <w:rFonts w:asciiTheme="minorHAnsi" w:hAnsiTheme="minorHAnsi" w:cstheme="minorHAnsi"/>
        </w:rPr>
        <w:t>Vo výpočte straty/zisku vo výnosoch systému sú použité vypočítané priemerné sadzby jednotkového vozokilometra v každom roku prevádzky systému (</w:t>
      </w:r>
      <w:r w:rsidR="00AE5B8A">
        <w:fldChar w:fldCharType="begin"/>
      </w:r>
      <w:r w:rsidR="004965D4">
        <w:instrText xml:space="preserve"> REF _Ref21711237 \h </w:instrText>
      </w:r>
      <w:r w:rsidR="00AE5B8A">
        <w:fldChar w:fldCharType="separate"/>
      </w:r>
      <w:r w:rsidR="001E4C1C" w:rsidRPr="004C1013">
        <w:t xml:space="preserve">Obr. </w:t>
      </w:r>
      <w:r w:rsidR="001E4C1C">
        <w:rPr>
          <w:noProof/>
        </w:rPr>
        <w:t>2</w:t>
      </w:r>
      <w:r w:rsidR="001E4C1C">
        <w:noBreakHyphen/>
      </w:r>
      <w:r w:rsidR="001E4C1C">
        <w:rPr>
          <w:noProof/>
        </w:rPr>
        <w:t>18</w:t>
      </w:r>
      <w:r w:rsidR="00AE5B8A">
        <w:fldChar w:fldCharType="end"/>
      </w:r>
      <w:r w:rsidR="004965D4">
        <w:t xml:space="preserve">) a priemer týchto sadzieb vypočítaných podľa údajov SkyToll, a.s. a NDS, a.s.. </w:t>
      </w:r>
    </w:p>
    <w:p w:rsidR="007D391E" w:rsidRDefault="00544602" w:rsidP="006A117A">
      <w:pPr>
        <w:pStyle w:val="Normaltext"/>
        <w:spacing w:line="276" w:lineRule="auto"/>
      </w:pPr>
      <w:r>
        <w:t xml:space="preserve">Z porovnania kumulovaných dopravných výkonov na diaľniciach a rýchlostných cestách </w:t>
      </w:r>
      <w:r w:rsidRPr="00076BB5">
        <w:t>(Obr. 3-23)</w:t>
      </w:r>
      <w:r>
        <w:t xml:space="preserve"> vyplýva</w:t>
      </w:r>
      <w:r w:rsidR="001656F7">
        <w:t xml:space="preserve">jú veľké rozdiely medzi pôvodným plánom a skutočnosťou. Tieto rozdiely sa každoročne čoraz viac prehlbujú, čo súvisí najmä s neodovzdávaním nových úsekov D a RC do užívania tak, ako bolo pôvodne očakávané. V prvom roku prevádzky systému boli na sieti D a RC dosiahnuté výkony vozidiel o 88 mil. vkm nižšie ako prognózované a v roku 2018 tento rozdiel predstavuje až 454 mil. vkm. </w:t>
      </w:r>
      <w:r w:rsidR="0058609D">
        <w:t>S</w:t>
      </w:r>
      <w:r w:rsidR="006A117A">
        <w:t xml:space="preserve">traty vo výnosoch systému za celé deväťročné obdobie jeho prevádzky </w:t>
      </w:r>
      <w:r w:rsidR="0058609D">
        <w:t xml:space="preserve">predstavujú </w:t>
      </w:r>
      <w:r w:rsidR="006A117A">
        <w:t>sumu 3</w:t>
      </w:r>
      <w:r w:rsidR="0058609D">
        <w:t>14</w:t>
      </w:r>
      <w:r w:rsidR="006A117A">
        <w:t>,</w:t>
      </w:r>
      <w:r w:rsidR="0058609D">
        <w:t>78</w:t>
      </w:r>
      <w:r w:rsidR="006A117A">
        <w:t xml:space="preserve"> mil. €.  </w:t>
      </w:r>
    </w:p>
    <w:p w:rsidR="007D391E" w:rsidRDefault="007D391E" w:rsidP="009662E0">
      <w:pPr>
        <w:pStyle w:val="Normaltext"/>
        <w:spacing w:line="276" w:lineRule="auto"/>
      </w:pPr>
      <w:r>
        <w:rPr>
          <w:noProof/>
          <w:lang w:eastAsia="sk-SK"/>
        </w:rPr>
        <w:drawing>
          <wp:inline distT="0" distB="0" distL="0" distR="0">
            <wp:extent cx="5940000" cy="2160000"/>
            <wp:effectExtent l="19050" t="0" r="22650" b="0"/>
            <wp:docPr id="55" name="Graf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7D391E" w:rsidRDefault="00A779E6" w:rsidP="00076BB5">
      <w:pPr>
        <w:pStyle w:val="Popis"/>
      </w:pPr>
      <w:bookmarkStart w:id="326" w:name="_Toc36664552"/>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21</w:t>
      </w:r>
      <w:r w:rsidR="00C40D3F">
        <w:rPr>
          <w:noProof/>
        </w:rPr>
        <w:fldChar w:fldCharType="end"/>
      </w:r>
      <w:r>
        <w:t xml:space="preserve"> </w:t>
      </w:r>
      <w:r>
        <w:tab/>
      </w:r>
      <w:r w:rsidR="00076BB5" w:rsidRPr="00076BB5">
        <w:t xml:space="preserve">Plánované </w:t>
      </w:r>
      <w:r w:rsidR="00076BB5">
        <w:t xml:space="preserve">(2009) </w:t>
      </w:r>
      <w:r w:rsidR="00076BB5" w:rsidRPr="00076BB5">
        <w:t>a skutočné kumulované dopravné výkony povin</w:t>
      </w:r>
      <w:r w:rsidR="00076BB5">
        <w:t>n</w:t>
      </w:r>
      <w:r w:rsidR="00076BB5" w:rsidRPr="00076BB5">
        <w:t>ých vozidiel na D a RC</w:t>
      </w:r>
      <w:bookmarkEnd w:id="326"/>
      <w:r w:rsidR="00076BB5" w:rsidRPr="00076BB5">
        <w:t xml:space="preserve"> </w:t>
      </w:r>
    </w:p>
    <w:p w:rsidR="006A117A" w:rsidRDefault="00731FF1" w:rsidP="006A117A">
      <w:pPr>
        <w:pStyle w:val="Normaltext"/>
        <w:spacing w:line="276" w:lineRule="auto"/>
      </w:pPr>
      <w:r>
        <w:t xml:space="preserve">Na cestách I. triedy taktiež neboli od začiatku prevádzky systému dosahované výkony vozidiel, ktoré sa  pôvodne predpokladali. </w:t>
      </w:r>
      <w:r w:rsidR="006E2B73">
        <w:t>Uvedený stav pretrvával do konca roku 201</w:t>
      </w:r>
      <w:r w:rsidR="006A117A">
        <w:t>3</w:t>
      </w:r>
      <w:r w:rsidR="006E2B73">
        <w:t xml:space="preserve"> </w:t>
      </w:r>
      <w:r w:rsidR="006A117A">
        <w:t>s</w:t>
      </w:r>
      <w:r w:rsidR="0058609D">
        <w:t xml:space="preserve"> vyčíslenou </w:t>
      </w:r>
      <w:r w:rsidR="006A117A">
        <w:t xml:space="preserve">celkovou </w:t>
      </w:r>
      <w:r w:rsidR="006E2B73">
        <w:t xml:space="preserve">stratou </w:t>
      </w:r>
      <w:r w:rsidR="006A117A">
        <w:t xml:space="preserve">31,9 mil. €.  Od roku 2014, kedy štát pristúpil k čiastočnej alternácii chýbajúcich (nedostavaných) úsekov diaľnic a rýchlostných ciest rozšírením siete spoplatnených úsekov ciest I. triedy dochádzalo v každom roku prevádzky k prekročeniu </w:t>
      </w:r>
      <w:r w:rsidR="0058609D">
        <w:t xml:space="preserve">pôvodne </w:t>
      </w:r>
      <w:r w:rsidR="006A117A">
        <w:t>predpokladaných výkonov vozidiel</w:t>
      </w:r>
      <w:r w:rsidR="004965D4">
        <w:t xml:space="preserve"> s navýšením výnosov o 44,3 mil. €</w:t>
      </w:r>
      <w:r w:rsidR="00446946">
        <w:t xml:space="preserve"> (</w:t>
      </w:r>
      <w:r w:rsidR="00AE5B8A">
        <w:fldChar w:fldCharType="begin"/>
      </w:r>
      <w:r w:rsidR="00446946">
        <w:instrText xml:space="preserve"> REF _Ref23927667 \h </w:instrText>
      </w:r>
      <w:r w:rsidR="00AE5B8A">
        <w:fldChar w:fldCharType="separate"/>
      </w:r>
      <w:r w:rsidR="001E4C1C">
        <w:t xml:space="preserve">Obr. </w:t>
      </w:r>
      <w:r w:rsidR="001E4C1C">
        <w:rPr>
          <w:noProof/>
        </w:rPr>
        <w:t>3</w:t>
      </w:r>
      <w:r w:rsidR="001E4C1C">
        <w:noBreakHyphen/>
      </w:r>
      <w:r w:rsidR="001E4C1C">
        <w:rPr>
          <w:noProof/>
        </w:rPr>
        <w:t>22</w:t>
      </w:r>
      <w:r w:rsidR="00AE5B8A">
        <w:fldChar w:fldCharType="end"/>
      </w:r>
      <w:r w:rsidR="00446946">
        <w:t>)</w:t>
      </w:r>
      <w:r w:rsidR="0058609D">
        <w:t>.</w:t>
      </w:r>
      <w:r w:rsidR="004965D4">
        <w:t xml:space="preserve"> </w:t>
      </w:r>
    </w:p>
    <w:p w:rsidR="007D391E" w:rsidRDefault="007D391E" w:rsidP="009662E0">
      <w:pPr>
        <w:pStyle w:val="Normaltext"/>
        <w:spacing w:line="276" w:lineRule="auto"/>
      </w:pPr>
      <w:r>
        <w:rPr>
          <w:noProof/>
          <w:lang w:eastAsia="sk-SK"/>
        </w:rPr>
        <w:drawing>
          <wp:inline distT="0" distB="0" distL="0" distR="0">
            <wp:extent cx="5940000" cy="2160000"/>
            <wp:effectExtent l="19050" t="0" r="22650" b="0"/>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076BB5" w:rsidRDefault="00A779E6" w:rsidP="00076BB5">
      <w:pPr>
        <w:pStyle w:val="Popis"/>
      </w:pPr>
      <w:bookmarkStart w:id="327" w:name="_Ref23927667"/>
      <w:bookmarkStart w:id="328" w:name="_Toc36664553"/>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22</w:t>
      </w:r>
      <w:r w:rsidR="00C40D3F">
        <w:rPr>
          <w:noProof/>
        </w:rPr>
        <w:fldChar w:fldCharType="end"/>
      </w:r>
      <w:bookmarkEnd w:id="327"/>
      <w:r>
        <w:t xml:space="preserve"> </w:t>
      </w:r>
      <w:r>
        <w:tab/>
      </w:r>
      <w:r w:rsidR="00076BB5" w:rsidRPr="00076BB5">
        <w:t>Plánované</w:t>
      </w:r>
      <w:r w:rsidR="00076BB5">
        <w:t xml:space="preserve"> (2009)</w:t>
      </w:r>
      <w:r w:rsidR="00076BB5" w:rsidRPr="00076BB5">
        <w:t xml:space="preserve"> a skutočné  kumulované dopravné výkony povin</w:t>
      </w:r>
      <w:r w:rsidR="00076BB5">
        <w:t>n</w:t>
      </w:r>
      <w:r w:rsidR="00076BB5" w:rsidRPr="00076BB5">
        <w:t>ých vozidiel na cestách I. triedy</w:t>
      </w:r>
      <w:bookmarkEnd w:id="328"/>
      <w:r w:rsidR="00076BB5" w:rsidRPr="00076BB5">
        <w:t xml:space="preserve"> </w:t>
      </w:r>
    </w:p>
    <w:p w:rsidR="0032702B" w:rsidRDefault="00731FF1" w:rsidP="0058609D">
      <w:r>
        <w:t>Z porovnania prognózovaných (2009) a skutočných dopravných výkono</w:t>
      </w:r>
      <w:r w:rsidR="00E85785">
        <w:t>v</w:t>
      </w:r>
      <w:r>
        <w:t xml:space="preserve"> na celej spoplatnenej sieti vyplýva, že už od prvého roku prevádzky systému neboli plánované výkony vozidiel dosiahnuté. Najväčší rozdiel medzi plánom a skutočnosťou bol dosiahnutý v roku 2018, a to 349 mil. vkm. </w:t>
      </w:r>
      <w:r w:rsidR="00446946" w:rsidRPr="0032702B">
        <w:rPr>
          <w:b/>
        </w:rPr>
        <w:t xml:space="preserve">Celkovo za deväťročné obdobie prevádzky boli skutočné </w:t>
      </w:r>
      <w:r w:rsidR="00A35189">
        <w:rPr>
          <w:b/>
        </w:rPr>
        <w:t xml:space="preserve">dopravné </w:t>
      </w:r>
      <w:r w:rsidR="00446946" w:rsidRPr="0032702B">
        <w:rPr>
          <w:b/>
        </w:rPr>
        <w:t>výkony vozidiel na spoplatnenej sieti o 1 968,5 mil. vzkm</w:t>
      </w:r>
      <w:r w:rsidR="0032702B">
        <w:rPr>
          <w:b/>
        </w:rPr>
        <w:t xml:space="preserve"> </w:t>
      </w:r>
      <w:r w:rsidR="0032702B" w:rsidRPr="0032702B">
        <w:rPr>
          <w:b/>
        </w:rPr>
        <w:t xml:space="preserve">nižšie </w:t>
      </w:r>
      <w:r w:rsidR="0032702B">
        <w:rPr>
          <w:b/>
        </w:rPr>
        <w:t>ako sa pôvodne predpokladalo</w:t>
      </w:r>
      <w:r w:rsidR="00446946" w:rsidRPr="0032702B">
        <w:rPr>
          <w:b/>
        </w:rPr>
        <w:t>, čo predstavuje</w:t>
      </w:r>
      <w:r w:rsidR="0032702B" w:rsidRPr="0032702B">
        <w:rPr>
          <w:b/>
        </w:rPr>
        <w:t xml:space="preserve"> </w:t>
      </w:r>
      <w:r w:rsidR="00446946" w:rsidRPr="0032702B">
        <w:rPr>
          <w:b/>
        </w:rPr>
        <w:t xml:space="preserve">stratu </w:t>
      </w:r>
      <w:r w:rsidR="0032702B" w:rsidRPr="0032702B">
        <w:rPr>
          <w:b/>
        </w:rPr>
        <w:t xml:space="preserve">vo výnosoch systému vypočítanú </w:t>
      </w:r>
      <w:r w:rsidR="00446946" w:rsidRPr="0032702B">
        <w:rPr>
          <w:b/>
        </w:rPr>
        <w:t xml:space="preserve">podľa priemernej sadzby </w:t>
      </w:r>
      <w:r w:rsidR="00A35189">
        <w:rPr>
          <w:b/>
        </w:rPr>
        <w:t xml:space="preserve">celkom </w:t>
      </w:r>
      <w:r w:rsidR="00446946" w:rsidRPr="0032702B">
        <w:rPr>
          <w:b/>
        </w:rPr>
        <w:t>302,44 mil. €</w:t>
      </w:r>
      <w:r w:rsidR="00446946">
        <w:t xml:space="preserve"> (</w:t>
      </w:r>
      <w:r w:rsidR="00AE5B8A">
        <w:fldChar w:fldCharType="begin"/>
      </w:r>
      <w:r w:rsidR="00446946">
        <w:instrText xml:space="preserve"> REF _Ref23927693 \h </w:instrText>
      </w:r>
      <w:r w:rsidR="00AE5B8A">
        <w:fldChar w:fldCharType="separate"/>
      </w:r>
      <w:r w:rsidR="001E4C1C">
        <w:t xml:space="preserve">Obr. </w:t>
      </w:r>
      <w:r w:rsidR="001E4C1C">
        <w:rPr>
          <w:noProof/>
        </w:rPr>
        <w:t>3</w:t>
      </w:r>
      <w:r w:rsidR="001E4C1C">
        <w:noBreakHyphen/>
      </w:r>
      <w:r w:rsidR="001E4C1C">
        <w:rPr>
          <w:noProof/>
        </w:rPr>
        <w:t>23</w:t>
      </w:r>
      <w:r w:rsidR="00AE5B8A">
        <w:fldChar w:fldCharType="end"/>
      </w:r>
      <w:r w:rsidR="00446946">
        <w:t xml:space="preserve">). </w:t>
      </w:r>
    </w:p>
    <w:p w:rsidR="0058609D" w:rsidRPr="0032702B" w:rsidRDefault="0032702B" w:rsidP="0032702B">
      <w:pPr>
        <w:pStyle w:val="Normaltext"/>
        <w:tabs>
          <w:tab w:val="left" w:pos="2674"/>
        </w:tabs>
      </w:pPr>
      <w:r>
        <w:tab/>
      </w:r>
    </w:p>
    <w:p w:rsidR="00474635" w:rsidRDefault="00DB4A16" w:rsidP="009662E0">
      <w:pPr>
        <w:pStyle w:val="Normaltext"/>
        <w:spacing w:line="276" w:lineRule="auto"/>
      </w:pPr>
      <w:r>
        <w:rPr>
          <w:noProof/>
          <w:lang w:eastAsia="sk-SK"/>
        </w:rPr>
        <w:drawing>
          <wp:inline distT="0" distB="0" distL="0" distR="0">
            <wp:extent cx="5940425" cy="2160000"/>
            <wp:effectExtent l="19050" t="0" r="22225" b="0"/>
            <wp:docPr id="40" name="Graf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A779E6" w:rsidRDefault="00A779E6" w:rsidP="00A779E6">
      <w:pPr>
        <w:pStyle w:val="Popis"/>
      </w:pPr>
      <w:bookmarkStart w:id="329" w:name="_Ref23927693"/>
      <w:bookmarkStart w:id="330" w:name="_Toc36664554"/>
      <w:r>
        <w:t xml:space="preserve">Obr. </w:t>
      </w:r>
      <w:r w:rsidR="00C40D3F">
        <w:fldChar w:fldCharType="begin"/>
      </w:r>
      <w:r w:rsidR="00C40D3F">
        <w:instrText xml:space="preserve"> STYLEREF 1 \s </w:instrText>
      </w:r>
      <w:r w:rsidR="00C40D3F">
        <w:fldChar w:fldCharType="separate"/>
      </w:r>
      <w:r w:rsidR="00D61B89">
        <w:rPr>
          <w:noProof/>
        </w:rPr>
        <w:t>3</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23</w:t>
      </w:r>
      <w:r w:rsidR="00C40D3F">
        <w:rPr>
          <w:noProof/>
        </w:rPr>
        <w:fldChar w:fldCharType="end"/>
      </w:r>
      <w:bookmarkEnd w:id="329"/>
      <w:r>
        <w:t xml:space="preserve"> </w:t>
      </w:r>
      <w:r>
        <w:tab/>
        <w:t>P</w:t>
      </w:r>
      <w:r w:rsidRPr="00196F90">
        <w:t xml:space="preserve">orovnanie sadzieb štátov </w:t>
      </w:r>
      <w:r>
        <w:t xml:space="preserve">na cestách I. triedy </w:t>
      </w:r>
      <w:r w:rsidRPr="00196F90">
        <w:t>pre jednotlivé kategórie vozidiel</w:t>
      </w:r>
      <w:r>
        <w:t>/EURO IV.</w:t>
      </w:r>
      <w:bookmarkEnd w:id="330"/>
    </w:p>
    <w:p w:rsidR="00993F8D" w:rsidRDefault="00993F8D" w:rsidP="00993F8D">
      <w:pPr>
        <w:pStyle w:val="Normaltext"/>
      </w:pPr>
    </w:p>
    <w:p w:rsidR="003823B8" w:rsidRDefault="003823B8" w:rsidP="003823B8">
      <w:pPr>
        <w:pStyle w:val="Nadpis3"/>
      </w:pPr>
      <w:bookmarkStart w:id="331" w:name="_Toc36664415"/>
      <w:r>
        <w:t>Ďalšie príčiny nízkej výnosnosti</w:t>
      </w:r>
      <w:bookmarkEnd w:id="331"/>
    </w:p>
    <w:p w:rsidR="003823B8" w:rsidRPr="003823B8" w:rsidRDefault="003823B8" w:rsidP="003823B8">
      <w:pPr>
        <w:pStyle w:val="podnadpiskapit"/>
        <w:spacing w:before="240"/>
        <w:rPr>
          <w:color w:val="auto"/>
        </w:rPr>
      </w:pPr>
      <w:r w:rsidRPr="003823B8">
        <w:rPr>
          <w:color w:val="auto"/>
        </w:rPr>
        <w:t>Nízka vymáhateľnosť pokút a dlžných platieb mýta</w:t>
      </w:r>
    </w:p>
    <w:p w:rsidR="003823B8" w:rsidRDefault="003823B8" w:rsidP="003823B8">
      <w:pPr>
        <w:pStyle w:val="Odsekzoznamu"/>
        <w:ind w:left="0"/>
        <w:contextualSpacing w:val="0"/>
      </w:pPr>
      <w:r>
        <w:t xml:space="preserve">Z údajov mýtneho systému vyplýva, že spoplatnené úseky sú využívané aj vozidlami, ktoré nemajú palubnú jednotku alebo ju nemajú správne nastavenú podľa kategórie vozidla. </w:t>
      </w:r>
    </w:p>
    <w:p w:rsidR="003823B8" w:rsidRDefault="003823B8" w:rsidP="003823B8">
      <w:pPr>
        <w:pStyle w:val="Odsekzoznamu"/>
        <w:ind w:left="0"/>
        <w:contextualSpacing w:val="0"/>
      </w:pPr>
      <w:r>
        <w:t>Ak sa jedná o zahraničných vodičov, ktorých nezastaví mýtna polícia, títo prejdú štátnu hranicu a správca mýta už nemá možnosť vymáhať nedoplatok mýta a pokutu, pretože pre takéto prípady neexistuje celoeurópska záväzná legislatíva a slovenská legislatíva do iných krajín nemá dosah.</w:t>
      </w:r>
    </w:p>
    <w:p w:rsidR="003823B8" w:rsidRDefault="003823B8" w:rsidP="003823B8">
      <w:pPr>
        <w:pStyle w:val="Odsekzoznamu"/>
        <w:ind w:left="0"/>
        <w:contextualSpacing w:val="0"/>
      </w:pPr>
      <w:r>
        <w:t>Smernica Rady 2010/24/EÚ</w:t>
      </w:r>
      <w:r w:rsidRPr="00507934">
        <w:t xml:space="preserve"> zo 16. marca 2010</w:t>
      </w:r>
      <w:r>
        <w:t xml:space="preserve"> </w:t>
      </w:r>
      <w:r w:rsidRPr="001C2098">
        <w:t>o vzájomnej pomoci pri vymáhaní pohľadávok vyplývajúcich z daní, poplatkov a ďalších opatrení</w:t>
      </w:r>
      <w:r>
        <w:t xml:space="preserve"> nezahŕňa pomoc pri vymáhaní mýta a pokút z neho plynúcich a v súčasnosti spoľahlivý systém vymáhania mýta a pokút medzi krajinami v EÚ ani neexistuje. </w:t>
      </w:r>
    </w:p>
    <w:p w:rsidR="003823B8" w:rsidRDefault="003823B8" w:rsidP="003823B8">
      <w:pPr>
        <w:pStyle w:val="Odsekzoznamu"/>
        <w:ind w:left="0"/>
        <w:contextualSpacing w:val="0"/>
      </w:pPr>
      <w:r>
        <w:t>N</w:t>
      </w:r>
      <w:r w:rsidRPr="006B12A2">
        <w:t>ová smernica (UE) 2019/520 o interoperabilite elektronických cestných systémov a uľahčovaní cezhraničnej výmeny informácií o neplatení cestných poplatkov</w:t>
      </w:r>
      <w:r>
        <w:t xml:space="preserve"> v Únii je krokom vpred, ale jej pôsobnosť sa obmedzuje iba na výmenu informácií. Z toho dôvodu, aj so zreteľom na závery hodnotenia smernice Európskeho parlamentu a Rady (UE) 2015/413 z 11. marca 2015 o uľahčení cezhraničnej výmeny informácií o dopravných priestupkoch súvisiacich s bezpečnosťou cestnej premávky, ktorá definuje podobné informácie za iné dopravné priestupky, tento postup pravdepodobne nebude úplne efektívny </w:t>
      </w:r>
      <w:r w:rsidRPr="00135588">
        <w:t>[</w:t>
      </w:r>
      <w:r>
        <w:t>11</w:t>
      </w:r>
      <w:r w:rsidRPr="00135588">
        <w:t>]</w:t>
      </w:r>
      <w:r>
        <w:t xml:space="preserve">. </w:t>
      </w:r>
    </w:p>
    <w:p w:rsidR="003823B8" w:rsidRDefault="003823B8" w:rsidP="003823B8">
      <w:r>
        <w:t xml:space="preserve">Na Slovensku môže byť teda vymáhané mýto len za vozidlo, ktoré je zaznamenané príslušníkmi polície pri porušovaní mýtneho zákona a v zahraničí zostáva len vymáhanie advokátmi cestou občianskeho súdu, čo je nereálne. Preto je zrejmé, že aj naďalej bude chýbať určitá časť poplatkov v celkových výnosoch mýtneho systému. </w:t>
      </w:r>
      <w:r w:rsidRPr="00E00A85">
        <w:t>Tento stav v Európe domáci správca mýta neovplyvní, situácia by sa dala riešiť len zvýšením počtu vozidiel mýtnej polície, čo však tiež vyžaduje náklady.</w:t>
      </w:r>
    </w:p>
    <w:p w:rsidR="003823B8" w:rsidRDefault="003823B8" w:rsidP="003823B8">
      <w:pPr>
        <w:pStyle w:val="podnadpiskapit"/>
        <w:spacing w:before="240"/>
        <w:rPr>
          <w:color w:val="auto"/>
        </w:rPr>
      </w:pPr>
    </w:p>
    <w:p w:rsidR="003823B8" w:rsidRDefault="003823B8" w:rsidP="003823B8">
      <w:pPr>
        <w:pStyle w:val="podnadpiskapit"/>
        <w:spacing w:before="240"/>
        <w:rPr>
          <w:color w:val="auto"/>
        </w:rPr>
      </w:pPr>
    </w:p>
    <w:p w:rsidR="003823B8" w:rsidRPr="003823B8" w:rsidRDefault="003823B8" w:rsidP="003823B8">
      <w:pPr>
        <w:pStyle w:val="podnadpiskapit"/>
        <w:spacing w:before="240"/>
        <w:rPr>
          <w:color w:val="auto"/>
        </w:rPr>
      </w:pPr>
      <w:r w:rsidRPr="003823B8">
        <w:rPr>
          <w:color w:val="auto"/>
        </w:rPr>
        <w:t>Vymožené pokuty sú príjmom štátnej pokladnice, nie správcu systému</w:t>
      </w:r>
    </w:p>
    <w:p w:rsidR="003823B8" w:rsidRDefault="003823B8" w:rsidP="003823B8">
      <w:r w:rsidRPr="005403A9">
        <w:t>Podmienky platby mýta a vyberania pokút a dlžných platieb mýta definuje Zákon č. 474/2013 Z. z. o výbere mýta za užívanie vymedzených úsekov pozemných komunikácií a o zmen</w:t>
      </w:r>
      <w:r>
        <w:t>e a doplnení niektorých zákonov</w:t>
      </w:r>
      <w:r w:rsidRPr="005403A9">
        <w:t>.</w:t>
      </w:r>
      <w:r>
        <w:t xml:space="preserve"> Podľa § 27 sa dopustí priestupku vodič vozidla, ktorý užíva vymedzené úseky bez úhrady mýta, odmieta uhradiť mýto po výzve alebo manipuluje s palubnou jednotkou. Vodič pristihnutý pri priestupku je povinný zaplatiť pokutu za priestupok a doplatiť mýto. Príjem z pokút by tak mohol byť použitý v prospech správcu systému.  </w:t>
      </w:r>
    </w:p>
    <w:p w:rsidR="003823B8" w:rsidRDefault="003823B8" w:rsidP="003823B8">
      <w:r w:rsidRPr="005403A9">
        <w:t>Pokut</w:t>
      </w:r>
      <w:r>
        <w:t>y</w:t>
      </w:r>
      <w:r w:rsidRPr="005403A9">
        <w:t xml:space="preserve"> za priestupok  a doplatok mýta sú dve rozdielne položky.</w:t>
      </w:r>
      <w:r>
        <w:t xml:space="preserve"> Doplatok mýta je príjmom správcu mýta a pokuty uložené za priestupky sú príjmom štátneho rozpočtu, </w:t>
      </w:r>
      <w:r w:rsidRPr="00B61FC6">
        <w:t xml:space="preserve">kapitoly </w:t>
      </w:r>
      <w:r>
        <w:t xml:space="preserve">Ministerstva vnútra SR. </w:t>
      </w:r>
    </w:p>
    <w:p w:rsidR="003823B8" w:rsidRDefault="003823B8" w:rsidP="003823B8">
      <w:r w:rsidRPr="00B61FC6">
        <w:t>Pri návrhu zákona o výbere mýta z roku 2013 boli odhadované príjmy z pokút v rokoch 2014 - 2016 spolu takmer na 40 mil. €.</w:t>
      </w:r>
      <w:r>
        <w:t xml:space="preserve"> </w:t>
      </w:r>
      <w:r w:rsidRPr="00AE5B8A">
        <w:rPr>
          <w:b/>
        </w:rPr>
        <w:t>Pokiaľ by sa tieto príjmy stali  skutočným príjmom správcu mýta</w:t>
      </w:r>
      <w:r>
        <w:t xml:space="preserve"> (keďže sú ukladané na základe porušovania ním definovaných pravidiel na infraštruktúre ním spoplatňovanej), zlepšili by celkovú efektívnosť mýtneho systému vzhľadom na zvýšenie výnosov systému. </w:t>
      </w:r>
      <w:r w:rsidRPr="00B61FC6">
        <w:t xml:space="preserve">Riešiteľský kolektív sa v tomto význame stotožňuje s odporúčaniami NKU [8] k možnostiam zmeny nastavenia systému výberu pokút za priestupky alebo správne delikty </w:t>
      </w:r>
      <w:r>
        <w:t>v rozsahu použitia týchto príjmov</w:t>
      </w:r>
      <w:r w:rsidRPr="00B61FC6">
        <w:t xml:space="preserve"> v rozpočte NDS</w:t>
      </w:r>
      <w:r>
        <w:t>, a. s</w:t>
      </w:r>
      <w:r w:rsidRPr="00B61FC6">
        <w:t xml:space="preserve"> na investície do cestnej infraštruktúry. </w:t>
      </w:r>
    </w:p>
    <w:p w:rsidR="00966EBA" w:rsidRPr="00C010DE" w:rsidRDefault="00AE5B8A" w:rsidP="00966EBA">
      <w:pPr>
        <w:pStyle w:val="Nadpis2"/>
      </w:pPr>
      <w:bookmarkStart w:id="332" w:name="_Toc36664416"/>
      <w:r w:rsidRPr="00C010DE">
        <w:t>Legislatívne zmeny vplývajúce na rozdiely medzi očakávanou a dosiahnutou výnosnosťou v rok</w:t>
      </w:r>
      <w:r w:rsidR="00484877" w:rsidRPr="00C010DE">
        <w:t>och</w:t>
      </w:r>
      <w:r w:rsidRPr="00C010DE">
        <w:t xml:space="preserve"> 20</w:t>
      </w:r>
      <w:r w:rsidR="00ED3F54" w:rsidRPr="00C010DE">
        <w:t>0</w:t>
      </w:r>
      <w:r w:rsidRPr="00C010DE">
        <w:t>8 až 2019</w:t>
      </w:r>
      <w:bookmarkEnd w:id="332"/>
    </w:p>
    <w:p w:rsidR="00165036" w:rsidRDefault="00165036" w:rsidP="00165036">
      <w:pPr>
        <w:pStyle w:val="Normaltext"/>
        <w:rPr>
          <w:highlight w:val="yellow"/>
        </w:rPr>
      </w:pPr>
    </w:p>
    <w:p w:rsidR="00165036" w:rsidRPr="00CE3FCB" w:rsidRDefault="00165036" w:rsidP="00C55A1C">
      <w:r w:rsidRPr="00CE3FCB">
        <w:t>Rozdiely medzi predpokladanou a skutočne dosiahnutou výnosnosťou výberu mýta v rokoch 20</w:t>
      </w:r>
      <w:r>
        <w:t>0</w:t>
      </w:r>
      <w:r w:rsidRPr="00CE3FCB">
        <w:t>8 a</w:t>
      </w:r>
      <w:r>
        <w:t>ž</w:t>
      </w:r>
      <w:r w:rsidRPr="00CE3FCB">
        <w:t xml:space="preserve"> 2019 boli dôsledkom pôsobenia viacerých faktorov, medzi ktorými podstatnú úlohu zohrali práve početné zmeny v určujúcej legislatíve,  čo sa negatívne premietlo najmä  v nižších tržbách z mýta. </w:t>
      </w:r>
    </w:p>
    <w:p w:rsidR="006F05C1" w:rsidRDefault="00165036" w:rsidP="00C55A1C">
      <w:r w:rsidRPr="00CE3FCB">
        <w:t>Principiálne otázky riešenia mýta (povinnosť platiť mýto, okruh „povinných“ vozidiel, maximálne sadzby mýta a i.) upravuje Smernica EP a Rady č.  1999/62/ES o poplatkoch za používanie určitej dopravnej infraštruktúry ťažkými nákladnými vozidlami v znení neskorších zmien, z ktorej sa v hodnotenom období vychádzalo aj pri tvorbe obidvoch zákonov o elektronickom výbere mýta</w:t>
      </w:r>
      <w:r w:rsidR="006F05C1">
        <w:t>:</w:t>
      </w:r>
    </w:p>
    <w:p w:rsidR="006F05C1" w:rsidRDefault="00C55A1C" w:rsidP="000A4510">
      <w:pPr>
        <w:pStyle w:val="Odsekzoznamu"/>
        <w:numPr>
          <w:ilvl w:val="0"/>
          <w:numId w:val="47"/>
        </w:numPr>
      </w:pPr>
      <w:r>
        <w:t>zákon č. 25/2007 Z. z.</w:t>
      </w:r>
      <w:r w:rsidR="006F05C1">
        <w:t xml:space="preserve"> z 13. decembra 2006 o elektronickom výbere mýta za užívanie vymedzených úsekov pozemných komunikácií a o zmene a doplnení niektorých zákonov</w:t>
      </w:r>
    </w:p>
    <w:p w:rsidR="00165036" w:rsidRPr="00CE3FCB" w:rsidRDefault="00165036" w:rsidP="000A4510">
      <w:pPr>
        <w:pStyle w:val="Odsekzoznamu"/>
        <w:numPr>
          <w:ilvl w:val="0"/>
          <w:numId w:val="47"/>
        </w:numPr>
      </w:pPr>
      <w:r w:rsidRPr="00CE3FCB">
        <w:t>zákon č. 474/2013 Z. z.</w:t>
      </w:r>
      <w:r w:rsidRPr="006F05C1">
        <w:rPr>
          <w:b/>
        </w:rPr>
        <w:t xml:space="preserve"> </w:t>
      </w:r>
      <w:r w:rsidRPr="00CE3FCB">
        <w:t xml:space="preserve">  </w:t>
      </w:r>
      <w:r w:rsidR="006F05C1">
        <w:t>z 27. novembra 2013 o výbere mýta za užívanie vymedzených úsekov pozemných komunikácií a o zmene a doplnení niektorých zákonov</w:t>
      </w:r>
    </w:p>
    <w:p w:rsidR="007F124F" w:rsidRDefault="00886D07">
      <w:pPr>
        <w:pStyle w:val="Nadpis3"/>
      </w:pPr>
      <w:bookmarkStart w:id="333" w:name="_Toc36664417"/>
      <w:r>
        <w:t>zmeny v oslobodení vozidiel od povinnosti platiť mýto</w:t>
      </w:r>
      <w:bookmarkEnd w:id="333"/>
    </w:p>
    <w:p w:rsidR="00C55A1C" w:rsidRPr="00CE3FCB" w:rsidRDefault="00C55A1C" w:rsidP="00C55A1C">
      <w:pPr>
        <w:rPr>
          <w:rFonts w:cs="Calibri"/>
        </w:rPr>
      </w:pPr>
      <w:r w:rsidRPr="00C55A1C">
        <w:rPr>
          <w:rFonts w:cs="Calibri"/>
        </w:rPr>
        <w:t>Od roku 2010</w:t>
      </w:r>
      <w:r w:rsidRPr="00CE3FCB">
        <w:rPr>
          <w:rFonts w:cs="Calibri"/>
        </w:rPr>
        <w:t xml:space="preserve">, v ktorom sa  v SR </w:t>
      </w:r>
      <w:r>
        <w:rPr>
          <w:rFonts w:cs="Calibri"/>
        </w:rPr>
        <w:t xml:space="preserve">začal realizovať </w:t>
      </w:r>
      <w:r w:rsidRPr="00CE3FCB">
        <w:rPr>
          <w:rFonts w:cs="Calibri"/>
        </w:rPr>
        <w:t>elektronický výber mýta, sú  povinnými vozidlami:</w:t>
      </w:r>
    </w:p>
    <w:p w:rsidR="00C55A1C" w:rsidRPr="00C55A1C" w:rsidRDefault="00C55A1C" w:rsidP="000A4510">
      <w:pPr>
        <w:pStyle w:val="Odsekzoznamu"/>
        <w:numPr>
          <w:ilvl w:val="0"/>
          <w:numId w:val="45"/>
        </w:numPr>
        <w:rPr>
          <w:rFonts w:cs="Calibri"/>
        </w:rPr>
      </w:pPr>
      <w:r w:rsidRPr="00C55A1C">
        <w:rPr>
          <w:rFonts w:cs="Calibri"/>
        </w:rPr>
        <w:t>motorové vozidlá  s celkovou hmotnosťou od 3,5 t do 12 t  a 12 t a</w:t>
      </w:r>
      <w:r>
        <w:rPr>
          <w:rFonts w:cs="Calibri"/>
        </w:rPr>
        <w:t> </w:t>
      </w:r>
      <w:r w:rsidRPr="00C55A1C">
        <w:rPr>
          <w:rFonts w:cs="Calibri"/>
        </w:rPr>
        <w:t>viac</w:t>
      </w:r>
      <w:r>
        <w:rPr>
          <w:rFonts w:cs="Calibri"/>
        </w:rPr>
        <w:t>,</w:t>
      </w:r>
    </w:p>
    <w:p w:rsidR="00C55A1C" w:rsidRPr="00C55A1C" w:rsidRDefault="00C55A1C" w:rsidP="000A4510">
      <w:pPr>
        <w:pStyle w:val="Odsekzoznamu"/>
        <w:numPr>
          <w:ilvl w:val="0"/>
          <w:numId w:val="45"/>
        </w:numPr>
        <w:rPr>
          <w:rFonts w:cs="Calibri"/>
        </w:rPr>
      </w:pPr>
      <w:r w:rsidRPr="00C55A1C">
        <w:rPr>
          <w:rFonts w:cs="Calibri"/>
        </w:rPr>
        <w:t xml:space="preserve">motorové vozidlá  s hmotnosťou od 3,5 t do 12 t a 12 t a viac, </w:t>
      </w:r>
      <w:r w:rsidRPr="00C55A1C">
        <w:rPr>
          <w:rFonts w:cs="Calibri"/>
          <w:shd w:val="clear" w:color="auto" w:fill="FFFFFF"/>
        </w:rPr>
        <w:t>umožňujúce prepravu viac ako deviatich osôb vrátane vodiča (autobusy).</w:t>
      </w:r>
    </w:p>
    <w:p w:rsidR="00C55A1C" w:rsidRPr="00CE3FCB" w:rsidRDefault="00C55A1C" w:rsidP="00C55A1C">
      <w:pPr>
        <w:rPr>
          <w:rFonts w:cs="Calibri"/>
        </w:rPr>
      </w:pPr>
      <w:r w:rsidRPr="00CE3FCB">
        <w:rPr>
          <w:rFonts w:cs="Calibri"/>
        </w:rPr>
        <w:t xml:space="preserve">Od tejto povinnosti boli v čase spustenia prevádzky mýta oslobodené (§ 4) tieto vozidlá: </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Ministerstva vnútra Slovenskej republiky označené podľa osobitného predpisu,</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Ministerstva obrany Slovenskej republiky,</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ozbrojených síl alebo civilných zložiek vysielajúceho štátu na účel plnenia služobných   povinností,</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ozbrojených síl Slovenskej republiky a Organizácie Severoatlantickej zmluvy,</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záchranných zložiek integrovaného záchranného systému podľa osobitného predpisu,</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správcu výberu mýta,</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lang w:eastAsia="sk-SK"/>
        </w:rPr>
        <w:t xml:space="preserve">používané na údržbu vymedzených úsekov ciest, </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iCs/>
          <w:lang w:eastAsia="sk-SK"/>
        </w:rPr>
        <w:t>správcom výberu mýta poverenej osoby používané na elektronický výber mýta a kontrolu elektronického výberu mýta,</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iCs/>
          <w:lang w:eastAsia="sk-SK"/>
        </w:rPr>
        <w:t>Slovenskej informačnej služby,</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iCs/>
          <w:lang w:eastAsia="sk-SK"/>
        </w:rPr>
        <w:t>Železničnej polície,</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iCs/>
          <w:lang w:eastAsia="sk-SK"/>
        </w:rPr>
        <w:t>Zboru väzenskej a justičnej stráže,</w:t>
      </w:r>
    </w:p>
    <w:p w:rsidR="00C55A1C" w:rsidRPr="00CE3FCB" w:rsidRDefault="00C55A1C" w:rsidP="000A4510">
      <w:pPr>
        <w:pStyle w:val="Odsekzoznamu"/>
        <w:numPr>
          <w:ilvl w:val="0"/>
          <w:numId w:val="44"/>
        </w:numPr>
        <w:shd w:val="clear" w:color="auto" w:fill="FFFFFF"/>
        <w:ind w:left="426" w:hanging="426"/>
        <w:rPr>
          <w:rFonts w:cs="Calibri"/>
          <w:lang w:eastAsia="sk-SK"/>
        </w:rPr>
      </w:pPr>
      <w:r w:rsidRPr="00CE3FCB">
        <w:rPr>
          <w:rFonts w:cs="Calibri"/>
          <w:iCs/>
          <w:lang w:eastAsia="sk-SK"/>
        </w:rPr>
        <w:t>colnej správy.</w:t>
      </w:r>
      <w:r>
        <w:rPr>
          <w:rFonts w:cs="Calibri"/>
          <w:iCs/>
          <w:lang w:eastAsia="sk-SK"/>
        </w:rPr>
        <w:t xml:space="preserve"> </w:t>
      </w:r>
    </w:p>
    <w:p w:rsidR="00C55A1C" w:rsidRDefault="00C55A1C" w:rsidP="00C55A1C">
      <w:pPr>
        <w:pStyle w:val="Normaltext"/>
        <w:spacing w:line="276" w:lineRule="auto"/>
        <w:rPr>
          <w:rFonts w:cstheme="minorHAnsi"/>
          <w:shd w:val="clear" w:color="auto" w:fill="FFFFFF"/>
        </w:rPr>
      </w:pPr>
      <w:r w:rsidRPr="00C55A1C">
        <w:rPr>
          <w:rFonts w:cstheme="minorHAnsi"/>
          <w:lang w:eastAsia="sk-SK"/>
        </w:rPr>
        <w:t>V roku 2014</w:t>
      </w:r>
      <w:r w:rsidRPr="00837BBF">
        <w:rPr>
          <w:rFonts w:cstheme="minorHAnsi"/>
          <w:lang w:eastAsia="sk-SK"/>
        </w:rPr>
        <w:t xml:space="preserve"> vstúpil do platnosti nový zákon o výbere mýta za užívanie vymedzených úsekov pozemných komunikácií</w:t>
      </w:r>
      <w:r>
        <w:rPr>
          <w:rFonts w:cstheme="minorHAnsi"/>
          <w:lang w:eastAsia="sk-SK"/>
        </w:rPr>
        <w:t xml:space="preserve"> (zákon č. 474/2013 Z. z.), ktorým sa rozšíril </w:t>
      </w:r>
      <w:r>
        <w:rPr>
          <w:rFonts w:cstheme="minorHAnsi"/>
          <w:shd w:val="clear" w:color="auto" w:fill="FFFFFF"/>
        </w:rPr>
        <w:t>počet vozidiel oslobodených od mýta o:</w:t>
      </w:r>
    </w:p>
    <w:p w:rsidR="00C55A1C" w:rsidRDefault="00C55A1C" w:rsidP="000A4510">
      <w:pPr>
        <w:pStyle w:val="Normaltext"/>
        <w:numPr>
          <w:ilvl w:val="0"/>
          <w:numId w:val="46"/>
        </w:numPr>
        <w:rPr>
          <w:rFonts w:cstheme="minorHAnsi"/>
          <w:shd w:val="clear" w:color="auto" w:fill="FFFFFF"/>
        </w:rPr>
      </w:pPr>
      <w:r>
        <w:rPr>
          <w:rFonts w:cstheme="minorHAnsi"/>
          <w:shd w:val="clear" w:color="auto" w:fill="FFFFFF"/>
        </w:rPr>
        <w:t xml:space="preserve">vozidlá </w:t>
      </w:r>
      <w:r w:rsidRPr="00C55A1C">
        <w:rPr>
          <w:rFonts w:cstheme="minorHAnsi"/>
          <w:shd w:val="clear" w:color="auto" w:fill="FFFFFF"/>
        </w:rPr>
        <w:t>zahraničn</w:t>
      </w:r>
      <w:r>
        <w:rPr>
          <w:rFonts w:cstheme="minorHAnsi"/>
          <w:shd w:val="clear" w:color="auto" w:fill="FFFFFF"/>
        </w:rPr>
        <w:t>ých</w:t>
      </w:r>
      <w:r w:rsidRPr="00C55A1C">
        <w:rPr>
          <w:rFonts w:cstheme="minorHAnsi"/>
          <w:shd w:val="clear" w:color="auto" w:fill="FFFFFF"/>
        </w:rPr>
        <w:t xml:space="preserve"> záchrann</w:t>
      </w:r>
      <w:r>
        <w:rPr>
          <w:rFonts w:cstheme="minorHAnsi"/>
          <w:shd w:val="clear" w:color="auto" w:fill="FFFFFF"/>
        </w:rPr>
        <w:t>ých</w:t>
      </w:r>
      <w:r w:rsidRPr="00C55A1C">
        <w:rPr>
          <w:rFonts w:cstheme="minorHAnsi"/>
          <w:shd w:val="clear" w:color="auto" w:fill="FFFFFF"/>
        </w:rPr>
        <w:t xml:space="preserve"> zlož</w:t>
      </w:r>
      <w:r>
        <w:rPr>
          <w:rFonts w:cstheme="minorHAnsi"/>
          <w:shd w:val="clear" w:color="auto" w:fill="FFFFFF"/>
        </w:rPr>
        <w:t>iek</w:t>
      </w:r>
      <w:r w:rsidRPr="00C55A1C">
        <w:rPr>
          <w:rFonts w:cstheme="minorHAnsi"/>
          <w:shd w:val="clear" w:color="auto" w:fill="FFFFFF"/>
        </w:rPr>
        <w:t xml:space="preserve"> podieľajúc</w:t>
      </w:r>
      <w:r>
        <w:rPr>
          <w:rFonts w:cstheme="minorHAnsi"/>
          <w:shd w:val="clear" w:color="auto" w:fill="FFFFFF"/>
        </w:rPr>
        <w:t>ich</w:t>
      </w:r>
      <w:r w:rsidRPr="00C55A1C">
        <w:rPr>
          <w:rFonts w:cstheme="minorHAnsi"/>
          <w:shd w:val="clear" w:color="auto" w:fill="FFFFFF"/>
        </w:rPr>
        <w:t xml:space="preserve"> sa na základe požiadania štátnych orgánov</w:t>
      </w:r>
      <w:r>
        <w:rPr>
          <w:rFonts w:cstheme="minorHAnsi"/>
          <w:shd w:val="clear" w:color="auto" w:fill="FFFFFF"/>
        </w:rPr>
        <w:t>:</w:t>
      </w:r>
    </w:p>
    <w:p w:rsidR="00C55A1C" w:rsidRDefault="00C55A1C" w:rsidP="000A4510">
      <w:pPr>
        <w:pStyle w:val="Normaltext"/>
        <w:numPr>
          <w:ilvl w:val="1"/>
          <w:numId w:val="46"/>
        </w:numPr>
        <w:rPr>
          <w:rFonts w:cstheme="minorHAnsi"/>
          <w:shd w:val="clear" w:color="auto" w:fill="FFFFFF"/>
        </w:rPr>
      </w:pPr>
      <w:r w:rsidRPr="00C55A1C">
        <w:rPr>
          <w:rFonts w:cstheme="minorHAnsi"/>
          <w:shd w:val="clear" w:color="auto" w:fill="FFFFFF"/>
        </w:rPr>
        <w:t>Slovenskej republiky na záchranných prácach pri mimoriadnych udalostiach alebo podieľajúcich sa na príprave na civilnú ochranu na území Slovenskej republiky,</w:t>
      </w:r>
    </w:p>
    <w:p w:rsidR="00C55A1C" w:rsidRPr="00C55A1C" w:rsidRDefault="00C55A1C" w:rsidP="000A4510">
      <w:pPr>
        <w:pStyle w:val="Normaltext"/>
        <w:numPr>
          <w:ilvl w:val="1"/>
          <w:numId w:val="46"/>
        </w:numPr>
        <w:rPr>
          <w:rFonts w:cstheme="minorHAnsi"/>
          <w:shd w:val="clear" w:color="auto" w:fill="FFFFFF"/>
        </w:rPr>
      </w:pPr>
      <w:r w:rsidRPr="00C55A1C">
        <w:rPr>
          <w:rFonts w:cstheme="minorHAnsi"/>
          <w:shd w:val="clear" w:color="auto" w:fill="FFFFFF"/>
        </w:rPr>
        <w:t>iného štátu na záchranných prácach pri mimoriadnych udalostiach, na humanitárnej pomoci alebo podieľajúcich sa na príprave na civilnú ochranu mimo územia Slovenskej republiky,</w:t>
      </w:r>
    </w:p>
    <w:p w:rsidR="00C55A1C" w:rsidRDefault="00C55A1C" w:rsidP="000A4510">
      <w:pPr>
        <w:pStyle w:val="Normaltext"/>
        <w:numPr>
          <w:ilvl w:val="0"/>
          <w:numId w:val="46"/>
        </w:numPr>
        <w:rPr>
          <w:rFonts w:cstheme="minorHAnsi"/>
          <w:shd w:val="clear" w:color="auto" w:fill="FFFFFF"/>
        </w:rPr>
      </w:pPr>
      <w:r>
        <w:rPr>
          <w:rFonts w:cstheme="minorHAnsi"/>
          <w:shd w:val="clear" w:color="auto" w:fill="FFFFFF"/>
        </w:rPr>
        <w:t xml:space="preserve">vozidlá </w:t>
      </w:r>
      <w:r w:rsidRPr="00C55A1C">
        <w:rPr>
          <w:rFonts w:cstheme="minorHAnsi"/>
          <w:shd w:val="clear" w:color="auto" w:fill="FFFFFF"/>
        </w:rPr>
        <w:t>Správy štátnych hmotných rezerv Slovenskej republiky pri plnení úloh podľa osobitného predpisu</w:t>
      </w:r>
    </w:p>
    <w:p w:rsidR="00C55A1C" w:rsidRDefault="00C55A1C" w:rsidP="000A4510">
      <w:pPr>
        <w:pStyle w:val="Normaltext"/>
        <w:numPr>
          <w:ilvl w:val="0"/>
          <w:numId w:val="46"/>
        </w:numPr>
        <w:rPr>
          <w:rFonts w:cstheme="minorHAnsi"/>
          <w:shd w:val="clear" w:color="auto" w:fill="FFFFFF"/>
        </w:rPr>
      </w:pPr>
      <w:r>
        <w:rPr>
          <w:rFonts w:cstheme="minorHAnsi"/>
          <w:shd w:val="clear" w:color="auto" w:fill="FFFFFF"/>
        </w:rPr>
        <w:t xml:space="preserve">vozidlá </w:t>
      </w:r>
      <w:r w:rsidRPr="00C55A1C">
        <w:rPr>
          <w:rFonts w:cstheme="minorHAnsi"/>
          <w:shd w:val="clear" w:color="auto" w:fill="FFFFFF"/>
        </w:rPr>
        <w:t>Národnej banky Slovenska vykonávajúce prepravu peňazí a iných cenností.</w:t>
      </w:r>
    </w:p>
    <w:p w:rsidR="007F124F" w:rsidRDefault="00886D07">
      <w:pPr>
        <w:pStyle w:val="Nadpis3"/>
      </w:pPr>
      <w:bookmarkStart w:id="334" w:name="_Toc36664418"/>
      <w:r>
        <w:t>zmeny vymedzených úsekov ciest</w:t>
      </w:r>
      <w:bookmarkEnd w:id="334"/>
      <w:r>
        <w:t xml:space="preserve"> </w:t>
      </w:r>
      <w:r w:rsidR="00FE2A8C">
        <w:t xml:space="preserve"> </w:t>
      </w:r>
    </w:p>
    <w:p w:rsidR="0049705F" w:rsidRDefault="0049705F" w:rsidP="0049705F">
      <w:r>
        <w:t>O dĺžke spoplatnených úsekov na sieti diaľnic a rýchlostných ciest môže rozhodovať správca diaľnic, teda NDS, a.s. Na tejto sieti správca rozhodol o nespoplatnení úsekov D1 a D2 v</w:t>
      </w:r>
      <w:r w:rsidR="00ED3F54">
        <w:t> </w:t>
      </w:r>
      <w:r>
        <w:t>Bratislave</w:t>
      </w:r>
      <w:r w:rsidR="00ED3F54">
        <w:t xml:space="preserve"> </w:t>
      </w:r>
      <w:r>
        <w:t xml:space="preserve">a R1 v Banskej Bystrici v celkovej dĺžke </w:t>
      </w:r>
      <w:r w:rsidR="00ED3F54">
        <w:t>33</w:t>
      </w:r>
      <w:r>
        <w:t xml:space="preserve"> km, ktoré by mohli generovať výnosy z mýta.</w:t>
      </w:r>
    </w:p>
    <w:p w:rsidR="0049705F" w:rsidRDefault="0049705F" w:rsidP="0049705F">
      <w:r>
        <w:t>Dĺžka spoplatnených úsekov diaľnic a rýchlostných ciest závisí najmä od toho, koľko kilometrov nových úsekov sa odovzdá každý rok do užívania. Ako bolo uvedené, tempo výstavby úsekov a odovzdávania sa spomaľuje, čo je spôsobené objektívne zdĺhavým procesom prípravy súťažného konania a výberu dodávateľa, v horšom prípade jeho odstúpením od zmluvy. Tieto prekážky spôsobujú meškanie vo výstavbe. Keďže procesy výberu sú dané legislatívou, správca mýta nemá možnosť aktívne ovplyvniť jednotlivé termíny a skrátiť tak prípravu stavieb.</w:t>
      </w:r>
    </w:p>
    <w:p w:rsidR="0049705F" w:rsidRDefault="0049705F" w:rsidP="0049705F">
      <w:r>
        <w:t>O úrovni spoplatnenia ostatných ciest - ciest I., II. a III. triedy rozhodla vláda SR, hoci cesty II. a III. kategórie sú vo vlastníctve samosprávnych krajov.</w:t>
      </w:r>
    </w:p>
    <w:p w:rsidR="00A87292" w:rsidRPr="004F778A" w:rsidRDefault="004F778A" w:rsidP="00A87292">
      <w:pPr>
        <w:shd w:val="clear" w:color="auto" w:fill="FFFFFF"/>
        <w:rPr>
          <w:rFonts w:asciiTheme="minorHAnsi" w:hAnsiTheme="minorHAnsi" w:cstheme="minorHAnsi"/>
          <w:lang w:eastAsia="sk-SK"/>
        </w:rPr>
      </w:pPr>
      <w:r w:rsidRPr="004F778A">
        <w:rPr>
          <w:rFonts w:asciiTheme="minorHAnsi" w:hAnsiTheme="minorHAnsi" w:cstheme="minorHAnsi"/>
          <w:shd w:val="clear" w:color="auto" w:fill="FFFFFF"/>
        </w:rPr>
        <w:t xml:space="preserve">Dĺžka spoplatnených úsekov pozemných komunikácií je od spustenia mýtneho systému stanovená vykonávacou vyhláškou k platnému zákonu o elektronickom výbere mýta.  V poradí prvou bola </w:t>
      </w:r>
      <w:r w:rsidRPr="004F778A">
        <w:rPr>
          <w:rFonts w:asciiTheme="minorHAnsi" w:hAnsiTheme="minorHAnsi" w:cstheme="minorHAnsi"/>
          <w:bCs/>
          <w:i/>
          <w:shd w:val="clear" w:color="auto" w:fill="FFFFFF"/>
          <w:lang w:eastAsia="sk-SK"/>
        </w:rPr>
        <w:t>Vyhláška MDPT SR č. 413/2007 Z. z.,</w:t>
      </w:r>
      <w:r w:rsidRPr="004F778A">
        <w:rPr>
          <w:rFonts w:asciiTheme="minorHAnsi" w:hAnsiTheme="minorHAnsi" w:cstheme="minorHAnsi"/>
          <w:b/>
          <w:bCs/>
          <w:i/>
          <w:shd w:val="clear" w:color="auto" w:fill="FFFFFF"/>
          <w:lang w:eastAsia="sk-SK"/>
        </w:rPr>
        <w:t xml:space="preserve"> </w:t>
      </w:r>
      <w:r w:rsidRPr="004F778A">
        <w:rPr>
          <w:rFonts w:asciiTheme="minorHAnsi" w:hAnsiTheme="minorHAnsi" w:cstheme="minorHAnsi"/>
          <w:bCs/>
          <w:i/>
          <w:shd w:val="clear" w:color="auto" w:fill="FFFFFF"/>
        </w:rPr>
        <w:t xml:space="preserve">ktorou sa vymedzujú úseky diaľnic, ciest pre motorové vozidlá a ciest I. triedy s elektronickým výberom mýta, </w:t>
      </w:r>
      <w:r w:rsidRPr="004F778A">
        <w:rPr>
          <w:rFonts w:asciiTheme="minorHAnsi" w:hAnsiTheme="minorHAnsi" w:cstheme="minorHAnsi"/>
          <w:bCs/>
          <w:shd w:val="clear" w:color="auto" w:fill="FFFFFF"/>
          <w:lang w:eastAsia="sk-SK"/>
        </w:rPr>
        <w:t xml:space="preserve"> schválená v roku 2007. Spoplatnenú časť pozemných komunikácií v roku 2007 tvorila</w:t>
      </w:r>
      <w:r w:rsidR="00A87292">
        <w:rPr>
          <w:rFonts w:asciiTheme="minorHAnsi" w:hAnsiTheme="minorHAnsi" w:cstheme="minorHAnsi"/>
          <w:bCs/>
          <w:shd w:val="clear" w:color="auto" w:fill="FFFFFF"/>
          <w:lang w:eastAsia="sk-SK"/>
        </w:rPr>
        <w:t xml:space="preserve"> </w:t>
      </w:r>
      <w:r w:rsidRPr="000D0CD4">
        <w:rPr>
          <w:rFonts w:asciiTheme="minorHAnsi" w:hAnsiTheme="minorHAnsi" w:cstheme="minorHAnsi"/>
          <w:bCs/>
          <w:shd w:val="clear" w:color="auto" w:fill="FFFFFF"/>
          <w:lang w:eastAsia="sk-SK"/>
        </w:rPr>
        <w:t>sieť diaľnic a rýchlostných ciest, ktoré boli súčasťou transeurópskej cestnej siete (TEN-T)</w:t>
      </w:r>
      <w:r w:rsidR="00A87292">
        <w:rPr>
          <w:rFonts w:asciiTheme="minorHAnsi" w:hAnsiTheme="minorHAnsi" w:cstheme="minorHAnsi"/>
          <w:bCs/>
          <w:shd w:val="clear" w:color="auto" w:fill="FFFFFF"/>
          <w:lang w:eastAsia="sk-SK"/>
        </w:rPr>
        <w:t xml:space="preserve"> a </w:t>
      </w:r>
      <w:r w:rsidRPr="000D0CD4">
        <w:rPr>
          <w:rFonts w:asciiTheme="minorHAnsi" w:hAnsiTheme="minorHAnsi" w:cstheme="minorHAnsi"/>
          <w:bCs/>
          <w:shd w:val="clear" w:color="auto" w:fill="FFFFFF"/>
          <w:lang w:eastAsia="sk-SK"/>
        </w:rPr>
        <w:t xml:space="preserve">sieť ciest I. triedy, ktoré boli sčasti súčasťou transeurópskej cestnej siete, na ktorú sa mohla  odkloniť doprava zo siete diaľnic a rýchlostných ciest a/alebo ktoré boli v priamej konkurencii s určitými časťami tejto siete. </w:t>
      </w:r>
      <w:r w:rsidR="00A87292" w:rsidRPr="004F778A">
        <w:rPr>
          <w:rFonts w:asciiTheme="minorHAnsi" w:hAnsiTheme="minorHAnsi" w:cstheme="minorHAnsi"/>
          <w:bCs/>
          <w:shd w:val="clear" w:color="auto" w:fill="FFFFFF"/>
          <w:lang w:eastAsia="sk-SK"/>
        </w:rPr>
        <w:t>Vyhláška č. 413/2007 Z. z. si v dôsledku výstavby diaľnic a rýchlostných ciest i aplikácie mýtneho systému vyžiadala viacero zmien</w:t>
      </w:r>
      <w:r w:rsidR="00A87292">
        <w:rPr>
          <w:rFonts w:asciiTheme="minorHAnsi" w:hAnsiTheme="minorHAnsi" w:cstheme="minorHAnsi"/>
          <w:bCs/>
          <w:shd w:val="clear" w:color="auto" w:fill="FFFFFF"/>
          <w:lang w:eastAsia="sk-SK"/>
        </w:rPr>
        <w:t>. V</w:t>
      </w:r>
      <w:r w:rsidR="00A87292" w:rsidRPr="004F778A">
        <w:rPr>
          <w:rFonts w:asciiTheme="minorHAnsi" w:hAnsiTheme="minorHAnsi" w:cstheme="minorHAnsi"/>
          <w:bCs/>
          <w:shd w:val="clear" w:color="auto" w:fill="FFFFFF"/>
          <w:lang w:eastAsia="sk-SK"/>
        </w:rPr>
        <w:t xml:space="preserve">ymedzili sa </w:t>
      </w:r>
      <w:r w:rsidR="00A87292" w:rsidRPr="004F778A">
        <w:rPr>
          <w:rFonts w:asciiTheme="minorHAnsi" w:hAnsiTheme="minorHAnsi" w:cstheme="minorHAnsi"/>
          <w:lang w:eastAsia="sk-SK"/>
        </w:rPr>
        <w:t>modifikované úseky (</w:t>
      </w:r>
      <w:r w:rsidR="00A87292" w:rsidRPr="004F778A">
        <w:rPr>
          <w:rFonts w:asciiTheme="minorHAnsi" w:hAnsiTheme="minorHAnsi" w:cstheme="minorHAnsi"/>
          <w:i/>
          <w:lang w:eastAsia="sk-SK"/>
        </w:rPr>
        <w:t>vyhláška MDPT SR č. 470/2009 Z. z. zo 6. novembra 2009 a vyhláška MDPT SR č. 529/2009 Z. z. z 9. decembra 2009</w:t>
      </w:r>
      <w:r w:rsidR="00A87292" w:rsidRPr="004F778A">
        <w:rPr>
          <w:rFonts w:asciiTheme="minorHAnsi" w:hAnsiTheme="minorHAnsi" w:cstheme="minorHAnsi"/>
          <w:lang w:eastAsia="sk-SK"/>
        </w:rPr>
        <w:t>), kde sa mýtne úseky očistili o časti siete, ktoré sa nachádzali v zastavanom území, alebo území určenom na zastavanie</w:t>
      </w:r>
      <w:r w:rsidR="00A87292">
        <w:rPr>
          <w:rFonts w:asciiTheme="minorHAnsi" w:hAnsiTheme="minorHAnsi" w:cstheme="minorHAnsi"/>
          <w:lang w:eastAsia="sk-SK"/>
        </w:rPr>
        <w:t xml:space="preserve">. </w:t>
      </w:r>
      <w:r w:rsidR="00A87292" w:rsidRPr="004F778A">
        <w:rPr>
          <w:rFonts w:asciiTheme="minorHAnsi" w:hAnsiTheme="minorHAnsi" w:cstheme="minorHAnsi"/>
          <w:lang w:eastAsia="sk-SK"/>
        </w:rPr>
        <w:t>Zároveň sa sieť upravila tak, aby zahrnula stav diaľnic, rýchlostných ciest a ciest I. triedy v roku 2010.</w:t>
      </w:r>
    </w:p>
    <w:p w:rsidR="00A87292" w:rsidRPr="004F778A" w:rsidRDefault="00A87292" w:rsidP="00A87292">
      <w:pPr>
        <w:shd w:val="clear" w:color="auto" w:fill="FFFFFF"/>
        <w:rPr>
          <w:rFonts w:asciiTheme="minorHAnsi" w:hAnsiTheme="minorHAnsi" w:cstheme="minorHAnsi"/>
          <w:lang w:eastAsia="sk-SK"/>
        </w:rPr>
      </w:pPr>
      <w:r w:rsidRPr="004F778A">
        <w:rPr>
          <w:rFonts w:asciiTheme="minorHAnsi" w:hAnsiTheme="minorHAnsi" w:cstheme="minorHAnsi"/>
          <w:lang w:eastAsia="sk-SK"/>
        </w:rPr>
        <w:t>Pri vzniku nepriaznivej situácie v súvislosti so štrajkami nespokojných dopravcov sa dočasne upravila vyhláška MDPT SR č. 529/2009 Z. z., a to vyhláškami MDPT SR č. 10/2010 a 26/2010 Z. z., ktorými sa upravil počet vymedzených úsekov na 1 000 a pozastavilo sa spoplatnenie ciest I. triedy</w:t>
      </w:r>
      <w:r>
        <w:rPr>
          <w:rFonts w:asciiTheme="minorHAnsi" w:hAnsiTheme="minorHAnsi" w:cstheme="minorHAnsi"/>
          <w:lang w:eastAsia="sk-SK"/>
        </w:rPr>
        <w:t xml:space="preserve">. </w:t>
      </w:r>
      <w:r w:rsidRPr="004F778A">
        <w:rPr>
          <w:rFonts w:asciiTheme="minorHAnsi" w:hAnsiTheme="minorHAnsi" w:cstheme="minorHAnsi"/>
          <w:lang w:eastAsia="sk-SK"/>
        </w:rPr>
        <w:t xml:space="preserve"> Systém elektronického výberu mýta bol založený na pravidle spoplatnenia celého vymedzeného úseku pri vstupe na spoplatnenú časť v súlade s bežnou praxou pri mýtnych systémoch využitých pri nižších kategóriách ciest, ktoré majú neobmedzený prístup (tzv. otvorené bariérové systémy). Po intervencii zástupcov dopravcov sa upravil algoritmus výpočtového programu systému a pravidlo spoplatňovania pri nevyužití celého vymedzeného úseku sa zmenilo. Vyhláškou MDPT SR č. 61/2010 Z. z. sa s účinnosťou od 1. marca 2010 začalo spoplatňovanie ciest I. triedy. </w:t>
      </w:r>
    </w:p>
    <w:p w:rsidR="00B92A08" w:rsidRDefault="00C010DE" w:rsidP="00B92A08">
      <w:pPr>
        <w:shd w:val="clear" w:color="auto" w:fill="FFFFFF"/>
      </w:pPr>
      <w:r w:rsidRPr="004F778A">
        <w:rPr>
          <w:rFonts w:asciiTheme="minorHAnsi" w:hAnsiTheme="minorHAnsi" w:cstheme="minorHAnsi"/>
          <w:lang w:eastAsia="sk-SK"/>
        </w:rPr>
        <w:t>Množstvo úp</w:t>
      </w:r>
      <w:r>
        <w:rPr>
          <w:rFonts w:asciiTheme="minorHAnsi" w:hAnsiTheme="minorHAnsi" w:cstheme="minorHAnsi"/>
          <w:lang w:eastAsia="sk-SK"/>
        </w:rPr>
        <w:t>rav vyhlášky č. 529/2010 Z. z. (</w:t>
      </w:r>
      <w:r>
        <w:rPr>
          <w:rFonts w:asciiTheme="minorHAnsi" w:hAnsiTheme="minorHAnsi" w:cstheme="minorHAnsi"/>
          <w:lang w:eastAsia="sk-SK"/>
        </w:rPr>
        <w:fldChar w:fldCharType="begin"/>
      </w:r>
      <w:r>
        <w:rPr>
          <w:rFonts w:asciiTheme="minorHAnsi" w:hAnsiTheme="minorHAnsi" w:cstheme="minorHAnsi"/>
          <w:lang w:eastAsia="sk-SK"/>
        </w:rPr>
        <w:instrText xml:space="preserve"> REF _Ref36582714 \h </w:instrText>
      </w:r>
      <w:r>
        <w:rPr>
          <w:rFonts w:asciiTheme="minorHAnsi" w:hAnsiTheme="minorHAnsi" w:cstheme="minorHAnsi"/>
          <w:lang w:eastAsia="sk-SK"/>
        </w:rPr>
      </w:r>
      <w:r>
        <w:rPr>
          <w:rFonts w:asciiTheme="minorHAnsi" w:hAnsiTheme="minorHAnsi" w:cstheme="minorHAnsi"/>
          <w:lang w:eastAsia="sk-SK"/>
        </w:rPr>
        <w:fldChar w:fldCharType="separate"/>
      </w:r>
      <w:r>
        <w:t xml:space="preserve">Tab.  </w:t>
      </w:r>
      <w:r>
        <w:rPr>
          <w:noProof/>
        </w:rPr>
        <w:t>3</w:t>
      </w:r>
      <w:r>
        <w:noBreakHyphen/>
      </w:r>
      <w:r>
        <w:rPr>
          <w:noProof/>
        </w:rPr>
        <w:t>5</w:t>
      </w:r>
      <w:r>
        <w:rPr>
          <w:rFonts w:asciiTheme="minorHAnsi" w:hAnsiTheme="minorHAnsi" w:cstheme="minorHAnsi"/>
          <w:lang w:eastAsia="sk-SK"/>
        </w:rPr>
        <w:fldChar w:fldCharType="end"/>
      </w:r>
      <w:r>
        <w:rPr>
          <w:rFonts w:asciiTheme="minorHAnsi" w:hAnsiTheme="minorHAnsi" w:cstheme="minorHAnsi"/>
          <w:lang w:eastAsia="sk-SK"/>
        </w:rPr>
        <w:t xml:space="preserve">) </w:t>
      </w:r>
      <w:r w:rsidRPr="004F778A">
        <w:rPr>
          <w:rFonts w:asciiTheme="minorHAnsi" w:hAnsiTheme="minorHAnsi" w:cstheme="minorHAnsi"/>
          <w:lang w:eastAsia="sk-SK"/>
        </w:rPr>
        <w:t xml:space="preserve">viedlo nakoniec k jej zrušeniu a k vydaniu novej vyhlášky MDVRR SR č. 475/2013 Z. z., </w:t>
      </w:r>
      <w:r w:rsidRPr="004F778A">
        <w:rPr>
          <w:rFonts w:asciiTheme="minorHAnsi" w:hAnsiTheme="minorHAnsi" w:cstheme="minorHAnsi"/>
          <w:bCs/>
          <w:shd w:val="clear" w:color="auto" w:fill="FFFFFF"/>
        </w:rPr>
        <w:t xml:space="preserve">ktorou sa vymedzujú úseky diaľnic, rýchlostných ciest, ciest I. triedy, ciest II. triedy a ciest III. triedy s výberom mýta </w:t>
      </w:r>
      <w:r>
        <w:rPr>
          <w:rFonts w:asciiTheme="minorHAnsi" w:hAnsiTheme="minorHAnsi" w:cstheme="minorHAnsi"/>
          <w:bCs/>
          <w:shd w:val="clear" w:color="auto" w:fill="FFFFFF"/>
        </w:rPr>
        <w:t xml:space="preserve">s účinnosťou od 1. januára 2014 </w:t>
      </w:r>
      <w:r w:rsidRPr="004F778A">
        <w:rPr>
          <w:rFonts w:asciiTheme="minorHAnsi" w:hAnsiTheme="minorHAnsi" w:cstheme="minorHAnsi"/>
          <w:bCs/>
          <w:i/>
          <w:shd w:val="clear" w:color="auto" w:fill="FFFFFF"/>
        </w:rPr>
        <w:t>(Pozn.: cesty II. triedy a cesty III. triedy sú spoplatnené nulovou sadzbou mýta,  v dôsledku čoho nie sú v prílohe vyhlášky uvádzané).</w:t>
      </w:r>
      <w:r w:rsidRPr="004F778A">
        <w:rPr>
          <w:rFonts w:asciiTheme="minorHAnsi" w:hAnsiTheme="minorHAnsi" w:cstheme="minorHAnsi"/>
          <w:bCs/>
          <w:shd w:val="clear" w:color="auto" w:fill="FFFFFF"/>
        </w:rPr>
        <w:t xml:space="preserve"> Táto vykonávac</w:t>
      </w:r>
      <w:r w:rsidR="008E757A">
        <w:rPr>
          <w:rFonts w:asciiTheme="minorHAnsi" w:hAnsiTheme="minorHAnsi" w:cstheme="minorHAnsi"/>
          <w:bCs/>
          <w:shd w:val="clear" w:color="auto" w:fill="FFFFFF"/>
        </w:rPr>
        <w:t>ia</w:t>
      </w:r>
      <w:r w:rsidRPr="004F778A">
        <w:rPr>
          <w:rFonts w:asciiTheme="minorHAnsi" w:hAnsiTheme="minorHAnsi" w:cstheme="minorHAnsi"/>
          <w:bCs/>
          <w:shd w:val="clear" w:color="auto" w:fill="FFFFFF"/>
        </w:rPr>
        <w:t xml:space="preserve"> vyhlášk</w:t>
      </w:r>
      <w:r w:rsidR="008E757A">
        <w:rPr>
          <w:rFonts w:asciiTheme="minorHAnsi" w:hAnsiTheme="minorHAnsi" w:cstheme="minorHAnsi"/>
          <w:bCs/>
          <w:shd w:val="clear" w:color="auto" w:fill="FFFFFF"/>
        </w:rPr>
        <w:t>a</w:t>
      </w:r>
      <w:r w:rsidRPr="004F778A">
        <w:rPr>
          <w:rFonts w:asciiTheme="minorHAnsi" w:hAnsiTheme="minorHAnsi" w:cstheme="minorHAnsi"/>
          <w:bCs/>
          <w:shd w:val="clear" w:color="auto" w:fill="FFFFFF"/>
        </w:rPr>
        <w:t xml:space="preserve"> k  novému zákonu č. 474/2013 Z. z. </w:t>
      </w:r>
      <w:r w:rsidRPr="004F778A">
        <w:rPr>
          <w:rFonts w:asciiTheme="minorHAnsi" w:hAnsiTheme="minorHAnsi" w:cstheme="minorHAnsi"/>
          <w:shd w:val="clear" w:color="auto" w:fill="FFFFFF"/>
        </w:rPr>
        <w:t>o výbere mýta za užívanie vymedzených úsekov pozemných komunikácií a o zmene a doplnení niektorých zákonov</w:t>
      </w:r>
      <w:r w:rsidR="008E757A">
        <w:rPr>
          <w:rFonts w:asciiTheme="minorHAnsi" w:hAnsiTheme="minorHAnsi" w:cstheme="minorHAnsi"/>
          <w:shd w:val="clear" w:color="auto" w:fill="FFFFFF"/>
        </w:rPr>
        <w:t xml:space="preserve">  priniesla zmeny v </w:t>
      </w:r>
      <w:r w:rsidR="00B92A08">
        <w:t>členen</w:t>
      </w:r>
      <w:r w:rsidR="008E757A">
        <w:t>í</w:t>
      </w:r>
      <w:r w:rsidR="00B92A08">
        <w:t xml:space="preserve"> vymedzených úsekov ciest </w:t>
      </w:r>
      <w:r w:rsidR="00B92A08" w:rsidRPr="00B92A08">
        <w:t xml:space="preserve">I. triedy </w:t>
      </w:r>
      <w:r w:rsidR="00B92A08">
        <w:t xml:space="preserve">na cesty </w:t>
      </w:r>
      <w:r w:rsidR="00B92A08" w:rsidRPr="00B92A08">
        <w:t>súbežné s diaľnicami a rýchlostnými cestami</w:t>
      </w:r>
      <w:r w:rsidR="00B92A08">
        <w:t xml:space="preserve">, </w:t>
      </w:r>
      <w:r w:rsidR="00B92A08" w:rsidRPr="00B92A08">
        <w:t>cesty I. triedy nesúbežné s diaľnicami a rýchlostnými cestami a ostatné cesty I. triedy</w:t>
      </w:r>
      <w:r w:rsidR="00B92A08">
        <w:t xml:space="preserve">, ktoré predstavovali predovšetkým intravilánové úseky ciest I. triedy, </w:t>
      </w:r>
    </w:p>
    <w:p w:rsidR="00C0517C" w:rsidRDefault="00C010DE" w:rsidP="00B92A08">
      <w:pPr>
        <w:shd w:val="clear" w:color="auto" w:fill="FFFFFF"/>
      </w:pPr>
      <w:r>
        <w:rPr>
          <w:rFonts w:asciiTheme="minorHAnsi" w:hAnsiTheme="minorHAnsi" w:cstheme="minorHAnsi"/>
          <w:bCs/>
          <w:shd w:val="clear" w:color="auto" w:fill="FFFFFF"/>
          <w:lang w:eastAsia="sk-SK"/>
        </w:rPr>
        <w:t>V</w:t>
      </w:r>
      <w:r w:rsidR="004F778A" w:rsidRPr="004F778A">
        <w:rPr>
          <w:rFonts w:asciiTheme="minorHAnsi" w:hAnsiTheme="minorHAnsi" w:cstheme="minorHAnsi"/>
          <w:bCs/>
          <w:shd w:val="clear" w:color="auto" w:fill="FFFFFF"/>
          <w:lang w:eastAsia="sk-SK"/>
        </w:rPr>
        <w:t xml:space="preserve"> hodnotenom období rokov 2008 – 2019 </w:t>
      </w:r>
      <w:r>
        <w:rPr>
          <w:rFonts w:asciiTheme="minorHAnsi" w:hAnsiTheme="minorHAnsi" w:cstheme="minorHAnsi"/>
          <w:bCs/>
          <w:shd w:val="clear" w:color="auto" w:fill="FFFFFF"/>
          <w:lang w:eastAsia="sk-SK"/>
        </w:rPr>
        <w:t>sa</w:t>
      </w:r>
      <w:r w:rsidR="004F778A" w:rsidRPr="004F778A">
        <w:rPr>
          <w:rFonts w:asciiTheme="minorHAnsi" w:hAnsiTheme="minorHAnsi" w:cstheme="minorHAnsi"/>
          <w:bCs/>
          <w:shd w:val="clear" w:color="auto" w:fill="FFFFFF"/>
          <w:lang w:eastAsia="sk-SK"/>
        </w:rPr>
        <w:t xml:space="preserve"> dĺžka </w:t>
      </w:r>
      <w:r>
        <w:rPr>
          <w:rFonts w:asciiTheme="minorHAnsi" w:hAnsiTheme="minorHAnsi" w:cstheme="minorHAnsi"/>
          <w:bCs/>
          <w:shd w:val="clear" w:color="auto" w:fill="FFFFFF"/>
          <w:lang w:eastAsia="sk-SK"/>
        </w:rPr>
        <w:t>vymedzených</w:t>
      </w:r>
      <w:r w:rsidR="004F778A" w:rsidRPr="004F778A">
        <w:rPr>
          <w:rFonts w:asciiTheme="minorHAnsi" w:hAnsiTheme="minorHAnsi" w:cstheme="minorHAnsi"/>
          <w:bCs/>
          <w:shd w:val="clear" w:color="auto" w:fill="FFFFFF"/>
          <w:lang w:eastAsia="sk-SK"/>
        </w:rPr>
        <w:t xml:space="preserve"> úsekov </w:t>
      </w:r>
      <w:r w:rsidRPr="004F778A">
        <w:rPr>
          <w:rFonts w:asciiTheme="minorHAnsi" w:hAnsiTheme="minorHAnsi" w:cstheme="minorHAnsi"/>
          <w:bCs/>
          <w:shd w:val="clear" w:color="auto" w:fill="FFFFFF"/>
          <w:lang w:eastAsia="sk-SK"/>
        </w:rPr>
        <w:t>pozemných komunikácií</w:t>
      </w:r>
      <w:r>
        <w:rPr>
          <w:rFonts w:asciiTheme="minorHAnsi" w:hAnsiTheme="minorHAnsi" w:cstheme="minorHAnsi"/>
          <w:bCs/>
          <w:shd w:val="clear" w:color="auto" w:fill="FFFFFF"/>
          <w:lang w:eastAsia="sk-SK"/>
        </w:rPr>
        <w:t xml:space="preserve"> spoplatnených nenulovou sadzbou niekoľkokrát menila, dochádzalo k zníženiu aj rozšíreniu siete podliehajúcej platbe mýta za jej užívanie. Prehľad zmien je uvádzaný v nasledujúcej tabuľke </w:t>
      </w:r>
      <w:r>
        <w:t>(</w:t>
      </w:r>
      <w:r>
        <w:fldChar w:fldCharType="begin"/>
      </w:r>
      <w:r>
        <w:instrText xml:space="preserve"> REF _Ref36582714 \h </w:instrText>
      </w:r>
      <w:r>
        <w:fldChar w:fldCharType="separate"/>
      </w:r>
      <w:r>
        <w:t xml:space="preserve">Tab.  </w:t>
      </w:r>
      <w:r>
        <w:rPr>
          <w:noProof/>
        </w:rPr>
        <w:t>3</w:t>
      </w:r>
      <w:r>
        <w:noBreakHyphen/>
      </w:r>
      <w:r>
        <w:rPr>
          <w:noProof/>
        </w:rPr>
        <w:t>5</w:t>
      </w:r>
      <w:r>
        <w:fldChar w:fldCharType="end"/>
      </w:r>
      <w:r>
        <w:t xml:space="preserve">). Zelenou farbou je zvýraznené rozšírenie siete a červenou naopak zníženie dĺžky vymedzených úsekov ciest </w:t>
      </w:r>
      <w:r w:rsidR="008E757A">
        <w:t>spoplatnených nenulovou sadzbou, resp. zrušenie spoplatnenia ciest I. triedy v roku 2010.</w:t>
      </w:r>
      <w:r>
        <w:t xml:space="preserve"> Všetky uvedené zmeny mali vplyv nielen na výnosnosť mýtneho systému ale tiež </w:t>
      </w:r>
      <w:r w:rsidR="00B92A08">
        <w:t xml:space="preserve">na </w:t>
      </w:r>
      <w:r w:rsidR="008E757A">
        <w:t>výšku</w:t>
      </w:r>
      <w:r>
        <w:t xml:space="preserve"> nákladov </w:t>
      </w:r>
      <w:r w:rsidR="00B92A08">
        <w:t xml:space="preserve">súvisiacich so zabezpečením prevádzky </w:t>
      </w:r>
      <w:r>
        <w:t xml:space="preserve">na </w:t>
      </w:r>
      <w:r w:rsidR="00B92A08">
        <w:t xml:space="preserve">týchto legislatívne vymedzovaných úsekoch ciest. </w:t>
      </w:r>
    </w:p>
    <w:p w:rsidR="00B92A08" w:rsidRDefault="00B92A08" w:rsidP="00B92A08">
      <w:pPr>
        <w:shd w:val="clear" w:color="auto" w:fill="FFFFFF"/>
        <w:sectPr w:rsidR="00B92A08" w:rsidSect="00383F58">
          <w:headerReference w:type="default" r:id="rId104"/>
          <w:footerReference w:type="default" r:id="rId105"/>
          <w:pgSz w:w="11907" w:h="16840" w:code="9"/>
          <w:pgMar w:top="1550" w:right="1134" w:bottom="1440" w:left="1418" w:header="510" w:footer="204" w:gutter="0"/>
          <w:cols w:space="240"/>
          <w:docGrid w:linePitch="299"/>
        </w:sectPr>
      </w:pPr>
    </w:p>
    <w:p w:rsidR="000D0CD4" w:rsidRDefault="000D0CD4" w:rsidP="000D0CD4">
      <w:pPr>
        <w:pStyle w:val="Popis"/>
        <w:jc w:val="left"/>
      </w:pPr>
      <w:bookmarkStart w:id="335" w:name="_Ref36582714"/>
      <w:bookmarkStart w:id="336" w:name="_Toc36664499"/>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5</w:t>
      </w:r>
      <w:r w:rsidR="00C40D3F">
        <w:rPr>
          <w:noProof/>
        </w:rPr>
        <w:fldChar w:fldCharType="end"/>
      </w:r>
      <w:bookmarkEnd w:id="335"/>
      <w:r>
        <w:t xml:space="preserve"> </w:t>
      </w:r>
      <w:r>
        <w:rPr>
          <w:rFonts w:ascii="Calibri" w:hAnsi="Calibri" w:cs="Calibri"/>
          <w:bCs/>
          <w:color w:val="000000"/>
          <w:shd w:val="clear" w:color="auto" w:fill="FFFFFF"/>
        </w:rPr>
        <w:t>Zoznam vyhlášok určujúcich vymedzené úseky diaľnic, rýchlostných ciest a ciest I. triedy  v období 2008 – 2019 (2020)</w:t>
      </w:r>
      <w:bookmarkEnd w:id="336"/>
      <w:r>
        <w:rPr>
          <w:rFonts w:ascii="Calibri" w:hAnsi="Calibri" w:cs="Calibri"/>
          <w:bCs/>
          <w:color w:val="000000"/>
          <w:shd w:val="clear" w:color="auto" w:fill="FFFFFF"/>
        </w:rPr>
        <w:t xml:space="preserve"> </w:t>
      </w:r>
    </w:p>
    <w:tbl>
      <w:tblPr>
        <w:tblStyle w:val="tabulkaVUD"/>
        <w:tblW w:w="5000" w:type="pct"/>
        <w:tblLook w:val="04A0" w:firstRow="1" w:lastRow="0" w:firstColumn="1" w:lastColumn="0" w:noHBand="0" w:noVBand="1"/>
      </w:tblPr>
      <w:tblGrid>
        <w:gridCol w:w="532"/>
        <w:gridCol w:w="1396"/>
        <w:gridCol w:w="6748"/>
        <w:gridCol w:w="1841"/>
        <w:gridCol w:w="3391"/>
      </w:tblGrid>
      <w:tr w:rsidR="00F95A92" w:rsidRPr="000D0CD4" w:rsidTr="00F95A92">
        <w:trPr>
          <w:cnfStyle w:val="100000000000" w:firstRow="1" w:lastRow="0" w:firstColumn="0" w:lastColumn="0" w:oddVBand="0" w:evenVBand="0" w:oddHBand="0" w:evenHBand="0" w:firstRowFirstColumn="0" w:firstRowLastColumn="0" w:lastRowFirstColumn="0" w:lastRowLastColumn="0"/>
          <w:trHeight w:val="360"/>
          <w:tblHeader/>
        </w:trPr>
        <w:tc>
          <w:tcPr>
            <w:tcW w:w="191" w:type="pct"/>
            <w:noWrap/>
            <w:hideMark/>
          </w:tcPr>
          <w:p w:rsidR="00F95A92" w:rsidRPr="000D0CD4" w:rsidRDefault="00F95A92" w:rsidP="000D0CD4">
            <w:pPr>
              <w:pStyle w:val="zahltab"/>
            </w:pPr>
            <w:r w:rsidRPr="000D0CD4">
              <w:t>P.č.</w:t>
            </w:r>
          </w:p>
        </w:tc>
        <w:tc>
          <w:tcPr>
            <w:tcW w:w="502" w:type="pct"/>
            <w:noWrap/>
            <w:hideMark/>
          </w:tcPr>
          <w:p w:rsidR="00F95A92" w:rsidRPr="000D0CD4" w:rsidRDefault="00F95A92" w:rsidP="000D0CD4">
            <w:pPr>
              <w:pStyle w:val="zahltab"/>
            </w:pPr>
            <w:r w:rsidRPr="000D0CD4">
              <w:t>Číslo vyhlášky</w:t>
            </w:r>
          </w:p>
        </w:tc>
        <w:tc>
          <w:tcPr>
            <w:tcW w:w="2426" w:type="pct"/>
            <w:hideMark/>
          </w:tcPr>
          <w:p w:rsidR="00F95A92" w:rsidRPr="000D0CD4" w:rsidRDefault="00F95A92" w:rsidP="000D0CD4">
            <w:pPr>
              <w:pStyle w:val="zahltab"/>
            </w:pPr>
            <w:r w:rsidRPr="000D0CD4">
              <w:t>Názov vyhlášky</w:t>
            </w:r>
          </w:p>
        </w:tc>
        <w:tc>
          <w:tcPr>
            <w:tcW w:w="662" w:type="pct"/>
            <w:noWrap/>
            <w:hideMark/>
          </w:tcPr>
          <w:p w:rsidR="00F95A92" w:rsidRPr="000D0CD4" w:rsidRDefault="00F95A92" w:rsidP="000D0CD4">
            <w:pPr>
              <w:pStyle w:val="zahltab"/>
            </w:pPr>
            <w:r w:rsidRPr="000D0CD4">
              <w:t>Účinnosť</w:t>
            </w:r>
          </w:p>
        </w:tc>
        <w:tc>
          <w:tcPr>
            <w:tcW w:w="1219" w:type="pct"/>
          </w:tcPr>
          <w:p w:rsidR="00F95A92" w:rsidRPr="000D0CD4" w:rsidRDefault="00F95A92" w:rsidP="000D0CD4">
            <w:pPr>
              <w:pStyle w:val="zahltab"/>
            </w:pPr>
          </w:p>
        </w:tc>
      </w:tr>
      <w:tr w:rsidR="00F95A92" w:rsidRPr="000D0CD4" w:rsidTr="00F95A92">
        <w:trPr>
          <w:trHeight w:val="20"/>
        </w:trPr>
        <w:tc>
          <w:tcPr>
            <w:tcW w:w="191" w:type="pct"/>
            <w:noWrap/>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w:t>
            </w:r>
          </w:p>
        </w:tc>
        <w:tc>
          <w:tcPr>
            <w:tcW w:w="502" w:type="pct"/>
            <w:noWrap/>
            <w:hideMark/>
          </w:tcPr>
          <w:p w:rsidR="00F95A92" w:rsidRPr="000D0CD4" w:rsidRDefault="00F95A92" w:rsidP="000D0CD4">
            <w:pPr>
              <w:spacing w:before="20" w:after="20" w:line="240" w:lineRule="auto"/>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 xml:space="preserve">413/2007 Z. z. </w:t>
            </w:r>
          </w:p>
        </w:tc>
        <w:tc>
          <w:tcPr>
            <w:tcW w:w="2426" w:type="pct"/>
            <w:hideMark/>
          </w:tcPr>
          <w:p w:rsidR="00F95A92" w:rsidRPr="000D0CD4" w:rsidRDefault="00F95A92" w:rsidP="000D0CD4">
            <w:pPr>
              <w:spacing w:before="20" w:after="20" w:line="240" w:lineRule="auto"/>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Vyhláška MDPT SR, ktorou sa vymedzujú úseky diaľnic, ciest pre motorové vozidlá a ciest I. triedy s elektronickým výberom mýta</w:t>
            </w:r>
          </w:p>
        </w:tc>
        <w:tc>
          <w:tcPr>
            <w:tcW w:w="662" w:type="pct"/>
            <w:noWrap/>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 9.2007 - 30.11.2009</w:t>
            </w:r>
          </w:p>
        </w:tc>
        <w:tc>
          <w:tcPr>
            <w:tcW w:w="1219" w:type="pct"/>
          </w:tcPr>
          <w:p w:rsidR="00F95A92" w:rsidRPr="000D0CD4" w:rsidRDefault="00584793" w:rsidP="000D0CD4">
            <w:pPr>
              <w:spacing w:before="20" w:after="20" w:line="240" w:lineRule="auto"/>
              <w:jc w:val="center"/>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470/2009 Z. 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MDPT SR, ktorou sa  mení vyhláška Ministerstva dopravy, pôšt a telekomunikácií Slovenskej republiky č. 413/2007 Z. z., ktorou sa vymedzujú úseky diaľnic, ciest pre motorové vozidlá a ciest I. triedy s elektronickým výberom mýta</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1.12.2009 - 31.12.2009</w:t>
            </w:r>
          </w:p>
        </w:tc>
        <w:tc>
          <w:tcPr>
            <w:tcW w:w="1219" w:type="pct"/>
          </w:tcPr>
          <w:p w:rsidR="00071446"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 xml:space="preserve">Diaľnice a rýchlostné cesty: 91,517 km </w:t>
            </w:r>
          </w:p>
          <w:p w:rsidR="00F95A92" w:rsidRPr="000D0CD4" w:rsidRDefault="00071446" w:rsidP="00071446">
            <w:pPr>
              <w:spacing w:before="20" w:after="20" w:line="240" w:lineRule="auto"/>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 637,926 km</w:t>
            </w:r>
          </w:p>
        </w:tc>
      </w:tr>
      <w:tr w:rsidR="00F95A92" w:rsidRPr="000D0CD4" w:rsidTr="00F95A92">
        <w:trPr>
          <w:trHeight w:val="20"/>
        </w:trPr>
        <w:tc>
          <w:tcPr>
            <w:tcW w:w="191" w:type="pct"/>
            <w:noWrap/>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3.</w:t>
            </w:r>
          </w:p>
        </w:tc>
        <w:tc>
          <w:tcPr>
            <w:tcW w:w="502" w:type="pct"/>
            <w:noWrap/>
            <w:hideMark/>
          </w:tcPr>
          <w:p w:rsidR="00F95A92" w:rsidRPr="000D0CD4" w:rsidRDefault="00F95A92" w:rsidP="000D0CD4">
            <w:pPr>
              <w:spacing w:before="20" w:after="20" w:line="240" w:lineRule="auto"/>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 xml:space="preserve">529/2009 Z. z. </w:t>
            </w:r>
          </w:p>
        </w:tc>
        <w:tc>
          <w:tcPr>
            <w:tcW w:w="2426" w:type="pct"/>
            <w:hideMark/>
          </w:tcPr>
          <w:p w:rsidR="00F95A92" w:rsidRPr="000D0CD4" w:rsidRDefault="00F95A92" w:rsidP="000D0CD4">
            <w:pPr>
              <w:spacing w:before="20" w:after="20" w:line="240" w:lineRule="auto"/>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Vyhláška MDPT SR, ktorou sa vymedzujú úseky diaľnic, ciest pre motorové vozidlá a ciest I. triedy s elektronickým výberom mýta</w:t>
            </w:r>
          </w:p>
        </w:tc>
        <w:tc>
          <w:tcPr>
            <w:tcW w:w="662" w:type="pct"/>
            <w:noWrap/>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1.1.2010 - 13.1.2010</w:t>
            </w:r>
          </w:p>
        </w:tc>
        <w:tc>
          <w:tcPr>
            <w:tcW w:w="1219" w:type="pct"/>
          </w:tcPr>
          <w:p w:rsidR="00F95A92"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 xml:space="preserve">Diaľnice a rýchlostné cesty: 98,717 km </w:t>
            </w:r>
          </w:p>
          <w:p w:rsidR="00071446" w:rsidRPr="000D0CD4"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 637,926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4.</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10/2010 Z. z.</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MDPT SR, ktorou sa mení vyhláška Ministerstva dopravy, pôšt a telekomunikácií Slovenskej republiky č. 529/2009 Z. z., ktorou sa vymedzujú úseky diaľnic, ciest pre motorové vozidlá a ciest I. triedy s elektronickým výberom mýta</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14.1.2010 - 31.1.2010</w:t>
            </w:r>
          </w:p>
        </w:tc>
        <w:tc>
          <w:tcPr>
            <w:tcW w:w="1219" w:type="pct"/>
          </w:tcPr>
          <w:p w:rsidR="00071446"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Diaľnice a rýchlostné cesty: 98,717 km</w:t>
            </w:r>
          </w:p>
          <w:p w:rsidR="00F95A92"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 637,926 km</w:t>
            </w:r>
          </w:p>
          <w:p w:rsidR="00B92A08" w:rsidRPr="00B92A08" w:rsidRDefault="00B92A08" w:rsidP="00071446">
            <w:pPr>
              <w:spacing w:before="20" w:after="20" w:line="240" w:lineRule="auto"/>
              <w:jc w:val="left"/>
              <w:rPr>
                <w:rFonts w:asciiTheme="minorHAnsi" w:hAnsiTheme="minorHAnsi" w:cstheme="minorHAnsi"/>
                <w:color w:val="FF0000"/>
                <w:sz w:val="19"/>
                <w:szCs w:val="19"/>
                <w:lang w:eastAsia="sk-SK"/>
              </w:rPr>
            </w:pPr>
            <w:r w:rsidRPr="00B92A08">
              <w:rPr>
                <w:rFonts w:asciiTheme="minorHAnsi" w:hAnsiTheme="minorHAnsi" w:cstheme="minorHAnsi"/>
                <w:color w:val="FF0000"/>
                <w:sz w:val="19"/>
                <w:szCs w:val="19"/>
                <w:lang w:eastAsia="sk-SK"/>
              </w:rPr>
              <w:t>Úseky ciest I. triedy nie sú vymedzenými úsekmi.</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5.</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26/2010 Z. 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Vyhláška MDPT SR, ktorou sa mení a dopĺňa vyhláška Ministerstva dopravy, pôšt a telekomunikácií Slovenskej republiky č. 529/2009 Z. z., ktorou sa vymedzujú úseky diaľnic, ciest pre motorové vozidlá a ciest I. triedy s elektronickým výberom mýta v znení vyhlíšky č. 10/2010 Z.z. </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1.2.2010 - 28.2.2010</w:t>
            </w:r>
          </w:p>
        </w:tc>
        <w:tc>
          <w:tcPr>
            <w:tcW w:w="1219" w:type="pct"/>
          </w:tcPr>
          <w:p w:rsidR="00071446" w:rsidRPr="00071446" w:rsidRDefault="00071446" w:rsidP="00071446">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Diaľnice a rýchlostné cesty:574,634 km</w:t>
            </w:r>
          </w:p>
          <w:p w:rsidR="00F95A92" w:rsidRDefault="00071446" w:rsidP="00071446">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Cesty I. triedy:1442,064 km</w:t>
            </w:r>
          </w:p>
          <w:p w:rsidR="00B92A08" w:rsidRPr="00B92A08" w:rsidRDefault="00B92A08" w:rsidP="00071446">
            <w:pPr>
              <w:spacing w:before="20" w:after="20" w:line="240" w:lineRule="auto"/>
              <w:jc w:val="left"/>
              <w:rPr>
                <w:rFonts w:asciiTheme="minorHAnsi" w:hAnsiTheme="minorHAnsi" w:cstheme="minorHAnsi"/>
                <w:color w:val="FF0000"/>
                <w:sz w:val="19"/>
                <w:szCs w:val="19"/>
                <w:lang w:eastAsia="sk-SK"/>
              </w:rPr>
            </w:pPr>
            <w:r w:rsidRPr="00B92A08">
              <w:rPr>
                <w:rFonts w:asciiTheme="minorHAnsi" w:hAnsiTheme="minorHAnsi" w:cstheme="minorHAnsi"/>
                <w:color w:val="FF0000"/>
                <w:sz w:val="19"/>
                <w:szCs w:val="19"/>
                <w:lang w:eastAsia="sk-SK"/>
              </w:rPr>
              <w:t>Úseky ciest I. triedy nie sú vymedzenými úsekmi.</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6.</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61/2010 Z. 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MDPT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1.3.2010 - 14.4.2010</w:t>
            </w:r>
          </w:p>
        </w:tc>
        <w:tc>
          <w:tcPr>
            <w:tcW w:w="1219" w:type="pct"/>
          </w:tcPr>
          <w:p w:rsidR="00071446"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Diaľnice a rýchlostné cesty:574,634 km</w:t>
            </w:r>
          </w:p>
          <w:p w:rsidR="00F95A92" w:rsidRPr="000D0CD4"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triedy:1442,064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7.</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147/2010 Z.z.</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MDPT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15.4.2010 - 30.6.2010</w:t>
            </w:r>
          </w:p>
        </w:tc>
        <w:tc>
          <w:tcPr>
            <w:tcW w:w="1219" w:type="pct"/>
          </w:tcPr>
          <w:p w:rsidR="00071446"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Diaľnice a rýchlostné cesty:574,634 km</w:t>
            </w:r>
          </w:p>
          <w:p w:rsidR="00F95A92" w:rsidRPr="000D0CD4"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triedy:1442,064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8.</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297/2010 Z.z.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MDPT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1.7.2010 - 14.9.2011</w:t>
            </w:r>
          </w:p>
        </w:tc>
        <w:tc>
          <w:tcPr>
            <w:tcW w:w="1219" w:type="pct"/>
          </w:tcPr>
          <w:p w:rsidR="00071446" w:rsidRPr="00071446" w:rsidRDefault="00071446" w:rsidP="00071446">
            <w:pPr>
              <w:spacing w:before="20" w:after="20" w:line="240" w:lineRule="auto"/>
              <w:jc w:val="left"/>
              <w:rPr>
                <w:rFonts w:asciiTheme="minorHAnsi" w:hAnsiTheme="minorHAnsi" w:cstheme="minorHAnsi"/>
                <w:color w:val="FF0000"/>
                <w:sz w:val="19"/>
                <w:szCs w:val="19"/>
                <w:lang w:eastAsia="sk-SK"/>
              </w:rPr>
            </w:pPr>
            <w:r w:rsidRPr="00071446">
              <w:rPr>
                <w:rFonts w:asciiTheme="minorHAnsi" w:hAnsiTheme="minorHAnsi" w:cstheme="minorHAnsi"/>
                <w:color w:val="FF0000"/>
                <w:sz w:val="19"/>
                <w:szCs w:val="19"/>
                <w:lang w:eastAsia="sk-SK"/>
              </w:rPr>
              <w:t xml:space="preserve">Diaľnice a rýchlostné cesty: 571,877 km </w:t>
            </w:r>
          </w:p>
          <w:p w:rsidR="00F95A92" w:rsidRPr="000D0CD4" w:rsidRDefault="00071446" w:rsidP="00071446">
            <w:pPr>
              <w:spacing w:before="20" w:after="20" w:line="240" w:lineRule="auto"/>
              <w:jc w:val="left"/>
              <w:rPr>
                <w:rFonts w:asciiTheme="minorHAnsi" w:hAnsiTheme="minorHAnsi" w:cstheme="minorHAnsi"/>
                <w:color w:val="000000"/>
                <w:sz w:val="19"/>
                <w:szCs w:val="19"/>
                <w:lang w:eastAsia="sk-SK"/>
              </w:rPr>
            </w:pPr>
            <w:r w:rsidRPr="00071446">
              <w:rPr>
                <w:rFonts w:asciiTheme="minorHAnsi" w:hAnsiTheme="minorHAnsi" w:cstheme="minorHAnsi"/>
                <w:color w:val="FF0000"/>
                <w:sz w:val="19"/>
                <w:szCs w:val="19"/>
                <w:lang w:eastAsia="sk-SK"/>
              </w:rPr>
              <w:t>Cesty I. triedy: 1385,161 km</w:t>
            </w:r>
            <w:r>
              <w:rPr>
                <w:rFonts w:asciiTheme="minorHAnsi" w:hAnsiTheme="minorHAnsi" w:cstheme="minorHAnsi"/>
                <w:color w:val="000000"/>
                <w:sz w:val="19"/>
                <w:szCs w:val="19"/>
                <w:lang w:eastAsia="sk-SK"/>
              </w:rPr>
              <w:t xml:space="preserve"> </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9.</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292/2011 Z.z.</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MDPT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15.9.2011 - 31.12.2011</w:t>
            </w:r>
          </w:p>
        </w:tc>
        <w:tc>
          <w:tcPr>
            <w:tcW w:w="1219" w:type="pct"/>
          </w:tcPr>
          <w:p w:rsidR="00071446" w:rsidRPr="00071446" w:rsidRDefault="00071446" w:rsidP="00071446">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Diaľnice a rýchlostné cesty:620,154 km</w:t>
            </w:r>
          </w:p>
          <w:p w:rsidR="00F95A92" w:rsidRPr="00071446" w:rsidRDefault="00071446" w:rsidP="00071446">
            <w:pPr>
              <w:spacing w:before="20" w:after="20" w:line="240" w:lineRule="auto"/>
              <w:jc w:val="left"/>
              <w:rPr>
                <w:rFonts w:asciiTheme="minorHAnsi" w:hAnsiTheme="minorHAnsi" w:cstheme="minorHAnsi"/>
                <w:color w:val="FF0000"/>
                <w:sz w:val="19"/>
                <w:szCs w:val="19"/>
                <w:lang w:eastAsia="sk-SK"/>
              </w:rPr>
            </w:pPr>
            <w:r w:rsidRPr="00071446">
              <w:rPr>
                <w:rFonts w:asciiTheme="minorHAnsi" w:hAnsiTheme="minorHAnsi" w:cstheme="minorHAnsi"/>
                <w:color w:val="FF0000"/>
                <w:sz w:val="19"/>
                <w:szCs w:val="19"/>
                <w:lang w:eastAsia="sk-SK"/>
              </w:rPr>
              <w:t>Cesty I. triedy:1379,44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10.</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441/2011 Z.z.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1.1.2012 - 30.6.2012</w:t>
            </w:r>
          </w:p>
        </w:tc>
        <w:tc>
          <w:tcPr>
            <w:tcW w:w="1219" w:type="pct"/>
          </w:tcPr>
          <w:p w:rsidR="00071446" w:rsidRPr="00071446" w:rsidRDefault="00071446" w:rsidP="00071446">
            <w:pPr>
              <w:spacing w:before="20" w:after="20" w:line="240" w:lineRule="auto"/>
              <w:jc w:val="left"/>
              <w:rPr>
                <w:rFonts w:asciiTheme="minorHAnsi" w:hAnsiTheme="minorHAnsi" w:cstheme="minorHAnsi"/>
                <w:color w:val="FF0000"/>
                <w:sz w:val="19"/>
                <w:szCs w:val="19"/>
                <w:lang w:eastAsia="sk-SK"/>
              </w:rPr>
            </w:pPr>
            <w:r w:rsidRPr="00071446">
              <w:rPr>
                <w:rFonts w:asciiTheme="minorHAnsi" w:hAnsiTheme="minorHAnsi" w:cstheme="minorHAnsi"/>
                <w:color w:val="FF0000"/>
                <w:sz w:val="19"/>
                <w:szCs w:val="19"/>
                <w:lang w:eastAsia="sk-SK"/>
              </w:rPr>
              <w:t>Diaľnice a rýchlostné cesty:618,828 km</w:t>
            </w:r>
          </w:p>
          <w:p w:rsidR="00F95A92" w:rsidRPr="00071446" w:rsidRDefault="00071446" w:rsidP="00071446">
            <w:pPr>
              <w:spacing w:before="20" w:after="20" w:line="240" w:lineRule="auto"/>
              <w:jc w:val="left"/>
              <w:rPr>
                <w:rFonts w:asciiTheme="minorHAnsi" w:hAnsiTheme="minorHAnsi" w:cstheme="minorHAnsi"/>
                <w:color w:val="FF0000"/>
                <w:sz w:val="19"/>
                <w:szCs w:val="19"/>
                <w:lang w:eastAsia="sk-SK"/>
              </w:rPr>
            </w:pPr>
            <w:r w:rsidRPr="00071446">
              <w:rPr>
                <w:rFonts w:asciiTheme="minorHAnsi" w:hAnsiTheme="minorHAnsi" w:cstheme="minorHAnsi"/>
                <w:color w:val="FF0000"/>
                <w:sz w:val="19"/>
                <w:szCs w:val="19"/>
                <w:lang w:eastAsia="sk-SK"/>
              </w:rPr>
              <w:t>Cesty I. triedy:1373,11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11.</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147/2012 Z.z.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1.7.2012 - 31.10.2013</w:t>
            </w:r>
          </w:p>
        </w:tc>
        <w:tc>
          <w:tcPr>
            <w:tcW w:w="1219" w:type="pct"/>
          </w:tcPr>
          <w:p w:rsidR="00071446" w:rsidRDefault="00071446" w:rsidP="00071446">
            <w:pPr>
              <w:spacing w:before="20" w:after="20" w:line="240" w:lineRule="auto"/>
              <w:jc w:val="left"/>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Diaľnice a rýchlostné cesty:618,828 km</w:t>
            </w:r>
          </w:p>
          <w:p w:rsidR="00F95A92" w:rsidRPr="00071446" w:rsidRDefault="00071446" w:rsidP="00071446">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Cesty I. triedy:1414,393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12.</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343/2013 Z.z.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pôšt a telekomunikácií Slovenskej republiky č. 529/2009 Z. z., ktorou sa vymedzujú úseky diaľnic, ciest pre motorové vozidlá a ciest I. triedy s elektronickým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1.11.2013 - 31.12.2013</w:t>
            </w:r>
          </w:p>
        </w:tc>
        <w:tc>
          <w:tcPr>
            <w:tcW w:w="1219" w:type="pct"/>
          </w:tcPr>
          <w:p w:rsidR="00071446" w:rsidRPr="00071446" w:rsidRDefault="00071446" w:rsidP="00071446">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Diaľnice a rýchlostné cesty:633,003 km</w:t>
            </w:r>
          </w:p>
          <w:p w:rsidR="00F95A92" w:rsidRPr="000D0CD4" w:rsidRDefault="00071446" w:rsidP="00071446">
            <w:pPr>
              <w:spacing w:before="20" w:after="20" w:line="240" w:lineRule="auto"/>
              <w:jc w:val="left"/>
              <w:rPr>
                <w:rFonts w:asciiTheme="minorHAnsi" w:hAnsiTheme="minorHAnsi" w:cstheme="minorHAnsi"/>
                <w:color w:val="000000"/>
                <w:sz w:val="19"/>
                <w:szCs w:val="19"/>
                <w:lang w:eastAsia="sk-SK"/>
              </w:rPr>
            </w:pPr>
            <w:r w:rsidRPr="00071446">
              <w:rPr>
                <w:rFonts w:asciiTheme="minorHAnsi" w:hAnsiTheme="minorHAnsi" w:cstheme="minorHAnsi"/>
                <w:color w:val="00B050"/>
                <w:sz w:val="19"/>
                <w:szCs w:val="19"/>
                <w:lang w:eastAsia="sk-SK"/>
              </w:rPr>
              <w:t>Cesty I. triedy: 1423,476 km</w:t>
            </w:r>
          </w:p>
        </w:tc>
      </w:tr>
      <w:tr w:rsidR="00F95A92" w:rsidRPr="000D0CD4" w:rsidTr="00F95A92">
        <w:trPr>
          <w:trHeight w:val="20"/>
        </w:trPr>
        <w:tc>
          <w:tcPr>
            <w:tcW w:w="191" w:type="pct"/>
            <w:hideMark/>
          </w:tcPr>
          <w:p w:rsidR="00F95A92" w:rsidRPr="00C010DE" w:rsidRDefault="00F95A92" w:rsidP="000D0CD4">
            <w:pPr>
              <w:spacing w:before="20" w:after="20" w:line="240" w:lineRule="auto"/>
              <w:rPr>
                <w:rFonts w:asciiTheme="minorHAnsi" w:hAnsiTheme="minorHAnsi" w:cstheme="minorHAnsi"/>
                <w:b/>
                <w:color w:val="000000"/>
                <w:sz w:val="19"/>
                <w:szCs w:val="19"/>
                <w:lang w:eastAsia="sk-SK"/>
              </w:rPr>
            </w:pPr>
            <w:r w:rsidRPr="00C010DE">
              <w:rPr>
                <w:rFonts w:asciiTheme="minorHAnsi" w:hAnsiTheme="minorHAnsi" w:cstheme="minorHAnsi"/>
                <w:b/>
                <w:color w:val="000000"/>
                <w:sz w:val="19"/>
                <w:szCs w:val="19"/>
                <w:lang w:eastAsia="sk-SK"/>
              </w:rPr>
              <w:t>13.</w:t>
            </w:r>
          </w:p>
        </w:tc>
        <w:tc>
          <w:tcPr>
            <w:tcW w:w="502" w:type="pct"/>
            <w:hideMark/>
          </w:tcPr>
          <w:p w:rsidR="00F95A92" w:rsidRPr="00C010DE" w:rsidRDefault="00F95A92" w:rsidP="000D0CD4">
            <w:pPr>
              <w:spacing w:before="20" w:after="20" w:line="240" w:lineRule="auto"/>
              <w:rPr>
                <w:rFonts w:asciiTheme="minorHAnsi" w:hAnsiTheme="minorHAnsi" w:cstheme="minorHAnsi"/>
                <w:b/>
                <w:bCs/>
                <w:color w:val="000000"/>
                <w:sz w:val="19"/>
                <w:szCs w:val="19"/>
                <w:lang w:eastAsia="sk-SK"/>
              </w:rPr>
            </w:pPr>
            <w:r w:rsidRPr="00C010DE">
              <w:rPr>
                <w:rFonts w:asciiTheme="minorHAnsi" w:hAnsiTheme="minorHAnsi" w:cstheme="minorHAnsi"/>
                <w:b/>
                <w:bCs/>
                <w:color w:val="000000"/>
                <w:sz w:val="19"/>
                <w:szCs w:val="19"/>
                <w:lang w:eastAsia="sk-SK"/>
              </w:rPr>
              <w:t xml:space="preserve">475/2013 Z.z. </w:t>
            </w:r>
          </w:p>
        </w:tc>
        <w:tc>
          <w:tcPr>
            <w:tcW w:w="2426" w:type="pct"/>
            <w:hideMark/>
          </w:tcPr>
          <w:p w:rsidR="00F95A92" w:rsidRPr="00C010DE" w:rsidRDefault="00F95A92" w:rsidP="000D0CD4">
            <w:pPr>
              <w:spacing w:before="20" w:after="20" w:line="240" w:lineRule="auto"/>
              <w:rPr>
                <w:rFonts w:asciiTheme="minorHAnsi" w:hAnsiTheme="minorHAnsi" w:cstheme="minorHAnsi"/>
                <w:b/>
                <w:bCs/>
                <w:color w:val="000000"/>
                <w:sz w:val="19"/>
                <w:szCs w:val="19"/>
                <w:lang w:eastAsia="sk-SK"/>
              </w:rPr>
            </w:pPr>
            <w:r w:rsidRPr="00C010DE">
              <w:rPr>
                <w:rFonts w:asciiTheme="minorHAnsi" w:hAnsiTheme="minorHAnsi" w:cstheme="minorHAnsi"/>
                <w:b/>
                <w:bCs/>
                <w:color w:val="000000"/>
                <w:sz w:val="19"/>
                <w:szCs w:val="19"/>
                <w:lang w:eastAsia="sk-SK"/>
              </w:rPr>
              <w:t xml:space="preserve">Vyhláška MDVRR SR, ktorou sa vymedzujú úseky diaľnic, rýchlostných ciest, ciest I. triedy, ciest II. triedy a ciest III. triedy  s výberom mýta </w:t>
            </w:r>
          </w:p>
        </w:tc>
        <w:tc>
          <w:tcPr>
            <w:tcW w:w="662" w:type="pct"/>
            <w:hideMark/>
          </w:tcPr>
          <w:p w:rsidR="00F95A92" w:rsidRPr="00C010DE" w:rsidRDefault="00F95A92" w:rsidP="000D0CD4">
            <w:pPr>
              <w:spacing w:before="20" w:after="20" w:line="240" w:lineRule="auto"/>
              <w:jc w:val="center"/>
              <w:rPr>
                <w:rFonts w:asciiTheme="minorHAnsi" w:hAnsiTheme="minorHAnsi" w:cstheme="minorHAnsi"/>
                <w:b/>
                <w:color w:val="000000"/>
                <w:sz w:val="19"/>
                <w:szCs w:val="19"/>
                <w:lang w:eastAsia="sk-SK"/>
              </w:rPr>
            </w:pPr>
            <w:r w:rsidRPr="00C010DE">
              <w:rPr>
                <w:rFonts w:asciiTheme="minorHAnsi" w:hAnsiTheme="minorHAnsi" w:cstheme="minorHAnsi"/>
                <w:b/>
                <w:color w:val="000000"/>
                <w:sz w:val="19"/>
                <w:szCs w:val="19"/>
                <w:lang w:eastAsia="sk-SK"/>
              </w:rPr>
              <w:t>1.1.2014 - 14.3.2014</w:t>
            </w:r>
          </w:p>
        </w:tc>
        <w:tc>
          <w:tcPr>
            <w:tcW w:w="1219" w:type="pct"/>
          </w:tcPr>
          <w:p w:rsidR="00F95A92" w:rsidRPr="00C010DE" w:rsidRDefault="00F95A92" w:rsidP="00F95A92">
            <w:pPr>
              <w:spacing w:before="20" w:after="20" w:line="240" w:lineRule="auto"/>
              <w:jc w:val="left"/>
              <w:rPr>
                <w:rFonts w:asciiTheme="minorHAnsi" w:hAnsiTheme="minorHAnsi" w:cstheme="minorHAnsi"/>
                <w:b/>
                <w:color w:val="00B050"/>
                <w:sz w:val="19"/>
                <w:szCs w:val="19"/>
                <w:lang w:eastAsia="sk-SK"/>
              </w:rPr>
            </w:pPr>
            <w:r w:rsidRPr="00C010DE">
              <w:rPr>
                <w:rFonts w:asciiTheme="minorHAnsi" w:hAnsiTheme="minorHAnsi" w:cstheme="minorHAnsi"/>
                <w:b/>
                <w:color w:val="00B050"/>
                <w:sz w:val="19"/>
                <w:szCs w:val="19"/>
                <w:lang w:eastAsia="sk-SK"/>
              </w:rPr>
              <w:t>Diaľnice a rýchlostné cesty:</w:t>
            </w:r>
            <w:r w:rsidRPr="00C010DE">
              <w:rPr>
                <w:b/>
                <w:color w:val="00B050"/>
              </w:rPr>
              <w:t xml:space="preserve"> </w:t>
            </w:r>
            <w:r w:rsidRPr="00C010DE">
              <w:rPr>
                <w:rFonts w:asciiTheme="minorHAnsi" w:hAnsiTheme="minorHAnsi" w:cstheme="minorHAnsi"/>
                <w:b/>
                <w:color w:val="00B050"/>
                <w:sz w:val="19"/>
                <w:szCs w:val="19"/>
                <w:lang w:eastAsia="sk-SK"/>
              </w:rPr>
              <w:t>657,951 km</w:t>
            </w:r>
          </w:p>
          <w:p w:rsidR="00F95A92" w:rsidRPr="00C010DE" w:rsidRDefault="00F95A92" w:rsidP="00F95A92">
            <w:pPr>
              <w:spacing w:before="20" w:after="20" w:line="240" w:lineRule="auto"/>
              <w:jc w:val="left"/>
              <w:rPr>
                <w:rFonts w:asciiTheme="minorHAnsi" w:hAnsiTheme="minorHAnsi" w:cstheme="minorHAnsi"/>
                <w:b/>
                <w:color w:val="00B050"/>
                <w:sz w:val="19"/>
                <w:szCs w:val="19"/>
                <w:lang w:eastAsia="sk-SK"/>
              </w:rPr>
            </w:pPr>
            <w:r w:rsidRPr="00C010DE">
              <w:rPr>
                <w:rFonts w:asciiTheme="minorHAnsi" w:hAnsiTheme="minorHAnsi" w:cstheme="minorHAnsi"/>
                <w:b/>
                <w:color w:val="00B050"/>
                <w:sz w:val="19"/>
                <w:szCs w:val="19"/>
                <w:lang w:eastAsia="sk-SK"/>
              </w:rPr>
              <w:t>Cesty I. triedy súbežné: 550,538 km</w:t>
            </w:r>
          </w:p>
          <w:p w:rsidR="00F95A92" w:rsidRPr="00C010DE" w:rsidRDefault="00F95A92" w:rsidP="00F95A92">
            <w:pPr>
              <w:spacing w:before="20" w:after="20" w:line="240" w:lineRule="auto"/>
              <w:jc w:val="left"/>
              <w:rPr>
                <w:rFonts w:asciiTheme="minorHAnsi" w:hAnsiTheme="minorHAnsi" w:cstheme="minorHAnsi"/>
                <w:b/>
                <w:color w:val="00B050"/>
                <w:sz w:val="19"/>
                <w:szCs w:val="19"/>
                <w:lang w:eastAsia="sk-SK"/>
              </w:rPr>
            </w:pPr>
            <w:r w:rsidRPr="00C010DE">
              <w:rPr>
                <w:rFonts w:asciiTheme="minorHAnsi" w:hAnsiTheme="minorHAnsi" w:cstheme="minorHAnsi"/>
                <w:b/>
                <w:color w:val="00B050"/>
                <w:sz w:val="19"/>
                <w:szCs w:val="19"/>
                <w:lang w:eastAsia="sk-SK"/>
              </w:rPr>
              <w:t>Cesty I. triedy nesúbežné:2070,856 km</w:t>
            </w:r>
          </w:p>
          <w:p w:rsidR="00F95A92" w:rsidRPr="00C010DE" w:rsidRDefault="00F95A92" w:rsidP="00F95A92">
            <w:pPr>
              <w:spacing w:before="20" w:after="20" w:line="240" w:lineRule="auto"/>
              <w:jc w:val="left"/>
              <w:rPr>
                <w:rFonts w:asciiTheme="minorHAnsi" w:hAnsiTheme="minorHAnsi" w:cstheme="minorHAnsi"/>
                <w:b/>
                <w:color w:val="000000"/>
                <w:sz w:val="19"/>
                <w:szCs w:val="19"/>
                <w:lang w:eastAsia="sk-SK"/>
              </w:rPr>
            </w:pPr>
            <w:r w:rsidRPr="00C010DE">
              <w:rPr>
                <w:rFonts w:asciiTheme="minorHAnsi" w:hAnsiTheme="minorHAnsi" w:cstheme="minorHAnsi"/>
                <w:b/>
                <w:color w:val="00B050"/>
                <w:sz w:val="19"/>
                <w:szCs w:val="19"/>
                <w:lang w:eastAsia="sk-SK"/>
              </w:rPr>
              <w:t>Cesty I. triedy ostatné:1004,015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14.</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57/2014 Z.z.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Vyhláška MDVRR SR, ktorou sa mení vyhláška Ministerstva dopravy, výstavby a regionálneho rozvoja Slovenskej republiky č. 475/2013 Z. z., ktorou  vymedzujú úseky diaľnic, rýchlostných ciest, ciest I. triedy, ciest II. triedy a ciest III. triedy  s výberom mýta </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15.3.2014 - 14.2.2015</w:t>
            </w:r>
          </w:p>
        </w:tc>
        <w:tc>
          <w:tcPr>
            <w:tcW w:w="1219" w:type="pct"/>
          </w:tcPr>
          <w:p w:rsidR="00F95A92" w:rsidRPr="006F05C1" w:rsidRDefault="00F95A92" w:rsidP="00F95A92">
            <w:pPr>
              <w:spacing w:before="20" w:after="20" w:line="240" w:lineRule="auto"/>
              <w:jc w:val="left"/>
              <w:rPr>
                <w:rFonts w:asciiTheme="minorHAnsi" w:hAnsiTheme="minorHAnsi" w:cstheme="minorHAnsi"/>
                <w:color w:val="FF0000"/>
                <w:sz w:val="19"/>
                <w:szCs w:val="19"/>
                <w:lang w:eastAsia="sk-SK"/>
              </w:rPr>
            </w:pPr>
            <w:r w:rsidRPr="006F05C1">
              <w:rPr>
                <w:rFonts w:asciiTheme="minorHAnsi" w:hAnsiTheme="minorHAnsi" w:cstheme="minorHAnsi"/>
                <w:color w:val="FF0000"/>
                <w:sz w:val="19"/>
                <w:szCs w:val="19"/>
                <w:lang w:eastAsia="sk-SK"/>
              </w:rPr>
              <w:t>Diaľnice a rýchlostné cesty:</w:t>
            </w:r>
            <w:r w:rsidRPr="006F05C1">
              <w:rPr>
                <w:color w:val="FF0000"/>
              </w:rPr>
              <w:t xml:space="preserve"> </w:t>
            </w:r>
            <w:r w:rsidRPr="006F05C1">
              <w:rPr>
                <w:rFonts w:asciiTheme="minorHAnsi" w:hAnsiTheme="minorHAnsi" w:cstheme="minorHAnsi"/>
                <w:color w:val="FF0000"/>
                <w:sz w:val="19"/>
                <w:szCs w:val="19"/>
                <w:lang w:eastAsia="sk-SK"/>
              </w:rPr>
              <w:t>633,813 km</w:t>
            </w:r>
          </w:p>
          <w:p w:rsidR="00F95A92" w:rsidRPr="006F05C1" w:rsidRDefault="00F95A92" w:rsidP="00F95A92">
            <w:pPr>
              <w:spacing w:before="20" w:after="20" w:line="240" w:lineRule="auto"/>
              <w:jc w:val="left"/>
              <w:rPr>
                <w:rFonts w:asciiTheme="minorHAnsi" w:hAnsiTheme="minorHAnsi" w:cstheme="minorHAnsi"/>
                <w:color w:val="FF0000"/>
                <w:sz w:val="19"/>
                <w:szCs w:val="19"/>
                <w:lang w:eastAsia="sk-SK"/>
              </w:rPr>
            </w:pPr>
            <w:r w:rsidRPr="006F05C1">
              <w:rPr>
                <w:rFonts w:asciiTheme="minorHAnsi" w:hAnsiTheme="minorHAnsi" w:cstheme="minorHAnsi"/>
                <w:color w:val="FF0000"/>
                <w:sz w:val="19"/>
                <w:szCs w:val="19"/>
                <w:lang w:eastAsia="sk-SK"/>
              </w:rPr>
              <w:t>Cesty I. triedy súbežné: 370,971 km</w:t>
            </w:r>
          </w:p>
          <w:p w:rsidR="00F95A92" w:rsidRPr="006F05C1" w:rsidRDefault="00F95A92" w:rsidP="00F95A92">
            <w:pPr>
              <w:spacing w:before="20" w:after="20" w:line="240" w:lineRule="auto"/>
              <w:jc w:val="left"/>
              <w:rPr>
                <w:rFonts w:asciiTheme="minorHAnsi" w:hAnsiTheme="minorHAnsi" w:cstheme="minorHAnsi"/>
                <w:color w:val="FF0000"/>
                <w:sz w:val="19"/>
                <w:szCs w:val="19"/>
                <w:lang w:eastAsia="sk-SK"/>
              </w:rPr>
            </w:pPr>
            <w:r w:rsidRPr="006F05C1">
              <w:rPr>
                <w:rFonts w:asciiTheme="minorHAnsi" w:hAnsiTheme="minorHAnsi" w:cstheme="minorHAnsi"/>
                <w:color w:val="FF0000"/>
                <w:sz w:val="19"/>
                <w:szCs w:val="19"/>
                <w:lang w:eastAsia="sk-SK"/>
              </w:rPr>
              <w:t>Cesty I. triedy nesúbežné:1264,98 km</w:t>
            </w:r>
          </w:p>
          <w:p w:rsidR="00F95A92" w:rsidRPr="00071446" w:rsidRDefault="00F95A92" w:rsidP="00F95A92">
            <w:pPr>
              <w:spacing w:before="20" w:after="20" w:line="240" w:lineRule="auto"/>
              <w:rPr>
                <w:rFonts w:asciiTheme="minorHAnsi" w:hAnsiTheme="minorHAnsi" w:cstheme="minorHAnsi"/>
                <w:color w:val="00B050"/>
                <w:sz w:val="19"/>
                <w:szCs w:val="19"/>
                <w:lang w:eastAsia="sk-SK"/>
              </w:rPr>
            </w:pPr>
            <w:r w:rsidRPr="006F05C1">
              <w:rPr>
                <w:rFonts w:asciiTheme="minorHAnsi" w:hAnsiTheme="minorHAnsi" w:cstheme="minorHAnsi"/>
                <w:color w:val="00B050"/>
                <w:sz w:val="19"/>
                <w:szCs w:val="19"/>
                <w:lang w:eastAsia="sk-SK"/>
              </w:rPr>
              <w:t>Cesty I. triedy ostatné:1989,45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21/2015 Z.z. </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vyhlášky č. 57/2014  Z. z.</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15.2.2015 - 14.7. 2015</w:t>
            </w:r>
          </w:p>
        </w:tc>
        <w:tc>
          <w:tcPr>
            <w:tcW w:w="1219" w:type="pct"/>
          </w:tcPr>
          <w:p w:rsidR="00F95A92" w:rsidRPr="00071446" w:rsidRDefault="00F95A92" w:rsidP="00F95A92">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Diaľnice a rýchlostné cesty:</w:t>
            </w:r>
            <w:r w:rsidRPr="00071446">
              <w:rPr>
                <w:color w:val="00B050"/>
              </w:rPr>
              <w:t xml:space="preserve"> </w:t>
            </w:r>
            <w:r w:rsidR="00E91525" w:rsidRPr="00071446">
              <w:rPr>
                <w:rFonts w:asciiTheme="minorHAnsi" w:hAnsiTheme="minorHAnsi" w:cstheme="minorHAnsi"/>
                <w:color w:val="00B050"/>
                <w:sz w:val="19"/>
                <w:szCs w:val="19"/>
                <w:lang w:eastAsia="sk-SK"/>
              </w:rPr>
              <w:t>635,413</w:t>
            </w:r>
            <w:r w:rsidRPr="00071446">
              <w:rPr>
                <w:rFonts w:asciiTheme="minorHAnsi" w:hAnsiTheme="minorHAnsi" w:cstheme="minorHAnsi"/>
                <w:color w:val="00B050"/>
                <w:sz w:val="19"/>
                <w:szCs w:val="19"/>
                <w:lang w:eastAsia="sk-SK"/>
              </w:rPr>
              <w:t xml:space="preserve"> km</w:t>
            </w:r>
          </w:p>
          <w:p w:rsidR="00F95A92" w:rsidRPr="00071446" w:rsidRDefault="00F95A92" w:rsidP="00F95A92">
            <w:pPr>
              <w:spacing w:before="20" w:after="20" w:line="240" w:lineRule="auto"/>
              <w:jc w:val="left"/>
              <w:rPr>
                <w:rFonts w:asciiTheme="minorHAnsi" w:hAnsiTheme="minorHAnsi" w:cstheme="minorHAnsi"/>
                <w:color w:val="00B050"/>
                <w:sz w:val="19"/>
                <w:szCs w:val="19"/>
                <w:lang w:eastAsia="sk-SK"/>
              </w:rPr>
            </w:pPr>
            <w:r w:rsidRPr="00071446">
              <w:rPr>
                <w:rFonts w:asciiTheme="minorHAnsi" w:hAnsiTheme="minorHAnsi" w:cstheme="minorHAnsi"/>
                <w:color w:val="00B050"/>
                <w:sz w:val="19"/>
                <w:szCs w:val="19"/>
                <w:lang w:eastAsia="sk-SK"/>
              </w:rPr>
              <w:t xml:space="preserve">Cesty I. triedy súbežné: </w:t>
            </w:r>
            <w:r w:rsidR="00E91525" w:rsidRPr="00071446">
              <w:rPr>
                <w:rFonts w:asciiTheme="minorHAnsi" w:hAnsiTheme="minorHAnsi" w:cstheme="minorHAnsi"/>
                <w:color w:val="00B050"/>
                <w:sz w:val="19"/>
                <w:szCs w:val="19"/>
                <w:lang w:eastAsia="sk-SK"/>
              </w:rPr>
              <w:t>374,673</w:t>
            </w:r>
            <w:r w:rsidRPr="00071446">
              <w:rPr>
                <w:rFonts w:asciiTheme="minorHAnsi" w:hAnsiTheme="minorHAnsi" w:cstheme="minorHAnsi"/>
                <w:color w:val="00B050"/>
                <w:sz w:val="19"/>
                <w:szCs w:val="19"/>
                <w:lang w:eastAsia="sk-SK"/>
              </w:rPr>
              <w:t xml:space="preserve"> km</w:t>
            </w:r>
          </w:p>
          <w:p w:rsidR="00F95A92" w:rsidRPr="00071446" w:rsidRDefault="00F95A92" w:rsidP="00F95A92">
            <w:pPr>
              <w:spacing w:before="20" w:after="20" w:line="240" w:lineRule="auto"/>
              <w:jc w:val="left"/>
              <w:rPr>
                <w:rFonts w:asciiTheme="minorHAnsi" w:hAnsiTheme="minorHAnsi" w:cstheme="minorHAnsi"/>
                <w:color w:val="FF0000"/>
                <w:sz w:val="19"/>
                <w:szCs w:val="19"/>
                <w:lang w:eastAsia="sk-SK"/>
              </w:rPr>
            </w:pPr>
            <w:r w:rsidRPr="00071446">
              <w:rPr>
                <w:rFonts w:asciiTheme="minorHAnsi" w:hAnsiTheme="minorHAnsi" w:cstheme="minorHAnsi"/>
                <w:color w:val="FF0000"/>
                <w:sz w:val="19"/>
                <w:szCs w:val="19"/>
                <w:lang w:eastAsia="sk-SK"/>
              </w:rPr>
              <w:t>Cesty I. triedy nesúbežné:</w:t>
            </w:r>
            <w:r w:rsidR="00E91525" w:rsidRPr="00071446">
              <w:rPr>
                <w:rFonts w:asciiTheme="minorHAnsi" w:hAnsiTheme="minorHAnsi" w:cstheme="minorHAnsi"/>
                <w:color w:val="FF0000"/>
                <w:sz w:val="19"/>
                <w:szCs w:val="19"/>
                <w:lang w:eastAsia="sk-SK"/>
              </w:rPr>
              <w:t>1262,811</w:t>
            </w:r>
            <w:r w:rsidRPr="00071446">
              <w:rPr>
                <w:rFonts w:asciiTheme="minorHAnsi" w:hAnsiTheme="minorHAnsi" w:cstheme="minorHAnsi"/>
                <w:color w:val="FF0000"/>
                <w:sz w:val="19"/>
                <w:szCs w:val="19"/>
                <w:lang w:eastAsia="sk-SK"/>
              </w:rPr>
              <w:t xml:space="preserve"> km</w:t>
            </w:r>
          </w:p>
          <w:p w:rsidR="00F95A92" w:rsidRPr="000D0CD4" w:rsidRDefault="00F95A92" w:rsidP="00F95A92">
            <w:pPr>
              <w:spacing w:before="20" w:after="20" w:line="240" w:lineRule="auto"/>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 ostatné:1989,45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16.</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159/2015 Z.z.</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15.7.2015 - 14.10.2015</w:t>
            </w:r>
          </w:p>
        </w:tc>
        <w:tc>
          <w:tcPr>
            <w:tcW w:w="1219" w:type="pct"/>
          </w:tcPr>
          <w:p w:rsidR="00BE52C4" w:rsidRPr="00584793" w:rsidRDefault="00BE52C4" w:rsidP="00BE52C4">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635,503 km</w:t>
            </w:r>
          </w:p>
          <w:p w:rsidR="00BE52C4" w:rsidRPr="00584793" w:rsidRDefault="00BE52C4" w:rsidP="00BE52C4">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súbežné: 384,41 km</w:t>
            </w:r>
          </w:p>
          <w:p w:rsidR="00BE52C4" w:rsidRPr="00584793" w:rsidRDefault="00BE52C4" w:rsidP="00BE52C4">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nesúbežné:1256,736 km</w:t>
            </w:r>
          </w:p>
          <w:p w:rsidR="00F95A92" w:rsidRPr="00584793" w:rsidRDefault="00BE52C4" w:rsidP="00BE52C4">
            <w:pPr>
              <w:spacing w:before="20" w:after="20" w:line="240" w:lineRule="auto"/>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ostatné:1989,65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17.</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249/2015 Z.z.</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F95A92" w:rsidRPr="000D0CD4" w:rsidRDefault="00F95A92"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15.10.2015 - 14.12.2015</w:t>
            </w:r>
          </w:p>
        </w:tc>
        <w:tc>
          <w:tcPr>
            <w:tcW w:w="1219" w:type="pct"/>
          </w:tcPr>
          <w:p w:rsidR="00BE52C4" w:rsidRPr="00584793" w:rsidRDefault="00BE52C4" w:rsidP="00BE52C4">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667,96 km</w:t>
            </w:r>
          </w:p>
          <w:p w:rsidR="00BE52C4" w:rsidRDefault="00BE52C4" w:rsidP="00BE52C4">
            <w:pPr>
              <w:spacing w:before="20" w:after="20" w:line="240" w:lineRule="auto"/>
              <w:jc w:val="left"/>
              <w:rPr>
                <w:rFonts w:asciiTheme="minorHAnsi" w:hAnsiTheme="minorHAnsi" w:cstheme="minorHAnsi"/>
                <w:color w:val="000000"/>
                <w:sz w:val="19"/>
                <w:szCs w:val="19"/>
                <w:lang w:eastAsia="sk-SK"/>
              </w:rPr>
            </w:pPr>
            <w:r w:rsidRPr="00584793">
              <w:rPr>
                <w:rFonts w:asciiTheme="minorHAnsi" w:hAnsiTheme="minorHAnsi" w:cstheme="minorHAnsi"/>
                <w:color w:val="00B050"/>
                <w:sz w:val="19"/>
                <w:szCs w:val="19"/>
                <w:lang w:eastAsia="sk-SK"/>
              </w:rPr>
              <w:t>Cesty I. triedy súbežné: 394,335 km</w:t>
            </w:r>
          </w:p>
          <w:p w:rsidR="00BE52C4" w:rsidRPr="00584793" w:rsidRDefault="00BE52C4" w:rsidP="00BE52C4">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nesúbežné:1245,321 km</w:t>
            </w:r>
          </w:p>
          <w:p w:rsidR="00F95A92" w:rsidRPr="000D0CD4" w:rsidRDefault="00BE52C4" w:rsidP="00BE52C4">
            <w:pPr>
              <w:spacing w:before="20" w:after="20" w:line="240" w:lineRule="auto"/>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Cesty I. triedy ostatné:1989,65 km</w:t>
            </w:r>
          </w:p>
        </w:tc>
      </w:tr>
      <w:tr w:rsidR="00F95A92" w:rsidRPr="000D0CD4" w:rsidTr="00F95A92">
        <w:trPr>
          <w:trHeight w:val="20"/>
        </w:trPr>
        <w:tc>
          <w:tcPr>
            <w:tcW w:w="191"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18.</w:t>
            </w:r>
          </w:p>
        </w:tc>
        <w:tc>
          <w:tcPr>
            <w:tcW w:w="502"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364/2015 Z.z.</w:t>
            </w:r>
          </w:p>
        </w:tc>
        <w:tc>
          <w:tcPr>
            <w:tcW w:w="2426" w:type="pct"/>
            <w:hideMark/>
          </w:tcPr>
          <w:p w:rsidR="00F95A92" w:rsidRPr="000D0CD4" w:rsidRDefault="00F95A92"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F95A92" w:rsidRPr="000D0CD4" w:rsidRDefault="00F95A92" w:rsidP="00584793">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15.12.2015 - 31.12.2015 </w:t>
            </w:r>
          </w:p>
        </w:tc>
        <w:tc>
          <w:tcPr>
            <w:tcW w:w="1219" w:type="pct"/>
          </w:tcPr>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687,733 km</w:t>
            </w:r>
          </w:p>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súbežné: 410,23 km</w:t>
            </w:r>
          </w:p>
          <w:p w:rsidR="00584793" w:rsidRPr="00584793" w:rsidRDefault="00584793" w:rsidP="00584793">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nesúbežné:1230,023 km</w:t>
            </w:r>
          </w:p>
          <w:p w:rsidR="00F95A92" w:rsidRPr="00584793" w:rsidRDefault="00584793" w:rsidP="00584793">
            <w:pPr>
              <w:spacing w:before="20" w:after="20" w:line="240" w:lineRule="auto"/>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ostatné:1991,94 km</w:t>
            </w:r>
          </w:p>
        </w:tc>
      </w:tr>
      <w:tr w:rsidR="00584793" w:rsidRPr="000D0CD4" w:rsidTr="00F95A92">
        <w:trPr>
          <w:trHeight w:val="20"/>
        </w:trPr>
        <w:tc>
          <w:tcPr>
            <w:tcW w:w="191" w:type="pct"/>
            <w:hideMark/>
          </w:tcPr>
          <w:p w:rsidR="00584793" w:rsidRPr="000D0CD4" w:rsidRDefault="00584793" w:rsidP="00C23A6F">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19.</w:t>
            </w:r>
          </w:p>
        </w:tc>
        <w:tc>
          <w:tcPr>
            <w:tcW w:w="502" w:type="pct"/>
            <w:hideMark/>
          </w:tcPr>
          <w:p w:rsidR="00584793" w:rsidRPr="000D0CD4" w:rsidRDefault="00584793" w:rsidP="00C23A6F">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364/2015 Z.z.</w:t>
            </w:r>
          </w:p>
        </w:tc>
        <w:tc>
          <w:tcPr>
            <w:tcW w:w="2426" w:type="pct"/>
            <w:hideMark/>
          </w:tcPr>
          <w:p w:rsidR="00584793" w:rsidRPr="000D0CD4" w:rsidRDefault="00584793" w:rsidP="00C23A6F">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584793" w:rsidRPr="000D0CD4" w:rsidRDefault="00584793"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1.1.2016 - 14.10.2016</w:t>
            </w:r>
          </w:p>
        </w:tc>
        <w:tc>
          <w:tcPr>
            <w:tcW w:w="1219" w:type="pct"/>
          </w:tcPr>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697,827 km</w:t>
            </w:r>
          </w:p>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súbežné: 415,361 km</w:t>
            </w:r>
          </w:p>
          <w:p w:rsidR="00584793" w:rsidRPr="00584793" w:rsidRDefault="00584793" w:rsidP="00584793">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nesúbežné:1224,895 km</w:t>
            </w:r>
          </w:p>
          <w:p w:rsidR="00584793" w:rsidRPr="00584793" w:rsidRDefault="00584793" w:rsidP="00584793">
            <w:pPr>
              <w:spacing w:before="20" w:after="20" w:line="240" w:lineRule="auto"/>
              <w:jc w:val="left"/>
              <w:rPr>
                <w:rFonts w:asciiTheme="minorHAnsi" w:hAnsiTheme="minorHAnsi" w:cstheme="minorHAnsi"/>
                <w:sz w:val="19"/>
                <w:szCs w:val="19"/>
                <w:lang w:eastAsia="sk-SK"/>
              </w:rPr>
            </w:pPr>
            <w:r w:rsidRPr="00584793">
              <w:rPr>
                <w:rFonts w:asciiTheme="minorHAnsi" w:hAnsiTheme="minorHAnsi" w:cstheme="minorHAnsi"/>
                <w:sz w:val="19"/>
                <w:szCs w:val="19"/>
                <w:lang w:eastAsia="sk-SK"/>
              </w:rPr>
              <w:t>Cesty I. triedy ostatné:</w:t>
            </w:r>
            <w:r>
              <w:rPr>
                <w:rFonts w:asciiTheme="minorHAnsi" w:hAnsiTheme="minorHAnsi" w:cstheme="minorHAnsi"/>
                <w:sz w:val="19"/>
                <w:szCs w:val="19"/>
                <w:lang w:eastAsia="sk-SK"/>
              </w:rPr>
              <w:t>1991,94</w:t>
            </w:r>
            <w:r w:rsidRPr="00584793">
              <w:rPr>
                <w:rFonts w:asciiTheme="minorHAnsi" w:hAnsiTheme="minorHAnsi" w:cstheme="minorHAnsi"/>
                <w:sz w:val="19"/>
                <w:szCs w:val="19"/>
                <w:lang w:eastAsia="sk-SK"/>
              </w:rPr>
              <w:t xml:space="preserve"> km</w:t>
            </w:r>
          </w:p>
        </w:tc>
      </w:tr>
      <w:tr w:rsidR="00584793" w:rsidRPr="000D0CD4" w:rsidTr="00F95A92">
        <w:trPr>
          <w:trHeight w:val="20"/>
        </w:trPr>
        <w:tc>
          <w:tcPr>
            <w:tcW w:w="191" w:type="pct"/>
            <w:hideMark/>
          </w:tcPr>
          <w:p w:rsidR="00584793" w:rsidRPr="000D0CD4" w:rsidRDefault="00584793" w:rsidP="00C23A6F">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20.</w:t>
            </w:r>
          </w:p>
        </w:tc>
        <w:tc>
          <w:tcPr>
            <w:tcW w:w="502"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 xml:space="preserve">268/2016 Z.z. </w:t>
            </w:r>
          </w:p>
        </w:tc>
        <w:tc>
          <w:tcPr>
            <w:tcW w:w="2426"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noWrap/>
            <w:hideMark/>
          </w:tcPr>
          <w:p w:rsidR="00584793" w:rsidRPr="000D0CD4" w:rsidRDefault="00584793"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15.10.2016 - 30.6.2017</w:t>
            </w:r>
          </w:p>
        </w:tc>
        <w:tc>
          <w:tcPr>
            <w:tcW w:w="1219" w:type="pct"/>
          </w:tcPr>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707,373 km</w:t>
            </w:r>
          </w:p>
          <w:p w:rsidR="00584793" w:rsidRPr="00584793" w:rsidRDefault="00584793" w:rsidP="00584793">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súbežné: 412,503 km</w:t>
            </w:r>
          </w:p>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nesúbežné:1225,521 km</w:t>
            </w:r>
          </w:p>
          <w:p w:rsidR="00584793" w:rsidRPr="00584793" w:rsidRDefault="00584793" w:rsidP="00584793">
            <w:pPr>
              <w:spacing w:before="20" w:after="20" w:line="240" w:lineRule="auto"/>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ostatné:2055,109 km</w:t>
            </w:r>
          </w:p>
        </w:tc>
      </w:tr>
      <w:tr w:rsidR="00584793" w:rsidRPr="000D0CD4" w:rsidTr="00F95A92">
        <w:trPr>
          <w:trHeight w:val="20"/>
        </w:trPr>
        <w:tc>
          <w:tcPr>
            <w:tcW w:w="191" w:type="pct"/>
            <w:hideMark/>
          </w:tcPr>
          <w:p w:rsidR="00584793" w:rsidRPr="000D0CD4" w:rsidRDefault="00584793" w:rsidP="00C23A6F">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21.</w:t>
            </w:r>
          </w:p>
        </w:tc>
        <w:tc>
          <w:tcPr>
            <w:tcW w:w="502"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172/2017 Z.z.</w:t>
            </w:r>
          </w:p>
        </w:tc>
        <w:tc>
          <w:tcPr>
            <w:tcW w:w="2426"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584793" w:rsidRPr="000D0CD4" w:rsidRDefault="00584793"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1.7.2017 - 14.12.2017</w:t>
            </w:r>
          </w:p>
        </w:tc>
        <w:tc>
          <w:tcPr>
            <w:tcW w:w="1219" w:type="pct"/>
          </w:tcPr>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731,328 km</w:t>
            </w:r>
          </w:p>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súbežné: 419,736 km</w:t>
            </w:r>
          </w:p>
          <w:p w:rsidR="00584793" w:rsidRPr="00584793" w:rsidRDefault="00584793" w:rsidP="00584793">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nesúbežné:1219,022 km</w:t>
            </w:r>
          </w:p>
          <w:p w:rsidR="00584793" w:rsidRPr="00584793" w:rsidRDefault="00584793" w:rsidP="00584793">
            <w:pPr>
              <w:spacing w:before="20" w:after="20" w:line="240" w:lineRule="auto"/>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ostatné:2086,674 km</w:t>
            </w:r>
          </w:p>
        </w:tc>
      </w:tr>
      <w:tr w:rsidR="00584793" w:rsidRPr="000D0CD4" w:rsidTr="00F95A92">
        <w:trPr>
          <w:trHeight w:val="20"/>
        </w:trPr>
        <w:tc>
          <w:tcPr>
            <w:tcW w:w="191" w:type="pct"/>
            <w:hideMark/>
          </w:tcPr>
          <w:p w:rsidR="00584793" w:rsidRPr="000D0CD4" w:rsidRDefault="00584793" w:rsidP="00C23A6F">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22.</w:t>
            </w:r>
          </w:p>
        </w:tc>
        <w:tc>
          <w:tcPr>
            <w:tcW w:w="502"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297/2017 Z.z.</w:t>
            </w:r>
          </w:p>
        </w:tc>
        <w:tc>
          <w:tcPr>
            <w:tcW w:w="2426"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584793" w:rsidRPr="000D0CD4" w:rsidRDefault="00584793" w:rsidP="000D0CD4">
            <w:pPr>
              <w:spacing w:before="20" w:after="20" w:line="240" w:lineRule="auto"/>
              <w:jc w:val="center"/>
              <w:rPr>
                <w:rFonts w:asciiTheme="minorHAnsi" w:hAnsiTheme="minorHAnsi" w:cstheme="minorHAnsi"/>
                <w:color w:val="000000"/>
                <w:sz w:val="19"/>
                <w:szCs w:val="19"/>
                <w:lang w:eastAsia="sk-SK"/>
              </w:rPr>
            </w:pPr>
            <w:r w:rsidRPr="000D0CD4">
              <w:rPr>
                <w:rFonts w:asciiTheme="minorHAnsi" w:hAnsiTheme="minorHAnsi" w:cstheme="minorHAnsi"/>
                <w:color w:val="000000"/>
                <w:sz w:val="19"/>
                <w:szCs w:val="19"/>
                <w:lang w:eastAsia="sk-SK"/>
              </w:rPr>
              <w:t>15.12.2017 - 31.12.2019</w:t>
            </w:r>
          </w:p>
        </w:tc>
        <w:tc>
          <w:tcPr>
            <w:tcW w:w="1219" w:type="pct"/>
          </w:tcPr>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sidRPr="00584793">
              <w:rPr>
                <w:rFonts w:asciiTheme="minorHAnsi" w:hAnsiTheme="minorHAnsi" w:cstheme="minorHAnsi"/>
                <w:color w:val="00B050"/>
                <w:sz w:val="19"/>
                <w:szCs w:val="19"/>
                <w:lang w:eastAsia="sk-SK"/>
              </w:rPr>
              <w:t>735,598 km</w:t>
            </w:r>
          </w:p>
          <w:p w:rsidR="00584793" w:rsidRPr="00584793" w:rsidRDefault="00584793" w:rsidP="00584793">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Cesty I. triedy súbežné: 420,539 km</w:t>
            </w:r>
          </w:p>
          <w:p w:rsidR="00584793" w:rsidRPr="00584793" w:rsidRDefault="00584793" w:rsidP="00584793">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nesúbežné:1210,12 km</w:t>
            </w:r>
          </w:p>
          <w:p w:rsidR="00584793" w:rsidRPr="00584793" w:rsidRDefault="00584793" w:rsidP="00584793">
            <w:pPr>
              <w:spacing w:before="20" w:after="20" w:line="240" w:lineRule="auto"/>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ostatné:2074,624 km</w:t>
            </w:r>
          </w:p>
        </w:tc>
      </w:tr>
      <w:tr w:rsidR="00584793" w:rsidRPr="000D0CD4" w:rsidTr="00F95A92">
        <w:trPr>
          <w:trHeight w:val="20"/>
        </w:trPr>
        <w:tc>
          <w:tcPr>
            <w:tcW w:w="191" w:type="pct"/>
            <w:hideMark/>
          </w:tcPr>
          <w:p w:rsidR="00584793" w:rsidRPr="000D0CD4" w:rsidRDefault="00584793" w:rsidP="000D0CD4">
            <w:pPr>
              <w:spacing w:before="20" w:after="20" w:line="240" w:lineRule="auto"/>
              <w:rPr>
                <w:rFonts w:asciiTheme="minorHAnsi" w:hAnsiTheme="minorHAnsi" w:cstheme="minorHAnsi"/>
                <w:color w:val="000000"/>
                <w:sz w:val="19"/>
                <w:szCs w:val="19"/>
                <w:lang w:eastAsia="sk-SK"/>
              </w:rPr>
            </w:pPr>
            <w:r>
              <w:rPr>
                <w:rFonts w:asciiTheme="minorHAnsi" w:hAnsiTheme="minorHAnsi" w:cstheme="minorHAnsi"/>
                <w:color w:val="000000"/>
                <w:sz w:val="19"/>
                <w:szCs w:val="19"/>
                <w:lang w:eastAsia="sk-SK"/>
              </w:rPr>
              <w:t>23</w:t>
            </w:r>
            <w:r w:rsidRPr="000D0CD4">
              <w:rPr>
                <w:rFonts w:asciiTheme="minorHAnsi" w:hAnsiTheme="minorHAnsi" w:cstheme="minorHAnsi"/>
                <w:color w:val="000000"/>
                <w:sz w:val="19"/>
                <w:szCs w:val="19"/>
                <w:lang w:eastAsia="sk-SK"/>
              </w:rPr>
              <w:t>.</w:t>
            </w:r>
          </w:p>
        </w:tc>
        <w:tc>
          <w:tcPr>
            <w:tcW w:w="502" w:type="pct"/>
            <w:hideMark/>
          </w:tcPr>
          <w:p w:rsidR="00584793" w:rsidRPr="000D0CD4" w:rsidRDefault="00584793" w:rsidP="000D0CD4">
            <w:pPr>
              <w:spacing w:before="20" w:after="20" w:line="240" w:lineRule="auto"/>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422/2019 Z.z.</w:t>
            </w:r>
          </w:p>
        </w:tc>
        <w:tc>
          <w:tcPr>
            <w:tcW w:w="2426" w:type="pct"/>
            <w:hideMark/>
          </w:tcPr>
          <w:p w:rsidR="00584793" w:rsidRPr="000D0CD4" w:rsidRDefault="00584793" w:rsidP="000D0CD4">
            <w:pPr>
              <w:spacing w:before="20" w:after="20" w:line="240" w:lineRule="auto"/>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Vyhláška MDVRR SR, ktorou sa mení vyhláška Ministerstva dopravy, výstavby a regionálneho rozvoja Slovenskej republiky č. 475/2013 Z. z., ktorou  vymedzujú úseky diaľnic, rýchlostných ciest, ciest I. triedy, ciest II. triedy a ciest III. triedy  s výberom mýta v znení neskorších predpisov</w:t>
            </w:r>
          </w:p>
        </w:tc>
        <w:tc>
          <w:tcPr>
            <w:tcW w:w="662" w:type="pct"/>
            <w:hideMark/>
          </w:tcPr>
          <w:p w:rsidR="00584793" w:rsidRPr="000D0CD4" w:rsidRDefault="00584793" w:rsidP="000D0CD4">
            <w:pPr>
              <w:spacing w:before="20" w:after="20" w:line="240" w:lineRule="auto"/>
              <w:jc w:val="center"/>
              <w:rPr>
                <w:rFonts w:asciiTheme="minorHAnsi" w:hAnsiTheme="minorHAnsi" w:cstheme="minorHAnsi"/>
                <w:b/>
                <w:bCs/>
                <w:color w:val="000000"/>
                <w:sz w:val="19"/>
                <w:szCs w:val="19"/>
                <w:lang w:eastAsia="sk-SK"/>
              </w:rPr>
            </w:pPr>
            <w:r w:rsidRPr="000D0CD4">
              <w:rPr>
                <w:rFonts w:asciiTheme="minorHAnsi" w:hAnsiTheme="minorHAnsi" w:cstheme="minorHAnsi"/>
                <w:b/>
                <w:bCs/>
                <w:color w:val="000000"/>
                <w:sz w:val="19"/>
                <w:szCs w:val="19"/>
                <w:lang w:eastAsia="sk-SK"/>
              </w:rPr>
              <w:t>od 1.1.2020</w:t>
            </w:r>
          </w:p>
        </w:tc>
        <w:tc>
          <w:tcPr>
            <w:tcW w:w="1219" w:type="pct"/>
          </w:tcPr>
          <w:p w:rsidR="00886D07" w:rsidRPr="00584793" w:rsidRDefault="00886D07" w:rsidP="00886D07">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Diaľnice a rýchlostné cesty:</w:t>
            </w:r>
            <w:r w:rsidRPr="00584793">
              <w:rPr>
                <w:color w:val="00B050"/>
              </w:rPr>
              <w:t xml:space="preserve"> </w:t>
            </w:r>
            <w:r>
              <w:rPr>
                <w:rFonts w:asciiTheme="minorHAnsi" w:hAnsiTheme="minorHAnsi" w:cstheme="minorHAnsi"/>
                <w:color w:val="00B050"/>
                <w:sz w:val="19"/>
                <w:szCs w:val="19"/>
                <w:lang w:eastAsia="sk-SK"/>
              </w:rPr>
              <w:t>750,456</w:t>
            </w:r>
            <w:r w:rsidRPr="00584793">
              <w:rPr>
                <w:rFonts w:asciiTheme="minorHAnsi" w:hAnsiTheme="minorHAnsi" w:cstheme="minorHAnsi"/>
                <w:color w:val="00B050"/>
                <w:sz w:val="19"/>
                <w:szCs w:val="19"/>
                <w:lang w:eastAsia="sk-SK"/>
              </w:rPr>
              <w:t xml:space="preserve"> km</w:t>
            </w:r>
          </w:p>
          <w:p w:rsidR="00886D07" w:rsidRPr="00584793" w:rsidRDefault="00886D07" w:rsidP="00886D07">
            <w:pPr>
              <w:spacing w:before="20" w:after="20" w:line="240" w:lineRule="auto"/>
              <w:jc w:val="left"/>
              <w:rPr>
                <w:rFonts w:asciiTheme="minorHAnsi" w:hAnsiTheme="minorHAnsi" w:cstheme="minorHAnsi"/>
                <w:color w:val="00B050"/>
                <w:sz w:val="19"/>
                <w:szCs w:val="19"/>
                <w:lang w:eastAsia="sk-SK"/>
              </w:rPr>
            </w:pPr>
            <w:r w:rsidRPr="00584793">
              <w:rPr>
                <w:rFonts w:asciiTheme="minorHAnsi" w:hAnsiTheme="minorHAnsi" w:cstheme="minorHAnsi"/>
                <w:color w:val="00B050"/>
                <w:sz w:val="19"/>
                <w:szCs w:val="19"/>
                <w:lang w:eastAsia="sk-SK"/>
              </w:rPr>
              <w:t xml:space="preserve">Cesty I. triedy súbežné: </w:t>
            </w:r>
            <w:r>
              <w:rPr>
                <w:rFonts w:asciiTheme="minorHAnsi" w:hAnsiTheme="minorHAnsi" w:cstheme="minorHAnsi"/>
                <w:color w:val="00B050"/>
                <w:sz w:val="19"/>
                <w:szCs w:val="19"/>
                <w:lang w:eastAsia="sk-SK"/>
              </w:rPr>
              <w:t>430,766</w:t>
            </w:r>
            <w:r w:rsidRPr="00584793">
              <w:rPr>
                <w:rFonts w:asciiTheme="minorHAnsi" w:hAnsiTheme="minorHAnsi" w:cstheme="minorHAnsi"/>
                <w:color w:val="00B050"/>
                <w:sz w:val="19"/>
                <w:szCs w:val="19"/>
                <w:lang w:eastAsia="sk-SK"/>
              </w:rPr>
              <w:t xml:space="preserve"> km</w:t>
            </w:r>
          </w:p>
          <w:p w:rsidR="00886D07" w:rsidRPr="00584793" w:rsidRDefault="00886D07" w:rsidP="00886D07">
            <w:pPr>
              <w:spacing w:before="20" w:after="20" w:line="240" w:lineRule="auto"/>
              <w:jc w:val="left"/>
              <w:rPr>
                <w:rFonts w:asciiTheme="minorHAnsi" w:hAnsiTheme="minorHAnsi" w:cstheme="minorHAnsi"/>
                <w:color w:val="FF0000"/>
                <w:sz w:val="19"/>
                <w:szCs w:val="19"/>
                <w:lang w:eastAsia="sk-SK"/>
              </w:rPr>
            </w:pPr>
            <w:r w:rsidRPr="00584793">
              <w:rPr>
                <w:rFonts w:asciiTheme="minorHAnsi" w:hAnsiTheme="minorHAnsi" w:cstheme="minorHAnsi"/>
                <w:color w:val="FF0000"/>
                <w:sz w:val="19"/>
                <w:szCs w:val="19"/>
                <w:lang w:eastAsia="sk-SK"/>
              </w:rPr>
              <w:t>Cesty I. triedy nesúbežné:</w:t>
            </w:r>
            <w:r>
              <w:rPr>
                <w:rFonts w:asciiTheme="minorHAnsi" w:hAnsiTheme="minorHAnsi" w:cstheme="minorHAnsi"/>
                <w:color w:val="FF0000"/>
                <w:sz w:val="19"/>
                <w:szCs w:val="19"/>
                <w:lang w:eastAsia="sk-SK"/>
              </w:rPr>
              <w:t>1197,024</w:t>
            </w:r>
            <w:r w:rsidRPr="00584793">
              <w:rPr>
                <w:rFonts w:asciiTheme="minorHAnsi" w:hAnsiTheme="minorHAnsi" w:cstheme="minorHAnsi"/>
                <w:color w:val="FF0000"/>
                <w:sz w:val="19"/>
                <w:szCs w:val="19"/>
                <w:lang w:eastAsia="sk-SK"/>
              </w:rPr>
              <w:t xml:space="preserve"> km</w:t>
            </w:r>
          </w:p>
          <w:p w:rsidR="00584793" w:rsidRPr="000D0CD4" w:rsidRDefault="00886D07" w:rsidP="00886D07">
            <w:pPr>
              <w:spacing w:before="20" w:after="20" w:line="240" w:lineRule="auto"/>
              <w:rPr>
                <w:rFonts w:asciiTheme="minorHAnsi" w:hAnsiTheme="minorHAnsi" w:cstheme="minorHAnsi"/>
                <w:b/>
                <w:bCs/>
                <w:color w:val="000000"/>
                <w:sz w:val="19"/>
                <w:szCs w:val="19"/>
                <w:lang w:eastAsia="sk-SK"/>
              </w:rPr>
            </w:pPr>
            <w:r w:rsidRPr="00E96BA1">
              <w:rPr>
                <w:rFonts w:asciiTheme="minorHAnsi" w:hAnsiTheme="minorHAnsi" w:cstheme="minorHAnsi"/>
                <w:color w:val="00B050"/>
                <w:sz w:val="19"/>
                <w:szCs w:val="19"/>
                <w:lang w:eastAsia="sk-SK"/>
              </w:rPr>
              <w:t>Cesty I. triedy ostatné:2075,667 km</w:t>
            </w:r>
            <w:r w:rsidRPr="00E96BA1">
              <w:rPr>
                <w:rFonts w:asciiTheme="minorHAnsi" w:hAnsiTheme="minorHAnsi" w:cstheme="minorHAnsi"/>
                <w:b/>
                <w:bCs/>
                <w:color w:val="00B050"/>
                <w:sz w:val="19"/>
                <w:szCs w:val="19"/>
                <w:lang w:eastAsia="sk-SK"/>
              </w:rPr>
              <w:t xml:space="preserve"> </w:t>
            </w:r>
            <w:r w:rsidR="00584793">
              <w:rPr>
                <w:rFonts w:asciiTheme="minorHAnsi" w:hAnsiTheme="minorHAnsi" w:cstheme="minorHAnsi"/>
                <w:b/>
                <w:bCs/>
                <w:color w:val="000000"/>
                <w:sz w:val="19"/>
                <w:szCs w:val="19"/>
                <w:lang w:eastAsia="sk-SK"/>
              </w:rPr>
              <w:t>-</w:t>
            </w:r>
          </w:p>
        </w:tc>
      </w:tr>
    </w:tbl>
    <w:p w:rsidR="009044BA" w:rsidRDefault="009044BA" w:rsidP="0049705F">
      <w:pPr>
        <w:sectPr w:rsidR="009044BA" w:rsidSect="009044BA">
          <w:headerReference w:type="default" r:id="rId106"/>
          <w:footerReference w:type="default" r:id="rId107"/>
          <w:pgSz w:w="16840" w:h="11907" w:orient="landscape" w:code="9"/>
          <w:pgMar w:top="1418" w:right="1548" w:bottom="1134" w:left="1440" w:header="510" w:footer="204" w:gutter="0"/>
          <w:cols w:space="240"/>
          <w:docGrid w:linePitch="299"/>
        </w:sectPr>
      </w:pPr>
    </w:p>
    <w:p w:rsidR="007F124F" w:rsidRDefault="00886D07">
      <w:pPr>
        <w:pStyle w:val="Nadpis3"/>
      </w:pPr>
      <w:bookmarkStart w:id="337" w:name="_Toc36664419"/>
      <w:r>
        <w:t xml:space="preserve">zmeny </w:t>
      </w:r>
      <w:r w:rsidR="00FE2A8C">
        <w:t>Mýtn</w:t>
      </w:r>
      <w:r>
        <w:t>ych</w:t>
      </w:r>
      <w:r w:rsidR="00FE2A8C">
        <w:t xml:space="preserve"> sadz</w:t>
      </w:r>
      <w:r>
        <w:t>ieb</w:t>
      </w:r>
      <w:bookmarkEnd w:id="337"/>
    </w:p>
    <w:p w:rsidR="00645F73" w:rsidRDefault="00645F73" w:rsidP="006F05C1">
      <w:pPr>
        <w:pStyle w:val="Normaltext"/>
        <w:spacing w:line="276" w:lineRule="auto"/>
      </w:pPr>
      <w:r>
        <w:t>Sadzb</w:t>
      </w:r>
      <w:r w:rsidR="006F05C1">
        <w:t>u</w:t>
      </w:r>
      <w:r>
        <w:t xml:space="preserve"> mýt</w:t>
      </w:r>
      <w:r w:rsidR="006F05C1">
        <w:t xml:space="preserve">a v súčasnosti upravuje </w:t>
      </w:r>
      <w:r>
        <w:t xml:space="preserve">§4 </w:t>
      </w:r>
      <w:r w:rsidR="006F05C1">
        <w:t>Z</w:t>
      </w:r>
      <w:r>
        <w:t>ákona č. 474/2013 Z. z.</w:t>
      </w:r>
      <w:r w:rsidR="00D11A5C">
        <w:t xml:space="preserve"> o výbere mýta za užívanie vymedzených úsekov pozemných komunikácií a o zmene a doplnení niektorých zákonov. </w:t>
      </w:r>
      <w:r>
        <w:t>Spôsob výpočtu mýta a výška sadzby mýta je stanovená v nariadení vlády Slovenskej republiky č. 497/2013 Z. z., ktorým sa ustanovuje spôsob výpočtu mýta, výška sadzby mýta a systém zliav zo sadzieb mýta za užívanie vymedzených úsekov pozemných komunikácií v platnom znení, pričom zohľadňuje typ vymedzeného úseku cesty, kategóriu vozidla, emisnú triedu vozidla EURO a počet náprav vozidla.</w:t>
      </w:r>
      <w:r w:rsidR="00170EEB">
        <w:t xml:space="preserve"> </w:t>
      </w:r>
    </w:p>
    <w:p w:rsidR="0049705F" w:rsidRDefault="00D11A5C" w:rsidP="00645F73">
      <w:pPr>
        <w:pStyle w:val="Normaltext"/>
        <w:spacing w:line="276" w:lineRule="auto"/>
      </w:pPr>
      <w:r>
        <w:t>Významný vplyv na zníženie výnosnosti mýtneho systému malo z</w:t>
      </w:r>
      <w:r w:rsidR="0049705F" w:rsidRPr="00645F73">
        <w:t>níženie sadzieb pre autobusy a nákladné vozidlá s hmotnosťou od 3,5 do 12 ton</w:t>
      </w:r>
      <w:r>
        <w:t xml:space="preserve"> oproti vypočítaným ekonomickým sadzbám (Nariadenie </w:t>
      </w:r>
      <w:r w:rsidRPr="00D11A5C">
        <w:t xml:space="preserve">vlády SR </w:t>
      </w:r>
      <w:r>
        <w:t xml:space="preserve">č. </w:t>
      </w:r>
      <w:r w:rsidRPr="00D11A5C">
        <w:t>350/2007 Z. z</w:t>
      </w:r>
      <w:r>
        <w:t xml:space="preserve">). Navyše štát následne znížil sadzby mýta pre autobusy o ďalších  </w:t>
      </w:r>
      <w:r w:rsidRPr="00D11A5C">
        <w:t>33%</w:t>
      </w:r>
      <w:r>
        <w:t>-</w:t>
      </w:r>
      <w:r w:rsidR="008E56FC">
        <w:t xml:space="preserve"> 65% za užívanie diaľnic a</w:t>
      </w:r>
      <w:r w:rsidRPr="00D11A5C">
        <w:t xml:space="preserve"> o 40%-68% za užívanie ciest I. triedy</w:t>
      </w:r>
      <w:r w:rsidR="008E56FC">
        <w:t xml:space="preserve"> (Nariadenie </w:t>
      </w:r>
      <w:r w:rsidR="008E56FC" w:rsidRPr="00D11A5C">
        <w:t xml:space="preserve">vlády SR </w:t>
      </w:r>
      <w:r w:rsidR="008E56FC">
        <w:t xml:space="preserve">č. </w:t>
      </w:r>
      <w:r w:rsidR="008E56FC" w:rsidRPr="008E56FC">
        <w:t>586/2009 Z. z.</w:t>
      </w:r>
      <w:r w:rsidR="008E56FC">
        <w:t xml:space="preserve">). Tieto znížené sadzby platia dodnes. </w:t>
      </w:r>
      <w:r w:rsidR="0049705F" w:rsidRPr="008A51E5">
        <w:t xml:space="preserve">Štát </w:t>
      </w:r>
      <w:r w:rsidR="0049705F">
        <w:t xml:space="preserve">teda </w:t>
      </w:r>
      <w:r w:rsidR="0049705F" w:rsidRPr="008A51E5">
        <w:t>sadzby znížil, ale ne</w:t>
      </w:r>
      <w:r w:rsidR="0049705F">
        <w:t xml:space="preserve">rozhodol o kompenzácii výpadkov z výnosov </w:t>
      </w:r>
      <w:r w:rsidR="0049705F" w:rsidRPr="008A51E5">
        <w:t>pre NDS,</w:t>
      </w:r>
      <w:r w:rsidR="0049705F">
        <w:t xml:space="preserve"> </w:t>
      </w:r>
      <w:r w:rsidR="0049705F" w:rsidRPr="008A51E5">
        <w:t>a.s.</w:t>
      </w:r>
      <w:r w:rsidR="00645F73">
        <w:t xml:space="preserve"> </w:t>
      </w:r>
      <w:r w:rsidR="0049705F" w:rsidRPr="008A51E5">
        <w:t>Nižšie sadzby mýta boli od roku 2010 uložené najmä kvôli ochrane drobných prepravcov. U autobusov išlo aj o to, že po zavedení ekonomického mýta by sa zvýšila cena lístka v priemere o 19% na kilometer a dotácie na verejnú autobusovú dotáciu by boli pohltené ekonomickým mýtom, resp. štát by musel zvýšiť dotácie na mýto.</w:t>
      </w:r>
      <w:r w:rsidR="008E56FC">
        <w:t xml:space="preserve"> Prehľad právnych aktov, ktoré mali vplyv na zmenu mýtnych sadzieb za užívanie vymedzených úsekov ciest je uvedený v nasledujúcej tabuľke (</w:t>
      </w:r>
      <w:r w:rsidR="008E56FC">
        <w:fldChar w:fldCharType="begin"/>
      </w:r>
      <w:r w:rsidR="008E56FC">
        <w:instrText xml:space="preserve"> REF _Ref36622251 \h </w:instrText>
      </w:r>
      <w:r w:rsidR="008E56FC">
        <w:fldChar w:fldCharType="separate"/>
      </w:r>
      <w:r w:rsidR="008E56FC">
        <w:t xml:space="preserve">Tab.  </w:t>
      </w:r>
      <w:r w:rsidR="008E56FC">
        <w:rPr>
          <w:noProof/>
        </w:rPr>
        <w:t>3</w:t>
      </w:r>
      <w:r w:rsidR="008E56FC">
        <w:noBreakHyphen/>
      </w:r>
      <w:r w:rsidR="008E56FC">
        <w:rPr>
          <w:noProof/>
        </w:rPr>
        <w:t>6</w:t>
      </w:r>
      <w:r w:rsidR="008E56FC">
        <w:fldChar w:fldCharType="end"/>
      </w:r>
      <w:r w:rsidR="008E56FC">
        <w:t xml:space="preserve">). </w:t>
      </w:r>
    </w:p>
    <w:p w:rsidR="00886D07" w:rsidRDefault="008E56FC" w:rsidP="00C010DE">
      <w:pPr>
        <w:shd w:val="clear" w:color="auto" w:fill="FFFFFF"/>
      </w:pPr>
      <w:r>
        <w:t>Okrem zníženia mýtnych sadzieb má významný vplyv na výnosnosť mýtneho systému tiež rozhodnutie o </w:t>
      </w:r>
      <w:r w:rsidR="0049705F">
        <w:t>spoplatnen</w:t>
      </w:r>
      <w:r>
        <w:t xml:space="preserve">í vybraných vymedzených úsekov ciest </w:t>
      </w:r>
      <w:r w:rsidR="0049705F">
        <w:t>nulovou sadzbou</w:t>
      </w:r>
      <w:r>
        <w:t xml:space="preserve">. </w:t>
      </w:r>
      <w:r w:rsidR="0025209E">
        <w:t xml:space="preserve">V súčasnosti je zo </w:t>
      </w:r>
      <w:r>
        <w:t>spoplatnenia</w:t>
      </w:r>
      <w:r w:rsidR="0025209E">
        <w:t xml:space="preserve"> nenulovou sadzbou</w:t>
      </w:r>
      <w:r>
        <w:t xml:space="preserve"> stále </w:t>
      </w:r>
      <w:r w:rsidR="0049705F">
        <w:t xml:space="preserve">vylúčených </w:t>
      </w:r>
      <w:r w:rsidR="00332DD7">
        <w:t>32,931</w:t>
      </w:r>
      <w:r w:rsidR="0049705F">
        <w:t xml:space="preserve"> km diaľnic a rýchlostných ciest prechádzajúcich intravilánom Bratislavy a Banskej Bystrice. Nulovými sadzbami je spoplatnených </w:t>
      </w:r>
      <w:r w:rsidR="0049705F" w:rsidRPr="00A35189">
        <w:t>tiež 552,</w:t>
      </w:r>
      <w:r w:rsidR="0049705F">
        <w:t xml:space="preserve">4 km </w:t>
      </w:r>
      <w:r w:rsidR="0049705F" w:rsidRPr="00E00A85">
        <w:t>ostatných ciest I. triedy,</w:t>
      </w:r>
      <w:r w:rsidR="0049705F">
        <w:t xml:space="preserve"> 11</w:t>
      </w:r>
      <w:r w:rsidR="00332DD7">
        <w:t>11</w:t>
      </w:r>
      <w:r w:rsidR="0049705F">
        <w:t>,</w:t>
      </w:r>
      <w:r w:rsidR="00332DD7">
        <w:t>6</w:t>
      </w:r>
      <w:r w:rsidR="0049705F">
        <w:t xml:space="preserve"> km intravilánových úsekov </w:t>
      </w:r>
      <w:r w:rsidR="0049705F" w:rsidRPr="00E00A85">
        <w:t>ciest I. triedy,</w:t>
      </w:r>
      <w:r w:rsidR="0049705F">
        <w:t xml:space="preserve"> 3 610 km ciest II. triedy a 10 358 km ciest III. triedy. </w:t>
      </w:r>
      <w:r>
        <w:t xml:space="preserve"> </w:t>
      </w:r>
    </w:p>
    <w:p w:rsidR="008E757A" w:rsidRPr="004F778A" w:rsidRDefault="00C010DE" w:rsidP="00C010DE">
      <w:pPr>
        <w:shd w:val="clear" w:color="auto" w:fill="FFFFFF"/>
        <w:rPr>
          <w:rFonts w:asciiTheme="minorHAnsi" w:hAnsiTheme="minorHAnsi" w:cstheme="minorHAnsi"/>
          <w:bCs/>
          <w:shd w:val="clear" w:color="auto" w:fill="FFFFFF"/>
        </w:rPr>
      </w:pPr>
      <w:r>
        <w:t xml:space="preserve">Štát k 1. januáru 2014 </w:t>
      </w:r>
      <w:r w:rsidR="008E757A">
        <w:t xml:space="preserve"> (Vyhláška </w:t>
      </w:r>
      <w:r w:rsidR="008E757A" w:rsidRPr="008E757A">
        <w:t xml:space="preserve">MDVRR SR </w:t>
      </w:r>
      <w:r w:rsidR="008E757A">
        <w:t xml:space="preserve">č. </w:t>
      </w:r>
      <w:r w:rsidR="008E757A" w:rsidRPr="008E757A">
        <w:t>475/2013 Z.z.</w:t>
      </w:r>
      <w:r w:rsidR="008E757A">
        <w:t>)</w:t>
      </w:r>
      <w:r w:rsidR="008E757A" w:rsidRPr="008E757A">
        <w:t xml:space="preserve"> </w:t>
      </w:r>
      <w:r>
        <w:t>rozhodol o spoplatnení intravilánových úsekov diaľnic, rýchlostných ciest a ciest I. triedy nenulovou sadzbou, avšak z dôvodu odporu autodopravcov toto opatrenie následne zrušil (</w:t>
      </w:r>
      <w:r>
        <w:fldChar w:fldCharType="begin"/>
      </w:r>
      <w:r>
        <w:instrText xml:space="preserve"> REF _Ref36582714 \h </w:instrText>
      </w:r>
      <w:r>
        <w:fldChar w:fldCharType="separate"/>
      </w:r>
      <w:r w:rsidR="008E757A">
        <w:t>Tab. </w:t>
      </w:r>
      <w:r>
        <w:rPr>
          <w:noProof/>
        </w:rPr>
        <w:t>3</w:t>
      </w:r>
      <w:r>
        <w:noBreakHyphen/>
      </w:r>
      <w:r>
        <w:rPr>
          <w:noProof/>
        </w:rPr>
        <w:t>5</w:t>
      </w:r>
      <w:r>
        <w:fldChar w:fldCharType="end"/>
      </w:r>
      <w:r>
        <w:t xml:space="preserve">). </w:t>
      </w:r>
      <w:r w:rsidR="008E757A">
        <w:t xml:space="preserve">V tomto kontexte je potrebné zdôrazniť, že </w:t>
      </w:r>
      <w:r w:rsidR="008E757A" w:rsidRPr="008E757A">
        <w:t>podstatnú časť (viac ako 87%)  vymedzených úsekov v SR z celkovej dĺžky 17 599 km (k 31.12.2018) tvoria cesty I., II. a III. triedy, ktoré sú síce spoplatnené nulovou sadzbou, ale z pohľadu prevádzky podliehajú rovnakému režimu ako úseky s nenulovou sadzbou, okrem fakturovania a spracovania platieb. Vyžadujú teda istú časť nákladov na prevádzku systému, avšak generujú nulové výnosy.</w:t>
      </w:r>
      <w:r w:rsidR="008E757A">
        <w:t xml:space="preserve"> </w:t>
      </w:r>
    </w:p>
    <w:p w:rsidR="0049705F" w:rsidRDefault="0049705F" w:rsidP="0049705F">
      <w:pPr>
        <w:pStyle w:val="Odsekzoznamu"/>
        <w:ind w:left="0"/>
        <w:contextualSpacing w:val="0"/>
      </w:pPr>
    </w:p>
    <w:p w:rsidR="00D3200B" w:rsidRDefault="00D3200B" w:rsidP="0049705F">
      <w:pPr>
        <w:pStyle w:val="Odsekzoznamu"/>
        <w:ind w:left="0"/>
        <w:contextualSpacing w:val="0"/>
      </w:pPr>
    </w:p>
    <w:p w:rsidR="00174823" w:rsidRDefault="00174823" w:rsidP="0049705F">
      <w:pPr>
        <w:pStyle w:val="Odsekzoznamu"/>
        <w:ind w:left="0"/>
        <w:contextualSpacing w:val="0"/>
        <w:sectPr w:rsidR="00174823" w:rsidSect="00383F58">
          <w:headerReference w:type="default" r:id="rId108"/>
          <w:footerReference w:type="default" r:id="rId109"/>
          <w:pgSz w:w="11907" w:h="16840" w:code="9"/>
          <w:pgMar w:top="1550" w:right="1134" w:bottom="1440" w:left="1418" w:header="510" w:footer="204" w:gutter="0"/>
          <w:cols w:space="240"/>
          <w:docGrid w:linePitch="299"/>
        </w:sectPr>
      </w:pPr>
    </w:p>
    <w:p w:rsidR="00174823" w:rsidRDefault="00174823" w:rsidP="008E56FC">
      <w:pPr>
        <w:pStyle w:val="Popis"/>
        <w:spacing w:after="0"/>
        <w:jc w:val="left"/>
      </w:pPr>
      <w:bookmarkStart w:id="338" w:name="_Ref36622251"/>
      <w:bookmarkStart w:id="339" w:name="_Toc36664500"/>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6</w:t>
      </w:r>
      <w:r w:rsidR="00C40D3F">
        <w:rPr>
          <w:noProof/>
        </w:rPr>
        <w:fldChar w:fldCharType="end"/>
      </w:r>
      <w:bookmarkEnd w:id="338"/>
      <w:r w:rsidRPr="00174823">
        <w:t xml:space="preserve"> </w:t>
      </w:r>
      <w:r w:rsidRPr="00EC3B17">
        <w:t xml:space="preserve">Legislatíva upravujúca mýtne sadzby v období </w:t>
      </w:r>
      <w:r>
        <w:t xml:space="preserve">rokov </w:t>
      </w:r>
      <w:r w:rsidRPr="00EC3B17">
        <w:t xml:space="preserve">2009 </w:t>
      </w:r>
      <w:r>
        <w:t>–</w:t>
      </w:r>
      <w:r w:rsidRPr="00EC3B17">
        <w:t xml:space="preserve"> 2020</w:t>
      </w:r>
      <w:bookmarkEnd w:id="339"/>
      <w:r>
        <w:t xml:space="preserve"> </w:t>
      </w:r>
    </w:p>
    <w:tbl>
      <w:tblPr>
        <w:tblStyle w:val="tabulkaVUD"/>
        <w:tblW w:w="5055" w:type="pct"/>
        <w:tblLayout w:type="fixed"/>
        <w:tblLook w:val="04A0" w:firstRow="1" w:lastRow="0" w:firstColumn="1" w:lastColumn="0" w:noHBand="0" w:noVBand="1"/>
      </w:tblPr>
      <w:tblGrid>
        <w:gridCol w:w="431"/>
        <w:gridCol w:w="1299"/>
        <w:gridCol w:w="6378"/>
        <w:gridCol w:w="1701"/>
        <w:gridCol w:w="4252"/>
      </w:tblGrid>
      <w:tr w:rsidR="00645F73" w:rsidRPr="00174823" w:rsidTr="008E56FC">
        <w:trPr>
          <w:cnfStyle w:val="100000000000" w:firstRow="1" w:lastRow="0" w:firstColumn="0" w:lastColumn="0" w:oddVBand="0" w:evenVBand="0" w:oddHBand="0" w:evenHBand="0" w:firstRowFirstColumn="0" w:firstRowLastColumn="0" w:lastRowFirstColumn="0" w:lastRowLastColumn="0"/>
          <w:trHeight w:val="360"/>
        </w:trPr>
        <w:tc>
          <w:tcPr>
            <w:tcW w:w="153" w:type="pct"/>
            <w:noWrap/>
            <w:hideMark/>
          </w:tcPr>
          <w:p w:rsidR="00C23A6F" w:rsidRPr="00174823" w:rsidRDefault="00C23A6F" w:rsidP="00174823">
            <w:pPr>
              <w:pStyle w:val="zahltab"/>
            </w:pPr>
            <w:r w:rsidRPr="00174823">
              <w:t>P.č.</w:t>
            </w:r>
          </w:p>
        </w:tc>
        <w:tc>
          <w:tcPr>
            <w:tcW w:w="462" w:type="pct"/>
            <w:noWrap/>
            <w:hideMark/>
          </w:tcPr>
          <w:p w:rsidR="00C23A6F" w:rsidRPr="00174823" w:rsidRDefault="00C23A6F" w:rsidP="00174823">
            <w:pPr>
              <w:pStyle w:val="zahltab"/>
            </w:pPr>
            <w:r w:rsidRPr="00174823">
              <w:t>Číslo predpisu</w:t>
            </w:r>
          </w:p>
        </w:tc>
        <w:tc>
          <w:tcPr>
            <w:tcW w:w="2268" w:type="pct"/>
            <w:noWrap/>
            <w:hideMark/>
          </w:tcPr>
          <w:p w:rsidR="00C23A6F" w:rsidRPr="00174823" w:rsidRDefault="00C23A6F" w:rsidP="00174823">
            <w:pPr>
              <w:pStyle w:val="zahltab"/>
            </w:pPr>
            <w:r w:rsidRPr="00174823">
              <w:t>Názov predpisu</w:t>
            </w:r>
          </w:p>
        </w:tc>
        <w:tc>
          <w:tcPr>
            <w:tcW w:w="605" w:type="pct"/>
            <w:noWrap/>
            <w:hideMark/>
          </w:tcPr>
          <w:p w:rsidR="00C23A6F" w:rsidRPr="00174823" w:rsidRDefault="00C23A6F" w:rsidP="00174823">
            <w:pPr>
              <w:pStyle w:val="zahltab"/>
            </w:pPr>
            <w:r w:rsidRPr="00174823">
              <w:t>Platnosť</w:t>
            </w:r>
          </w:p>
        </w:tc>
        <w:tc>
          <w:tcPr>
            <w:tcW w:w="1512" w:type="pct"/>
          </w:tcPr>
          <w:p w:rsidR="00C23A6F" w:rsidRPr="00174823" w:rsidRDefault="008E56FC" w:rsidP="00174823">
            <w:pPr>
              <w:pStyle w:val="zahltab"/>
            </w:pPr>
            <w:r>
              <w:t xml:space="preserve">Vecný obsah </w:t>
            </w:r>
          </w:p>
        </w:tc>
      </w:tr>
      <w:tr w:rsidR="00645F73" w:rsidRPr="00174823" w:rsidTr="008E56FC">
        <w:trPr>
          <w:trHeight w:val="680"/>
        </w:trPr>
        <w:tc>
          <w:tcPr>
            <w:tcW w:w="153" w:type="pct"/>
            <w:noWrap/>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w:t>
            </w:r>
          </w:p>
        </w:tc>
        <w:tc>
          <w:tcPr>
            <w:tcW w:w="462" w:type="pct"/>
            <w:noWrap/>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350/2007 Z. z. </w:t>
            </w:r>
          </w:p>
        </w:tc>
        <w:tc>
          <w:tcPr>
            <w:tcW w:w="2268" w:type="pct"/>
            <w:noWrap/>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Nariadenie vlády SR, ktorým sa ustanovuje výška sadzby mýta za užívanie vymedzených úsekov pozemných komunikácií</w:t>
            </w:r>
          </w:p>
        </w:tc>
        <w:tc>
          <w:tcPr>
            <w:tcW w:w="605" w:type="pct"/>
            <w:noWrap/>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1.1.2009 - 31.12.2009</w:t>
            </w:r>
          </w:p>
        </w:tc>
        <w:tc>
          <w:tcPr>
            <w:tcW w:w="1512" w:type="pct"/>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Stanovené sadzby mýta za užívanie D, RC a ciest I.triedy  v mene SKK </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2.</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586/2009 Z. z. </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Nariadenie vlády SR, ktorým sa mení a dopĺňa nariadenie vlády SR č. 350/2007 Z. z., ktorým sa ustanovuje výška sadzby mýta za užívanie vymedzených úsekov pozemných komunikácií</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1.1.2010 - 31.8.2011</w:t>
            </w:r>
          </w:p>
        </w:tc>
        <w:tc>
          <w:tcPr>
            <w:tcW w:w="1512" w:type="pct"/>
          </w:tcPr>
          <w:p w:rsidR="00C23A6F" w:rsidRPr="00645F73" w:rsidRDefault="00C23A6F" w:rsidP="00C23A6F">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Stanovené sadzby mýta za užívanie D, RC a ciest I.triedy  v mene eur (prepočítané konverzným kurzom)</w:t>
            </w:r>
          </w:p>
          <w:p w:rsidR="00C23A6F" w:rsidRPr="00645F73" w:rsidRDefault="00C23A6F" w:rsidP="00C23A6F">
            <w:pPr>
              <w:spacing w:before="20" w:after="20" w:line="240" w:lineRule="auto"/>
              <w:jc w:val="left"/>
              <w:rPr>
                <w:rFonts w:asciiTheme="minorHAnsi" w:hAnsiTheme="minorHAnsi" w:cstheme="minorHAnsi"/>
                <w:color w:val="FF0000"/>
                <w:sz w:val="18"/>
                <w:szCs w:val="18"/>
                <w:lang w:eastAsia="sk-SK"/>
              </w:rPr>
            </w:pPr>
            <w:r w:rsidRPr="00645F73">
              <w:rPr>
                <w:rFonts w:asciiTheme="minorHAnsi" w:hAnsiTheme="minorHAnsi" w:cstheme="minorHAnsi"/>
                <w:color w:val="FF0000"/>
                <w:sz w:val="18"/>
                <w:szCs w:val="18"/>
                <w:lang w:eastAsia="sk-SK"/>
              </w:rPr>
              <w:t>Zníženie sadzieb mýta pre autobusy o 33% až 65% za užívanie diaľnic, o 40%-68% za užívanie ciest I. triedy</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3.</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280/2011 Z .z. </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Nariadenie vlády SR, ktorým sa mení nariadenie vlády SR č. 350/2007 Z. z., ktorým sa ustanovuje výška sadzby mýta za užívanie vymedzených úsekov pozemných komunikácií v znení nariadenia vlády SR č. 586/2009 Z. z. </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1.9.2011 - 31.12.2013</w:t>
            </w:r>
          </w:p>
        </w:tc>
        <w:tc>
          <w:tcPr>
            <w:tcW w:w="1512" w:type="pct"/>
          </w:tcPr>
          <w:p w:rsidR="00C23A6F" w:rsidRPr="00645F73" w:rsidRDefault="00956C7D"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Bez zmeny</w:t>
            </w:r>
          </w:p>
        </w:tc>
      </w:tr>
      <w:tr w:rsidR="00645F73" w:rsidRPr="00174823" w:rsidTr="008E56FC">
        <w:trPr>
          <w:trHeight w:val="680"/>
        </w:trPr>
        <w:tc>
          <w:tcPr>
            <w:tcW w:w="153" w:type="pct"/>
            <w:noWrap/>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4.</w:t>
            </w:r>
          </w:p>
        </w:tc>
        <w:tc>
          <w:tcPr>
            <w:tcW w:w="462" w:type="pct"/>
            <w:noWrap/>
            <w:hideMark/>
          </w:tcPr>
          <w:p w:rsidR="00C23A6F" w:rsidRPr="006F05C1" w:rsidRDefault="00C23A6F" w:rsidP="00174823">
            <w:pPr>
              <w:spacing w:before="20" w:after="20" w:line="240" w:lineRule="auto"/>
              <w:jc w:val="left"/>
              <w:rPr>
                <w:rFonts w:asciiTheme="minorHAnsi" w:hAnsiTheme="minorHAnsi" w:cstheme="minorHAnsi"/>
                <w:b/>
                <w:color w:val="000000"/>
                <w:sz w:val="18"/>
                <w:szCs w:val="18"/>
                <w:lang w:eastAsia="sk-SK"/>
              </w:rPr>
            </w:pPr>
            <w:r w:rsidRPr="006F05C1">
              <w:rPr>
                <w:rFonts w:asciiTheme="minorHAnsi" w:hAnsiTheme="minorHAnsi" w:cstheme="minorHAnsi"/>
                <w:b/>
                <w:color w:val="000000"/>
                <w:sz w:val="18"/>
                <w:szCs w:val="18"/>
                <w:lang w:eastAsia="sk-SK"/>
              </w:rPr>
              <w:t xml:space="preserve">497/2013 Z. z. </w:t>
            </w:r>
          </w:p>
        </w:tc>
        <w:tc>
          <w:tcPr>
            <w:tcW w:w="2268" w:type="pct"/>
            <w:noWrap/>
            <w:hideMark/>
          </w:tcPr>
          <w:p w:rsidR="00C23A6F" w:rsidRPr="006F05C1" w:rsidRDefault="00C23A6F" w:rsidP="00174823">
            <w:pPr>
              <w:spacing w:before="20" w:after="20" w:line="240" w:lineRule="auto"/>
              <w:jc w:val="left"/>
              <w:rPr>
                <w:rFonts w:asciiTheme="minorHAnsi" w:hAnsiTheme="minorHAnsi" w:cstheme="minorHAnsi"/>
                <w:b/>
                <w:color w:val="000000"/>
                <w:sz w:val="18"/>
                <w:szCs w:val="18"/>
                <w:lang w:eastAsia="sk-SK"/>
              </w:rPr>
            </w:pPr>
            <w:r w:rsidRPr="006F05C1">
              <w:rPr>
                <w:rFonts w:asciiTheme="minorHAnsi" w:hAnsiTheme="minorHAnsi" w:cstheme="minorHAnsi"/>
                <w:b/>
                <w:color w:val="000000"/>
                <w:sz w:val="18"/>
                <w:szCs w:val="18"/>
                <w:lang w:eastAsia="sk-SK"/>
              </w:rPr>
              <w:t>Nariadenie vlády SR, ktorým sa ustanovuje spôsob výpočtu mýta, výška sadzby mýta a systém zliav zo sadzieb mýta za užívanie vymedzených úsekov  pozemných komunikácií</w:t>
            </w:r>
          </w:p>
        </w:tc>
        <w:tc>
          <w:tcPr>
            <w:tcW w:w="605" w:type="pct"/>
            <w:noWrap/>
            <w:hideMark/>
          </w:tcPr>
          <w:p w:rsidR="00C23A6F" w:rsidRPr="006F05C1" w:rsidRDefault="00C23A6F" w:rsidP="00174823">
            <w:pPr>
              <w:spacing w:before="20" w:after="20" w:line="240" w:lineRule="auto"/>
              <w:jc w:val="left"/>
              <w:rPr>
                <w:rFonts w:asciiTheme="minorHAnsi" w:hAnsiTheme="minorHAnsi" w:cstheme="minorHAnsi"/>
                <w:b/>
                <w:color w:val="000000"/>
                <w:sz w:val="18"/>
                <w:szCs w:val="18"/>
                <w:lang w:eastAsia="sk-SK"/>
              </w:rPr>
            </w:pPr>
            <w:r w:rsidRPr="006F05C1">
              <w:rPr>
                <w:rFonts w:asciiTheme="minorHAnsi" w:hAnsiTheme="minorHAnsi" w:cstheme="minorHAnsi"/>
                <w:b/>
                <w:color w:val="000000"/>
                <w:sz w:val="18"/>
                <w:szCs w:val="18"/>
                <w:lang w:eastAsia="sk-SK"/>
              </w:rPr>
              <w:t>1.1.2014 - 31.12.2015</w:t>
            </w:r>
          </w:p>
        </w:tc>
        <w:tc>
          <w:tcPr>
            <w:tcW w:w="1512" w:type="pct"/>
          </w:tcPr>
          <w:p w:rsidR="00170EEB" w:rsidRDefault="006F05C1" w:rsidP="00170EEB">
            <w:pPr>
              <w:spacing w:before="20" w:after="20" w:line="240" w:lineRule="auto"/>
              <w:jc w:val="left"/>
              <w:rPr>
                <w:rFonts w:asciiTheme="minorHAnsi" w:hAnsiTheme="minorHAnsi" w:cstheme="minorHAnsi"/>
                <w:b/>
                <w:color w:val="000000"/>
                <w:sz w:val="18"/>
                <w:szCs w:val="18"/>
                <w:lang w:eastAsia="sk-SK"/>
              </w:rPr>
            </w:pPr>
            <w:r>
              <w:rPr>
                <w:rFonts w:asciiTheme="minorHAnsi" w:hAnsiTheme="minorHAnsi" w:cstheme="minorHAnsi"/>
                <w:b/>
                <w:color w:val="000000"/>
                <w:sz w:val="18"/>
                <w:szCs w:val="18"/>
                <w:lang w:eastAsia="sk-SK"/>
              </w:rPr>
              <w:t>Zmeny sadzieb mýta v</w:t>
            </w:r>
            <w:r w:rsidR="00170EEB">
              <w:rPr>
                <w:rFonts w:asciiTheme="minorHAnsi" w:hAnsiTheme="minorHAnsi" w:cstheme="minorHAnsi"/>
                <w:b/>
                <w:color w:val="000000"/>
                <w:sz w:val="18"/>
                <w:szCs w:val="18"/>
                <w:lang w:eastAsia="sk-SK"/>
              </w:rPr>
              <w:t> dôsledku r</w:t>
            </w:r>
            <w:r>
              <w:rPr>
                <w:rFonts w:asciiTheme="minorHAnsi" w:hAnsiTheme="minorHAnsi" w:cstheme="minorHAnsi"/>
                <w:b/>
                <w:color w:val="000000"/>
                <w:sz w:val="18"/>
                <w:szCs w:val="18"/>
                <w:lang w:eastAsia="sk-SK"/>
              </w:rPr>
              <w:t xml:space="preserve">ozdelenia vymedzených úsekov ciest </w:t>
            </w:r>
            <w:r w:rsidR="00170EEB">
              <w:rPr>
                <w:rFonts w:asciiTheme="minorHAnsi" w:hAnsiTheme="minorHAnsi" w:cstheme="minorHAnsi"/>
                <w:b/>
                <w:color w:val="000000"/>
                <w:sz w:val="18"/>
                <w:szCs w:val="18"/>
                <w:lang w:eastAsia="sk-SK"/>
              </w:rPr>
              <w:t xml:space="preserve">I. triedy na cesty súbežné a nesúbežné s diaľnicami a rýchlostnými cestami. </w:t>
            </w:r>
            <w:r>
              <w:rPr>
                <w:rFonts w:asciiTheme="minorHAnsi" w:hAnsiTheme="minorHAnsi" w:cstheme="minorHAnsi"/>
                <w:b/>
                <w:color w:val="000000"/>
                <w:sz w:val="18"/>
                <w:szCs w:val="18"/>
                <w:lang w:eastAsia="sk-SK"/>
              </w:rPr>
              <w:t xml:space="preserve"> </w:t>
            </w:r>
          </w:p>
          <w:p w:rsidR="00C23A6F" w:rsidRDefault="00170EEB" w:rsidP="00170EEB">
            <w:pPr>
              <w:spacing w:before="20" w:after="20" w:line="240" w:lineRule="auto"/>
              <w:jc w:val="left"/>
              <w:rPr>
                <w:rFonts w:asciiTheme="minorHAnsi" w:hAnsiTheme="minorHAnsi" w:cstheme="minorHAnsi"/>
                <w:b/>
                <w:color w:val="000000"/>
                <w:sz w:val="18"/>
                <w:szCs w:val="18"/>
                <w:lang w:eastAsia="sk-SK"/>
              </w:rPr>
            </w:pPr>
            <w:r>
              <w:rPr>
                <w:rFonts w:asciiTheme="minorHAnsi" w:hAnsiTheme="minorHAnsi" w:cstheme="minorHAnsi"/>
                <w:b/>
                <w:color w:val="000000"/>
                <w:sz w:val="18"/>
                <w:szCs w:val="18"/>
                <w:lang w:eastAsia="sk-SK"/>
              </w:rPr>
              <w:t xml:space="preserve">Navýšenie sadzieb mýta pre všetky kategórie okrem autobusov za užívanie všetkých vymedzených úsekov a vozidiel emisnej triedy </w:t>
            </w:r>
            <w:r w:rsidRPr="00170EEB">
              <w:rPr>
                <w:rFonts w:asciiTheme="minorHAnsi" w:hAnsiTheme="minorHAnsi" w:cstheme="minorHAnsi"/>
                <w:b/>
                <w:color w:val="000000"/>
                <w:sz w:val="18"/>
                <w:szCs w:val="18"/>
                <w:lang w:eastAsia="sk-SK"/>
              </w:rPr>
              <w:t>EURO V, VI a</w:t>
            </w:r>
            <w:r>
              <w:rPr>
                <w:rFonts w:asciiTheme="minorHAnsi" w:hAnsiTheme="minorHAnsi" w:cstheme="minorHAnsi"/>
                <w:b/>
                <w:color w:val="000000"/>
                <w:sz w:val="18"/>
                <w:szCs w:val="18"/>
                <w:lang w:eastAsia="sk-SK"/>
              </w:rPr>
              <w:t> </w:t>
            </w:r>
            <w:r w:rsidRPr="00170EEB">
              <w:rPr>
                <w:rFonts w:asciiTheme="minorHAnsi" w:hAnsiTheme="minorHAnsi" w:cstheme="minorHAnsi"/>
                <w:b/>
                <w:color w:val="000000"/>
                <w:sz w:val="18"/>
                <w:szCs w:val="18"/>
                <w:lang w:eastAsia="sk-SK"/>
              </w:rPr>
              <w:t>EEV</w:t>
            </w:r>
            <w:r>
              <w:rPr>
                <w:rFonts w:asciiTheme="minorHAnsi" w:hAnsiTheme="minorHAnsi" w:cstheme="minorHAnsi"/>
                <w:b/>
                <w:color w:val="000000"/>
                <w:sz w:val="18"/>
                <w:szCs w:val="18"/>
                <w:lang w:eastAsia="sk-SK"/>
              </w:rPr>
              <w:t xml:space="preserve"> za užívanie úsekov ciest I. triedy nesúbežných s</w:t>
            </w:r>
            <w:r w:rsidR="00886D07">
              <w:rPr>
                <w:rFonts w:asciiTheme="minorHAnsi" w:hAnsiTheme="minorHAnsi" w:cstheme="minorHAnsi"/>
                <w:b/>
                <w:color w:val="000000"/>
                <w:sz w:val="18"/>
                <w:szCs w:val="18"/>
                <w:lang w:eastAsia="sk-SK"/>
              </w:rPr>
              <w:t> </w:t>
            </w:r>
            <w:r>
              <w:rPr>
                <w:rFonts w:asciiTheme="minorHAnsi" w:hAnsiTheme="minorHAnsi" w:cstheme="minorHAnsi"/>
                <w:b/>
                <w:color w:val="000000"/>
                <w:sz w:val="18"/>
                <w:szCs w:val="18"/>
                <w:lang w:eastAsia="sk-SK"/>
              </w:rPr>
              <w:t>diaľnicami</w:t>
            </w:r>
          </w:p>
          <w:p w:rsidR="00886D07" w:rsidRPr="006F05C1" w:rsidRDefault="00886D07" w:rsidP="00886D07">
            <w:pPr>
              <w:spacing w:before="20" w:after="20" w:line="240" w:lineRule="auto"/>
              <w:jc w:val="left"/>
              <w:rPr>
                <w:rFonts w:asciiTheme="minorHAnsi" w:hAnsiTheme="minorHAnsi" w:cstheme="minorHAnsi"/>
                <w:b/>
                <w:color w:val="000000"/>
                <w:sz w:val="18"/>
                <w:szCs w:val="18"/>
                <w:lang w:eastAsia="sk-SK"/>
              </w:rPr>
            </w:pPr>
            <w:r>
              <w:rPr>
                <w:rFonts w:asciiTheme="minorHAnsi" w:hAnsiTheme="minorHAnsi" w:cstheme="minorHAnsi"/>
                <w:b/>
                <w:color w:val="000000"/>
                <w:sz w:val="18"/>
                <w:szCs w:val="18"/>
                <w:lang w:eastAsia="sk-SK"/>
              </w:rPr>
              <w:t>Zavedenie systému zliav zo sadzieb mýta</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5.</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448/2015 Z. z. </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Nariadenie vlády SR, ktorým sa mení nariadenie vlády SR č. 497/2013 Z. z., ktorým sa ustanovuje spôsob výpočtu mýta, výška sadzby mýta a systém zliav zo sadzieb mýta za užívanie vymedzených úsekov  pozemných komunikácií</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1.1.2016 - 31. 12. 2016</w:t>
            </w:r>
          </w:p>
        </w:tc>
        <w:tc>
          <w:tcPr>
            <w:tcW w:w="1512" w:type="pct"/>
          </w:tcPr>
          <w:p w:rsidR="00C23A6F" w:rsidRPr="00645F73" w:rsidRDefault="005828CD"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Bez zmeny, max. zmena o jednu tisícinu z dôvodu zaokrúhlenia</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6.</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368/2016 Z. z.</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Nariadenie vlády SR, ktorým sa mení nariadenie vlády SR č. 497/2013 Z. z., ktorým sa ustanovuje spôsob výpočtu mýta, výška sadzby mýta a systém zliav zo sadzieb mýta za užívanie vymedzených úsekov  pozemných komunikácií v znení nariadenia vlády SR č. 448/2015 Z. z. </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1.1.2017 - 31.12.2017</w:t>
            </w:r>
          </w:p>
        </w:tc>
        <w:tc>
          <w:tcPr>
            <w:tcW w:w="1512" w:type="pct"/>
          </w:tcPr>
          <w:p w:rsidR="00C23A6F" w:rsidRPr="00645F73" w:rsidRDefault="00C70AEB"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Bez zmeny, max. zmena o jednu tisícinu z dôvodu zaokrúhlenia</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7.</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357/2017 Z. z. </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Nariadenie vlády SR, ktorým sa mení nariadenie vlády SR č. 497/2013 Z. z., ktorým sa ustanovuje spôsob výpočtu mýta, výška sadzby mýta a systém zliav zo sadzieb mýta za užívanie vymedzených úsekov  pozemných komunikácií v znení neskorších predpisov</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1.1.2018 -31.12.2018</w:t>
            </w:r>
          </w:p>
        </w:tc>
        <w:tc>
          <w:tcPr>
            <w:tcW w:w="1512" w:type="pct"/>
          </w:tcPr>
          <w:p w:rsidR="00C23A6F" w:rsidRPr="00645F73" w:rsidRDefault="00C70AEB" w:rsidP="00645F7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Zmena</w:t>
            </w:r>
            <w:r w:rsidR="00D34E9D" w:rsidRPr="00645F73">
              <w:rPr>
                <w:rFonts w:asciiTheme="minorHAnsi" w:hAnsiTheme="minorHAnsi" w:cstheme="minorHAnsi"/>
                <w:color w:val="000000"/>
                <w:sz w:val="18"/>
                <w:szCs w:val="18"/>
                <w:lang w:eastAsia="sk-SK"/>
              </w:rPr>
              <w:t xml:space="preserve"> (navýšenie)</w:t>
            </w:r>
            <w:r w:rsidRPr="00645F73">
              <w:rPr>
                <w:rFonts w:asciiTheme="minorHAnsi" w:hAnsiTheme="minorHAnsi" w:cstheme="minorHAnsi"/>
                <w:color w:val="000000"/>
                <w:sz w:val="18"/>
                <w:szCs w:val="18"/>
                <w:lang w:eastAsia="sk-SK"/>
              </w:rPr>
              <w:t xml:space="preserve"> sadzieb mýta pre všetky kategórie vozidiel a kategórie spoplatnených ciest o</w:t>
            </w:r>
            <w:r w:rsidR="00645F73" w:rsidRPr="00645F73">
              <w:rPr>
                <w:rFonts w:asciiTheme="minorHAnsi" w:hAnsiTheme="minorHAnsi" w:cstheme="minorHAnsi"/>
                <w:color w:val="000000"/>
                <w:sz w:val="18"/>
                <w:szCs w:val="18"/>
                <w:lang w:eastAsia="sk-SK"/>
              </w:rPr>
              <w:t> 0,00</w:t>
            </w:r>
            <w:r w:rsidRPr="00645F73">
              <w:rPr>
                <w:rFonts w:asciiTheme="minorHAnsi" w:hAnsiTheme="minorHAnsi" w:cstheme="minorHAnsi"/>
                <w:color w:val="000000"/>
                <w:sz w:val="18"/>
                <w:szCs w:val="18"/>
                <w:lang w:eastAsia="sk-SK"/>
              </w:rPr>
              <w:t>1</w:t>
            </w:r>
            <w:r w:rsidR="00645F73" w:rsidRPr="00645F73">
              <w:rPr>
                <w:rFonts w:asciiTheme="minorHAnsi" w:hAnsiTheme="minorHAnsi" w:cstheme="minorHAnsi"/>
                <w:color w:val="000000"/>
                <w:sz w:val="18"/>
                <w:szCs w:val="18"/>
                <w:lang w:eastAsia="sk-SK"/>
              </w:rPr>
              <w:t>€</w:t>
            </w:r>
            <w:r w:rsidRPr="00645F73">
              <w:rPr>
                <w:rFonts w:asciiTheme="minorHAnsi" w:hAnsiTheme="minorHAnsi" w:cstheme="minorHAnsi"/>
                <w:color w:val="000000"/>
                <w:sz w:val="18"/>
                <w:szCs w:val="18"/>
                <w:lang w:eastAsia="sk-SK"/>
              </w:rPr>
              <w:t xml:space="preserve"> až </w:t>
            </w:r>
            <w:r w:rsidR="00645F73" w:rsidRPr="00645F73">
              <w:rPr>
                <w:rFonts w:asciiTheme="minorHAnsi" w:hAnsiTheme="minorHAnsi" w:cstheme="minorHAnsi"/>
                <w:color w:val="000000"/>
                <w:sz w:val="18"/>
                <w:szCs w:val="18"/>
                <w:lang w:eastAsia="sk-SK"/>
              </w:rPr>
              <w:t>0,00</w:t>
            </w:r>
            <w:r w:rsidRPr="00645F73">
              <w:rPr>
                <w:rFonts w:asciiTheme="minorHAnsi" w:hAnsiTheme="minorHAnsi" w:cstheme="minorHAnsi"/>
                <w:color w:val="000000"/>
                <w:sz w:val="18"/>
                <w:szCs w:val="18"/>
                <w:lang w:eastAsia="sk-SK"/>
              </w:rPr>
              <w:t xml:space="preserve">4 </w:t>
            </w:r>
            <w:r w:rsidR="00645F73" w:rsidRPr="00645F73">
              <w:rPr>
                <w:rFonts w:asciiTheme="minorHAnsi" w:hAnsiTheme="minorHAnsi" w:cstheme="minorHAnsi"/>
                <w:color w:val="000000"/>
                <w:sz w:val="18"/>
                <w:szCs w:val="18"/>
                <w:lang w:eastAsia="sk-SK"/>
              </w:rPr>
              <w:t>€</w:t>
            </w:r>
            <w:r w:rsidRPr="00645F73">
              <w:rPr>
                <w:rFonts w:asciiTheme="minorHAnsi" w:hAnsiTheme="minorHAnsi" w:cstheme="minorHAnsi"/>
                <w:color w:val="000000"/>
                <w:sz w:val="18"/>
                <w:szCs w:val="18"/>
                <w:lang w:eastAsia="sk-SK"/>
              </w:rPr>
              <w:t>, najmenej pre autobusy</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8.</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394/2018 Z. z.</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Nariadenie vlády SR, ktorým sa mení nariadenie vlády SR č. 497/2013 Z. z., ktorým sa ustanovuje spôsob výpočtu mýta, výška sadzby mýta a systém zliav zo sadzieb mýta za užívanie vymedzených úsekov  pozemných komunikácií v znení neskorších predpisov</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1.1.2019 - 30.6.2020</w:t>
            </w:r>
          </w:p>
        </w:tc>
        <w:tc>
          <w:tcPr>
            <w:tcW w:w="1512" w:type="pct"/>
          </w:tcPr>
          <w:p w:rsidR="00C23A6F" w:rsidRPr="00645F73" w:rsidRDefault="00C70AEB"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Zmena </w:t>
            </w:r>
            <w:r w:rsidR="00D34E9D" w:rsidRPr="00645F73">
              <w:rPr>
                <w:rFonts w:asciiTheme="minorHAnsi" w:hAnsiTheme="minorHAnsi" w:cstheme="minorHAnsi"/>
                <w:color w:val="000000"/>
                <w:sz w:val="18"/>
                <w:szCs w:val="18"/>
                <w:lang w:eastAsia="sk-SK"/>
              </w:rPr>
              <w:t xml:space="preserve">(navýšenie) </w:t>
            </w:r>
            <w:r w:rsidRPr="00645F73">
              <w:rPr>
                <w:rFonts w:asciiTheme="minorHAnsi" w:hAnsiTheme="minorHAnsi" w:cstheme="minorHAnsi"/>
                <w:color w:val="000000"/>
                <w:sz w:val="18"/>
                <w:szCs w:val="18"/>
                <w:lang w:eastAsia="sk-SK"/>
              </w:rPr>
              <w:t>sadzieb mýta pre všetky kategórie vozidiel a kategórie spoplatnených ciest o</w:t>
            </w:r>
            <w:r w:rsidR="00645F73" w:rsidRPr="00645F73">
              <w:rPr>
                <w:rFonts w:asciiTheme="minorHAnsi" w:hAnsiTheme="minorHAnsi" w:cstheme="minorHAnsi"/>
                <w:color w:val="000000"/>
                <w:sz w:val="18"/>
                <w:szCs w:val="18"/>
                <w:lang w:eastAsia="sk-SK"/>
              </w:rPr>
              <w:t> 0,00</w:t>
            </w:r>
            <w:r w:rsidRPr="00645F73">
              <w:rPr>
                <w:rFonts w:asciiTheme="minorHAnsi" w:hAnsiTheme="minorHAnsi" w:cstheme="minorHAnsi"/>
                <w:color w:val="000000"/>
                <w:sz w:val="18"/>
                <w:szCs w:val="18"/>
                <w:lang w:eastAsia="sk-SK"/>
              </w:rPr>
              <w:t>1</w:t>
            </w:r>
            <w:r w:rsidR="00645F73" w:rsidRPr="00645F73">
              <w:rPr>
                <w:rFonts w:asciiTheme="minorHAnsi" w:hAnsiTheme="minorHAnsi" w:cstheme="minorHAnsi"/>
                <w:color w:val="000000"/>
                <w:sz w:val="18"/>
                <w:szCs w:val="18"/>
                <w:lang w:eastAsia="sk-SK"/>
              </w:rPr>
              <w:t>€</w:t>
            </w:r>
            <w:r w:rsidRPr="00645F73">
              <w:rPr>
                <w:rFonts w:asciiTheme="minorHAnsi" w:hAnsiTheme="minorHAnsi" w:cstheme="minorHAnsi"/>
                <w:color w:val="000000"/>
                <w:sz w:val="18"/>
                <w:szCs w:val="18"/>
                <w:lang w:eastAsia="sk-SK"/>
              </w:rPr>
              <w:t xml:space="preserve"> až </w:t>
            </w:r>
            <w:r w:rsidR="00645F73" w:rsidRPr="00645F73">
              <w:rPr>
                <w:rFonts w:asciiTheme="minorHAnsi" w:hAnsiTheme="minorHAnsi" w:cstheme="minorHAnsi"/>
                <w:color w:val="000000"/>
                <w:sz w:val="18"/>
                <w:szCs w:val="18"/>
                <w:lang w:eastAsia="sk-SK"/>
              </w:rPr>
              <w:t>0,00</w:t>
            </w:r>
            <w:r w:rsidRPr="00645F73">
              <w:rPr>
                <w:rFonts w:asciiTheme="minorHAnsi" w:hAnsiTheme="minorHAnsi" w:cstheme="minorHAnsi"/>
                <w:color w:val="000000"/>
                <w:sz w:val="18"/>
                <w:szCs w:val="18"/>
                <w:lang w:eastAsia="sk-SK"/>
              </w:rPr>
              <w:t>7</w:t>
            </w:r>
            <w:r w:rsidR="00645F73" w:rsidRPr="00645F73">
              <w:rPr>
                <w:rFonts w:asciiTheme="minorHAnsi" w:hAnsiTheme="minorHAnsi" w:cstheme="minorHAnsi"/>
                <w:color w:val="000000"/>
                <w:sz w:val="18"/>
                <w:szCs w:val="18"/>
                <w:lang w:eastAsia="sk-SK"/>
              </w:rPr>
              <w:t xml:space="preserve"> €</w:t>
            </w:r>
            <w:r w:rsidRPr="00645F73">
              <w:rPr>
                <w:rFonts w:asciiTheme="minorHAnsi" w:hAnsiTheme="minorHAnsi" w:cstheme="minorHAnsi"/>
                <w:color w:val="000000"/>
                <w:sz w:val="18"/>
                <w:szCs w:val="18"/>
                <w:lang w:eastAsia="sk-SK"/>
              </w:rPr>
              <w:t>, najmenej pre autobusy</w:t>
            </w:r>
          </w:p>
        </w:tc>
      </w:tr>
      <w:tr w:rsidR="00645F73" w:rsidRPr="00174823" w:rsidTr="008E56FC">
        <w:trPr>
          <w:trHeight w:val="680"/>
        </w:trPr>
        <w:tc>
          <w:tcPr>
            <w:tcW w:w="153"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9.</w:t>
            </w:r>
          </w:p>
        </w:tc>
        <w:tc>
          <w:tcPr>
            <w:tcW w:w="462"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 xml:space="preserve">22/2020 Z. z. </w:t>
            </w:r>
          </w:p>
        </w:tc>
        <w:tc>
          <w:tcPr>
            <w:tcW w:w="2268"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Nariadenie vlády SR, ktorým sa mení nariadenie vlády SR č. 497/2013 Z. z., ktorým sa ustanovuje spôsob výpočtu mýta, výška sadzby mýta a systém zliav zo sadzieb mýta za užívanie vymedzených úsekov  pozemných komunikácií v znení neskorších predpisov</w:t>
            </w:r>
          </w:p>
        </w:tc>
        <w:tc>
          <w:tcPr>
            <w:tcW w:w="605" w:type="pct"/>
            <w:hideMark/>
          </w:tcPr>
          <w:p w:rsidR="00C23A6F" w:rsidRPr="00645F73" w:rsidRDefault="00C23A6F" w:rsidP="00174823">
            <w:pPr>
              <w:spacing w:before="20" w:after="20" w:line="240" w:lineRule="auto"/>
              <w:jc w:val="left"/>
              <w:rPr>
                <w:rFonts w:asciiTheme="minorHAnsi" w:hAnsiTheme="minorHAnsi" w:cstheme="minorHAnsi"/>
                <w:color w:val="000000"/>
                <w:sz w:val="18"/>
                <w:szCs w:val="18"/>
                <w:lang w:eastAsia="sk-SK"/>
              </w:rPr>
            </w:pPr>
            <w:r w:rsidRPr="00645F73">
              <w:rPr>
                <w:rFonts w:asciiTheme="minorHAnsi" w:hAnsiTheme="minorHAnsi" w:cstheme="minorHAnsi"/>
                <w:color w:val="000000"/>
                <w:sz w:val="18"/>
                <w:szCs w:val="18"/>
                <w:lang w:eastAsia="sk-SK"/>
              </w:rPr>
              <w:t>1.7.2020 -</w:t>
            </w:r>
          </w:p>
        </w:tc>
        <w:tc>
          <w:tcPr>
            <w:tcW w:w="1512" w:type="pct"/>
          </w:tcPr>
          <w:p w:rsidR="00C23A6F" w:rsidRPr="00645F73" w:rsidRDefault="00886D07" w:rsidP="00886D07">
            <w:pPr>
              <w:spacing w:before="20" w:after="20" w:line="240" w:lineRule="auto"/>
              <w:jc w:val="left"/>
              <w:rPr>
                <w:rFonts w:asciiTheme="minorHAnsi" w:hAnsiTheme="minorHAnsi" w:cstheme="minorHAnsi"/>
                <w:color w:val="000000"/>
                <w:sz w:val="18"/>
                <w:szCs w:val="18"/>
                <w:lang w:eastAsia="sk-SK"/>
              </w:rPr>
            </w:pPr>
            <w:r>
              <w:rPr>
                <w:rFonts w:asciiTheme="minorHAnsi" w:hAnsiTheme="minorHAnsi" w:cstheme="minorHAnsi"/>
                <w:color w:val="000000"/>
                <w:sz w:val="18"/>
                <w:szCs w:val="18"/>
                <w:lang w:eastAsia="sk-SK"/>
              </w:rPr>
              <w:t>Zmeny v p</w:t>
            </w:r>
            <w:r w:rsidRPr="00D72572">
              <w:rPr>
                <w:rFonts w:asciiTheme="minorHAnsi" w:hAnsiTheme="minorHAnsi" w:cstheme="minorHAnsi"/>
                <w:color w:val="000000"/>
                <w:sz w:val="18"/>
                <w:szCs w:val="18"/>
                <w:lang w:eastAsia="sk-SK"/>
              </w:rPr>
              <w:t>ercentuáln</w:t>
            </w:r>
            <w:r>
              <w:rPr>
                <w:rFonts w:asciiTheme="minorHAnsi" w:hAnsiTheme="minorHAnsi" w:cstheme="minorHAnsi"/>
                <w:color w:val="000000"/>
                <w:sz w:val="18"/>
                <w:szCs w:val="18"/>
                <w:lang w:eastAsia="sk-SK"/>
              </w:rPr>
              <w:t>ej</w:t>
            </w:r>
            <w:r w:rsidRPr="00D72572">
              <w:rPr>
                <w:rFonts w:asciiTheme="minorHAnsi" w:hAnsiTheme="minorHAnsi" w:cstheme="minorHAnsi"/>
                <w:color w:val="000000"/>
                <w:sz w:val="18"/>
                <w:szCs w:val="18"/>
                <w:lang w:eastAsia="sk-SK"/>
              </w:rPr>
              <w:t xml:space="preserve"> zľav</w:t>
            </w:r>
            <w:r>
              <w:rPr>
                <w:rFonts w:asciiTheme="minorHAnsi" w:hAnsiTheme="minorHAnsi" w:cstheme="minorHAnsi"/>
                <w:color w:val="000000"/>
                <w:sz w:val="18"/>
                <w:szCs w:val="18"/>
                <w:lang w:eastAsia="sk-SK"/>
              </w:rPr>
              <w:t xml:space="preserve">e za kilometre najazdené v </w:t>
            </w:r>
            <w:r w:rsidRPr="00D72572">
              <w:rPr>
                <w:rFonts w:asciiTheme="minorHAnsi" w:hAnsiTheme="minorHAnsi" w:cstheme="minorHAnsi"/>
                <w:color w:val="000000"/>
                <w:sz w:val="18"/>
                <w:szCs w:val="18"/>
                <w:lang w:eastAsia="sk-SK"/>
              </w:rPr>
              <w:t>období od 1. januára 2020 do 30. júna 2020</w:t>
            </w:r>
            <w:r>
              <w:rPr>
                <w:rFonts w:asciiTheme="minorHAnsi" w:hAnsiTheme="minorHAnsi" w:cstheme="minorHAnsi"/>
                <w:color w:val="000000"/>
                <w:sz w:val="18"/>
                <w:szCs w:val="18"/>
                <w:lang w:eastAsia="sk-SK"/>
              </w:rPr>
              <w:t>.</w:t>
            </w:r>
            <w:r w:rsidRPr="00D72572">
              <w:rPr>
                <w:rFonts w:asciiTheme="minorHAnsi" w:hAnsiTheme="minorHAnsi" w:cstheme="minorHAnsi"/>
                <w:color w:val="000000"/>
                <w:sz w:val="18"/>
                <w:szCs w:val="18"/>
                <w:lang w:eastAsia="sk-SK"/>
              </w:rPr>
              <w:t xml:space="preserve"> </w:t>
            </w:r>
          </w:p>
        </w:tc>
      </w:tr>
    </w:tbl>
    <w:p w:rsidR="00D3200B" w:rsidRDefault="00D3200B" w:rsidP="0049705F">
      <w:pPr>
        <w:pStyle w:val="Odsekzoznamu"/>
        <w:ind w:left="0"/>
        <w:contextualSpacing w:val="0"/>
        <w:sectPr w:rsidR="00D3200B" w:rsidSect="008E56FC">
          <w:headerReference w:type="default" r:id="rId110"/>
          <w:footerReference w:type="default" r:id="rId111"/>
          <w:pgSz w:w="16840" w:h="11907" w:orient="landscape" w:code="9"/>
          <w:pgMar w:top="834" w:right="1548" w:bottom="1134" w:left="1440" w:header="454" w:footer="57" w:gutter="0"/>
          <w:cols w:space="240"/>
          <w:docGrid w:linePitch="299"/>
        </w:sectPr>
      </w:pPr>
    </w:p>
    <w:p w:rsidR="00B44909" w:rsidRDefault="00886D07" w:rsidP="00165036">
      <w:pPr>
        <w:pStyle w:val="Nadpis3"/>
      </w:pPr>
      <w:bookmarkStart w:id="340" w:name="_Toc36664420"/>
      <w:r>
        <w:t xml:space="preserve">zavedenie systému </w:t>
      </w:r>
      <w:r w:rsidR="00165036">
        <w:t xml:space="preserve">zliav </w:t>
      </w:r>
      <w:r>
        <w:t>zo sadzieb mýta</w:t>
      </w:r>
      <w:bookmarkEnd w:id="340"/>
    </w:p>
    <w:p w:rsidR="00165036" w:rsidRPr="0069372A" w:rsidRDefault="0069372A" w:rsidP="0069372A">
      <w:pPr>
        <w:rPr>
          <w:rFonts w:cstheme="minorHAnsi"/>
        </w:rPr>
      </w:pPr>
      <w:r w:rsidRPr="0069372A">
        <w:rPr>
          <w:rFonts w:cstheme="minorHAnsi"/>
        </w:rPr>
        <w:t>Vplyv na výnosnosť mýtneho systému malo tiež poskytnutie percentuálnej zľavy zo sadzby mýta</w:t>
      </w:r>
      <w:r>
        <w:rPr>
          <w:rFonts w:cstheme="minorHAnsi"/>
        </w:rPr>
        <w:t xml:space="preserve"> na vozidlo s najväčšou prípustnou celkovou hmotnosťou nad 3,5 tony.</w:t>
      </w:r>
      <w:r w:rsidRPr="0069372A">
        <w:rPr>
          <w:rFonts w:cstheme="minorHAnsi"/>
        </w:rPr>
        <w:t xml:space="preserve"> </w:t>
      </w:r>
      <w:r w:rsidR="00165036" w:rsidRPr="0069372A">
        <w:rPr>
          <w:rFonts w:cstheme="minorHAnsi"/>
        </w:rPr>
        <w:t>Zľavy z mýta sa v hodnotenom období rokov 2008 – 2019 začali uplatňovať až od roku 2014</w:t>
      </w:r>
      <w:r>
        <w:rPr>
          <w:rFonts w:cstheme="minorHAnsi"/>
        </w:rPr>
        <w:t xml:space="preserve"> nadobudnutím účinnosti Nariadenia</w:t>
      </w:r>
      <w:r w:rsidR="00165036" w:rsidRPr="0069372A">
        <w:rPr>
          <w:rFonts w:cstheme="minorHAnsi"/>
        </w:rPr>
        <w:t xml:space="preserve"> vlády SR č. 497/2013 Z. z., </w:t>
      </w:r>
      <w:r w:rsidR="00165036" w:rsidRPr="0069372A">
        <w:rPr>
          <w:rFonts w:cstheme="minorHAnsi"/>
          <w:bCs/>
          <w:color w:val="000000"/>
          <w:shd w:val="clear" w:color="auto" w:fill="FFFFFF"/>
        </w:rPr>
        <w:t xml:space="preserve">ktorým sa ustanovuje spôsob výpočtu mýta, výška sadzby mýta a systém zliav zo sadzieb mýta za užívanie vymedzených úsekov pozemných komunikácií. </w:t>
      </w:r>
    </w:p>
    <w:p w:rsidR="00165036" w:rsidRDefault="00165036" w:rsidP="0069372A">
      <w:pPr>
        <w:rPr>
          <w:rFonts w:cstheme="minorHAnsi"/>
          <w:shd w:val="clear" w:color="auto" w:fill="FFFFFF"/>
        </w:rPr>
      </w:pPr>
      <w:r w:rsidRPr="008D27BE">
        <w:rPr>
          <w:rFonts w:cstheme="minorHAnsi"/>
          <w:bCs/>
          <w:color w:val="000000"/>
          <w:shd w:val="clear" w:color="auto" w:fill="FFFFFF"/>
        </w:rPr>
        <w:t>Výška zliav z mýta je od 1. januára 2014 až do roku 2020 st</w:t>
      </w:r>
      <w:r>
        <w:rPr>
          <w:rFonts w:cstheme="minorHAnsi"/>
          <w:bCs/>
          <w:color w:val="000000"/>
          <w:shd w:val="clear" w:color="auto" w:fill="FFFFFF"/>
        </w:rPr>
        <w:t>á</w:t>
      </w:r>
      <w:r w:rsidRPr="008D27BE">
        <w:rPr>
          <w:rFonts w:cstheme="minorHAnsi"/>
          <w:bCs/>
          <w:color w:val="000000"/>
          <w:shd w:val="clear" w:color="auto" w:fill="FFFFFF"/>
        </w:rPr>
        <w:t xml:space="preserve">le rovnaká. </w:t>
      </w:r>
      <w:r w:rsidR="0069372A">
        <w:rPr>
          <w:rFonts w:cstheme="minorHAnsi"/>
          <w:shd w:val="clear" w:color="auto" w:fill="FFFFFF"/>
        </w:rPr>
        <w:t>P</w:t>
      </w:r>
      <w:r w:rsidRPr="008D27BE">
        <w:rPr>
          <w:rFonts w:cstheme="minorHAnsi"/>
          <w:shd w:val="clear" w:color="auto" w:fill="FFFFFF"/>
        </w:rPr>
        <w:t xml:space="preserve">revádzkovateľovi vozidla </w:t>
      </w:r>
      <w:r w:rsidR="0069372A">
        <w:rPr>
          <w:rFonts w:cstheme="minorHAnsi"/>
          <w:shd w:val="clear" w:color="auto" w:fill="FFFFFF"/>
        </w:rPr>
        <w:t xml:space="preserve">sa </w:t>
      </w:r>
      <w:r w:rsidRPr="008D27BE">
        <w:rPr>
          <w:rFonts w:cstheme="minorHAnsi"/>
          <w:shd w:val="clear" w:color="auto" w:fill="FFFFFF"/>
        </w:rPr>
        <w:t>poskytuje percentuálna zľava zo sadzby mýta na vozidlo s najväčšou prípustnou celkovou hmotnosťou nad 3 500 kg, ktoré nie je určené na prepravu viac ako deviatich osôb vrátane vodiča za kilometre najazdené po vymedzených úsekoch pozemných komunikácií nad limity ustanovené v </w:t>
      </w:r>
      <w:hyperlink r:id="rId112" w:anchor="prilohy.priloha-priloha_c_6_k_nariadeniu_vlady_c_497_2013_z_z.oznacenie" w:tooltip="Odkaz na predpis alebo ustanovenie" w:history="1">
        <w:r w:rsidRPr="0069372A">
          <w:rPr>
            <w:rStyle w:val="Hypertextovprepojenie"/>
            <w:rFonts w:cstheme="minorHAnsi"/>
            <w:i/>
            <w:iCs/>
            <w:u w:val="none"/>
            <w:shd w:val="clear" w:color="auto" w:fill="FFFFFF"/>
          </w:rPr>
          <w:t>prílohe č. 6</w:t>
        </w:r>
      </w:hyperlink>
      <w:r w:rsidRPr="0069372A">
        <w:rPr>
          <w:rFonts w:cstheme="minorHAnsi"/>
          <w:shd w:val="clear" w:color="auto" w:fill="FFFFFF"/>
        </w:rPr>
        <w:t xml:space="preserve">  </w:t>
      </w:r>
      <w:r w:rsidR="0069372A">
        <w:rPr>
          <w:rFonts w:cstheme="minorHAnsi"/>
          <w:shd w:val="clear" w:color="auto" w:fill="FFFFFF"/>
        </w:rPr>
        <w:t>N</w:t>
      </w:r>
      <w:r w:rsidRPr="008D27BE">
        <w:rPr>
          <w:rFonts w:cstheme="minorHAnsi"/>
          <w:shd w:val="clear" w:color="auto" w:fill="FFFFFF"/>
        </w:rPr>
        <w:t>ariadenia</w:t>
      </w:r>
      <w:r w:rsidR="0069372A">
        <w:rPr>
          <w:rFonts w:cstheme="minorHAnsi"/>
          <w:shd w:val="clear" w:color="auto" w:fill="FFFFFF"/>
        </w:rPr>
        <w:t xml:space="preserve"> </w:t>
      </w:r>
      <w:r w:rsidR="0069372A" w:rsidRPr="0069372A">
        <w:rPr>
          <w:rFonts w:cstheme="minorHAnsi"/>
        </w:rPr>
        <w:t>vlády SR č. 497/2013 Z. z</w:t>
      </w:r>
      <w:r w:rsidRPr="008D27BE">
        <w:rPr>
          <w:rFonts w:cstheme="minorHAnsi"/>
          <w:shd w:val="clear" w:color="auto" w:fill="FFFFFF"/>
        </w:rPr>
        <w:t xml:space="preserve"> počas kalendárneho roka. Do počtu najazdených kilometrov sa nezapočítajú kilometre najazdené po vymedzených úsekoch pozemných komunikácií spoplatnených nulovou sadzbou mýta. </w:t>
      </w:r>
    </w:p>
    <w:p w:rsidR="0069372A" w:rsidRDefault="0069372A" w:rsidP="0069372A">
      <w:pPr>
        <w:pStyle w:val="Popis"/>
        <w:spacing w:before="120" w:after="120"/>
        <w:jc w:val="left"/>
      </w:pPr>
      <w:bookmarkStart w:id="341" w:name="_Toc36664501"/>
      <w:r>
        <w:t xml:space="preserve">Tab.  </w:t>
      </w:r>
      <w:r w:rsidR="00C40D3F">
        <w:fldChar w:fldCharType="begin"/>
      </w:r>
      <w:r w:rsidR="00C40D3F">
        <w:instrText xml:space="preserve"> STYLEREF 1 \s </w:instrText>
      </w:r>
      <w:r w:rsidR="00C40D3F">
        <w:fldChar w:fldCharType="separate"/>
      </w:r>
      <w:r w:rsidR="00AE19F9">
        <w:rPr>
          <w:noProof/>
        </w:rPr>
        <w:t>3</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7</w:t>
      </w:r>
      <w:r w:rsidR="00C40D3F">
        <w:rPr>
          <w:noProof/>
        </w:rPr>
        <w:fldChar w:fldCharType="end"/>
      </w:r>
      <w:r>
        <w:t xml:space="preserve"> Zľavy zo sadzieb mýta</w:t>
      </w:r>
      <w:bookmarkEnd w:id="341"/>
    </w:p>
    <w:tbl>
      <w:tblPr>
        <w:tblStyle w:val="tabulkaVUD"/>
        <w:tblW w:w="5000" w:type="pct"/>
        <w:tblLook w:val="04A0" w:firstRow="1" w:lastRow="0" w:firstColumn="1" w:lastColumn="0" w:noHBand="0" w:noVBand="1"/>
      </w:tblPr>
      <w:tblGrid>
        <w:gridCol w:w="2721"/>
        <w:gridCol w:w="3119"/>
        <w:gridCol w:w="3571"/>
      </w:tblGrid>
      <w:tr w:rsidR="0069372A" w:rsidRPr="00D52FE0" w:rsidTr="0069372A">
        <w:trPr>
          <w:cnfStyle w:val="100000000000" w:firstRow="1" w:lastRow="0" w:firstColumn="0" w:lastColumn="0" w:oddVBand="0" w:evenVBand="0" w:oddHBand="0" w:evenHBand="0" w:firstRowFirstColumn="0" w:firstRowLastColumn="0" w:lastRowFirstColumn="0" w:lastRowLastColumn="0"/>
          <w:trHeight w:val="802"/>
        </w:trPr>
        <w:tc>
          <w:tcPr>
            <w:tcW w:w="1446" w:type="pct"/>
            <w:vMerge w:val="restart"/>
            <w:tcBorders>
              <w:bottom w:val="single" w:sz="4" w:space="0" w:color="D9D9D9"/>
            </w:tcBorders>
            <w:hideMark/>
          </w:tcPr>
          <w:p w:rsidR="0069372A" w:rsidRPr="00D52FE0" w:rsidRDefault="0069372A" w:rsidP="0069372A">
            <w:pPr>
              <w:pStyle w:val="zahltab"/>
            </w:pPr>
            <w:r w:rsidRPr="00D52FE0">
              <w:t>Limit pre kilometre najazdené počas kalendárneho roka</w:t>
            </w:r>
          </w:p>
          <w:p w:rsidR="0069372A" w:rsidRPr="00D52FE0" w:rsidRDefault="0069372A" w:rsidP="0069372A">
            <w:pPr>
              <w:pStyle w:val="zahltab"/>
            </w:pPr>
          </w:p>
        </w:tc>
        <w:tc>
          <w:tcPr>
            <w:tcW w:w="3554" w:type="pct"/>
            <w:gridSpan w:val="2"/>
            <w:tcBorders>
              <w:bottom w:val="single" w:sz="4" w:space="0" w:color="D9D9D9"/>
            </w:tcBorders>
            <w:hideMark/>
          </w:tcPr>
          <w:p w:rsidR="0069372A" w:rsidRPr="00D52FE0" w:rsidRDefault="0069372A" w:rsidP="0069372A">
            <w:pPr>
              <w:pStyle w:val="zahltab"/>
            </w:pPr>
            <w:r w:rsidRPr="00D52FE0">
              <w:t>Percentuálne zľavy zo sadzieb mýta pre jednotlivé kategórie vozidiel</w:t>
            </w:r>
          </w:p>
        </w:tc>
      </w:tr>
      <w:tr w:rsidR="0069372A" w:rsidRPr="00D52FE0" w:rsidTr="0069372A">
        <w:trPr>
          <w:trHeight w:val="699"/>
        </w:trPr>
        <w:tc>
          <w:tcPr>
            <w:tcW w:w="1446" w:type="pct"/>
            <w:vMerge/>
            <w:tcBorders>
              <w:bottom w:val="single" w:sz="4" w:space="0" w:color="D9D9D9"/>
            </w:tcBorders>
            <w:noWrap/>
            <w:hideMark/>
          </w:tcPr>
          <w:p w:rsidR="0069372A" w:rsidRPr="00D52FE0" w:rsidRDefault="0069372A" w:rsidP="0069372A">
            <w:pPr>
              <w:pStyle w:val="zahltab"/>
              <w:rPr>
                <w:bCs/>
                <w:color w:val="000000"/>
              </w:rPr>
            </w:pPr>
          </w:p>
        </w:tc>
        <w:tc>
          <w:tcPr>
            <w:tcW w:w="1657" w:type="pct"/>
            <w:tcBorders>
              <w:bottom w:val="single" w:sz="4" w:space="0" w:color="D9D9D9"/>
            </w:tcBorders>
            <w:shd w:val="clear" w:color="auto" w:fill="7F7F7F" w:themeFill="text1" w:themeFillTint="80"/>
            <w:hideMark/>
          </w:tcPr>
          <w:p w:rsidR="0069372A" w:rsidRPr="00D52FE0" w:rsidRDefault="0069372A" w:rsidP="0069372A">
            <w:pPr>
              <w:pStyle w:val="zahltab"/>
            </w:pPr>
            <w:r w:rsidRPr="00D52FE0">
              <w:t>Nákladné vozidlá do 12 000 kg</w:t>
            </w:r>
          </w:p>
        </w:tc>
        <w:tc>
          <w:tcPr>
            <w:tcW w:w="1897" w:type="pct"/>
            <w:tcBorders>
              <w:bottom w:val="single" w:sz="4" w:space="0" w:color="D9D9D9"/>
            </w:tcBorders>
            <w:shd w:val="clear" w:color="auto" w:fill="7F7F7F" w:themeFill="text1" w:themeFillTint="80"/>
            <w:hideMark/>
          </w:tcPr>
          <w:p w:rsidR="0069372A" w:rsidRPr="00D52FE0" w:rsidRDefault="0069372A" w:rsidP="0069372A">
            <w:pPr>
              <w:pStyle w:val="zahltab"/>
            </w:pPr>
            <w:r w:rsidRPr="00D52FE0">
              <w:t xml:space="preserve">Nákladné vozidlá 12 000 kg a viac </w:t>
            </w:r>
          </w:p>
        </w:tc>
      </w:tr>
      <w:tr w:rsidR="00165036" w:rsidRPr="00D52FE0" w:rsidTr="0069372A">
        <w:trPr>
          <w:trHeight w:val="300"/>
        </w:trPr>
        <w:tc>
          <w:tcPr>
            <w:tcW w:w="1446" w:type="pct"/>
            <w:noWrap/>
            <w:hideMark/>
          </w:tcPr>
          <w:p w:rsidR="00165036" w:rsidRPr="00D52FE0" w:rsidRDefault="00165036" w:rsidP="009044BA">
            <w:pPr>
              <w:spacing w:after="0" w:line="240" w:lineRule="auto"/>
              <w:rPr>
                <w:rFonts w:cstheme="minorHAnsi"/>
                <w:color w:val="000000"/>
                <w:lang w:eastAsia="sk-SK"/>
              </w:rPr>
            </w:pPr>
            <w:r w:rsidRPr="00D52FE0">
              <w:rPr>
                <w:rFonts w:cstheme="minorHAnsi"/>
                <w:color w:val="000000"/>
                <w:lang w:eastAsia="sk-SK"/>
              </w:rPr>
              <w:t>nad 5 000 km</w:t>
            </w:r>
          </w:p>
        </w:tc>
        <w:tc>
          <w:tcPr>
            <w:tcW w:w="165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3%</w:t>
            </w:r>
          </w:p>
        </w:tc>
        <w:tc>
          <w:tcPr>
            <w:tcW w:w="1897" w:type="pct"/>
            <w:noWrap/>
            <w:hideMark/>
          </w:tcPr>
          <w:p w:rsidR="00165036" w:rsidRPr="00D52FE0" w:rsidRDefault="00165036" w:rsidP="009044BA">
            <w:pPr>
              <w:spacing w:after="0" w:line="240" w:lineRule="auto"/>
              <w:jc w:val="center"/>
              <w:rPr>
                <w:rFonts w:cstheme="minorHAnsi"/>
                <w:color w:val="000000"/>
                <w:lang w:eastAsia="sk-SK"/>
              </w:rPr>
            </w:pPr>
            <w:r w:rsidRPr="008D27BE">
              <w:rPr>
                <w:rFonts w:cstheme="minorHAnsi"/>
                <w:color w:val="000000"/>
                <w:lang w:eastAsia="sk-SK"/>
              </w:rPr>
              <w:t>-</w:t>
            </w:r>
            <w:r w:rsidRPr="00D52FE0">
              <w:rPr>
                <w:rFonts w:cstheme="minorHAnsi"/>
                <w:color w:val="000000"/>
                <w:lang w:eastAsia="sk-SK"/>
              </w:rPr>
              <w:t> </w:t>
            </w:r>
          </w:p>
        </w:tc>
      </w:tr>
      <w:tr w:rsidR="00165036" w:rsidRPr="00D52FE0" w:rsidTr="0069372A">
        <w:trPr>
          <w:trHeight w:val="300"/>
        </w:trPr>
        <w:tc>
          <w:tcPr>
            <w:tcW w:w="1446" w:type="pct"/>
            <w:noWrap/>
            <w:hideMark/>
          </w:tcPr>
          <w:p w:rsidR="00165036" w:rsidRPr="00D52FE0" w:rsidRDefault="00165036" w:rsidP="009044BA">
            <w:pPr>
              <w:spacing w:after="0" w:line="240" w:lineRule="auto"/>
              <w:rPr>
                <w:rFonts w:cstheme="minorHAnsi"/>
                <w:color w:val="000000"/>
                <w:lang w:eastAsia="sk-SK"/>
              </w:rPr>
            </w:pPr>
            <w:r w:rsidRPr="00D52FE0">
              <w:rPr>
                <w:rFonts w:cstheme="minorHAnsi"/>
                <w:color w:val="000000"/>
                <w:lang w:eastAsia="sk-SK"/>
              </w:rPr>
              <w:t>nad 10 0000 km</w:t>
            </w:r>
          </w:p>
        </w:tc>
        <w:tc>
          <w:tcPr>
            <w:tcW w:w="165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5%</w:t>
            </w:r>
          </w:p>
        </w:tc>
        <w:tc>
          <w:tcPr>
            <w:tcW w:w="189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3%</w:t>
            </w:r>
          </w:p>
        </w:tc>
      </w:tr>
      <w:tr w:rsidR="00165036" w:rsidRPr="00D52FE0" w:rsidTr="0069372A">
        <w:trPr>
          <w:trHeight w:val="300"/>
        </w:trPr>
        <w:tc>
          <w:tcPr>
            <w:tcW w:w="1446" w:type="pct"/>
            <w:noWrap/>
            <w:hideMark/>
          </w:tcPr>
          <w:p w:rsidR="00165036" w:rsidRPr="00D52FE0" w:rsidRDefault="00165036" w:rsidP="009044BA">
            <w:pPr>
              <w:spacing w:after="0" w:line="240" w:lineRule="auto"/>
              <w:rPr>
                <w:rFonts w:cstheme="minorHAnsi"/>
                <w:color w:val="000000"/>
                <w:lang w:eastAsia="sk-SK"/>
              </w:rPr>
            </w:pPr>
            <w:r w:rsidRPr="00D52FE0">
              <w:rPr>
                <w:rFonts w:cstheme="minorHAnsi"/>
                <w:color w:val="000000"/>
                <w:lang w:eastAsia="sk-SK"/>
              </w:rPr>
              <w:t>nad 20 000 km</w:t>
            </w:r>
          </w:p>
        </w:tc>
        <w:tc>
          <w:tcPr>
            <w:tcW w:w="165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7%</w:t>
            </w:r>
          </w:p>
        </w:tc>
        <w:tc>
          <w:tcPr>
            <w:tcW w:w="189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5%</w:t>
            </w:r>
          </w:p>
        </w:tc>
      </w:tr>
      <w:tr w:rsidR="00165036" w:rsidRPr="00D52FE0" w:rsidTr="0069372A">
        <w:trPr>
          <w:trHeight w:val="300"/>
        </w:trPr>
        <w:tc>
          <w:tcPr>
            <w:tcW w:w="1446" w:type="pct"/>
            <w:noWrap/>
            <w:hideMark/>
          </w:tcPr>
          <w:p w:rsidR="00165036" w:rsidRPr="00D52FE0" w:rsidRDefault="00165036" w:rsidP="009044BA">
            <w:pPr>
              <w:spacing w:after="0" w:line="240" w:lineRule="auto"/>
              <w:rPr>
                <w:rFonts w:cstheme="minorHAnsi"/>
                <w:color w:val="000000"/>
                <w:lang w:eastAsia="sk-SK"/>
              </w:rPr>
            </w:pPr>
            <w:r w:rsidRPr="00D52FE0">
              <w:rPr>
                <w:rFonts w:cstheme="minorHAnsi"/>
                <w:color w:val="000000"/>
                <w:lang w:eastAsia="sk-SK"/>
              </w:rPr>
              <w:t>nad 30 000 km</w:t>
            </w:r>
          </w:p>
        </w:tc>
        <w:tc>
          <w:tcPr>
            <w:tcW w:w="165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9%</w:t>
            </w:r>
          </w:p>
        </w:tc>
        <w:tc>
          <w:tcPr>
            <w:tcW w:w="189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7%</w:t>
            </w:r>
          </w:p>
        </w:tc>
      </w:tr>
      <w:tr w:rsidR="00165036" w:rsidRPr="00D52FE0" w:rsidTr="0069372A">
        <w:trPr>
          <w:trHeight w:val="300"/>
        </w:trPr>
        <w:tc>
          <w:tcPr>
            <w:tcW w:w="1446" w:type="pct"/>
            <w:noWrap/>
            <w:hideMark/>
          </w:tcPr>
          <w:p w:rsidR="00165036" w:rsidRPr="00D52FE0" w:rsidRDefault="00165036" w:rsidP="009044BA">
            <w:pPr>
              <w:spacing w:after="0" w:line="240" w:lineRule="auto"/>
              <w:rPr>
                <w:rFonts w:cstheme="minorHAnsi"/>
                <w:color w:val="000000"/>
                <w:lang w:eastAsia="sk-SK"/>
              </w:rPr>
            </w:pPr>
            <w:r w:rsidRPr="00D52FE0">
              <w:rPr>
                <w:rFonts w:cstheme="minorHAnsi"/>
                <w:color w:val="000000"/>
                <w:lang w:eastAsia="sk-SK"/>
              </w:rPr>
              <w:t xml:space="preserve">nad 50 000 km </w:t>
            </w:r>
          </w:p>
        </w:tc>
        <w:tc>
          <w:tcPr>
            <w:tcW w:w="165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11%</w:t>
            </w:r>
          </w:p>
        </w:tc>
        <w:tc>
          <w:tcPr>
            <w:tcW w:w="1897" w:type="pct"/>
            <w:noWrap/>
            <w:hideMark/>
          </w:tcPr>
          <w:p w:rsidR="00165036" w:rsidRPr="00D52FE0" w:rsidRDefault="00165036" w:rsidP="009044BA">
            <w:pPr>
              <w:spacing w:after="0" w:line="240" w:lineRule="auto"/>
              <w:jc w:val="center"/>
              <w:rPr>
                <w:rFonts w:cstheme="minorHAnsi"/>
                <w:color w:val="000000"/>
                <w:lang w:eastAsia="sk-SK"/>
              </w:rPr>
            </w:pPr>
            <w:r w:rsidRPr="00D52FE0">
              <w:rPr>
                <w:rFonts w:cstheme="minorHAnsi"/>
                <w:color w:val="000000"/>
                <w:lang w:eastAsia="sk-SK"/>
              </w:rPr>
              <w:t>9%</w:t>
            </w:r>
          </w:p>
        </w:tc>
      </w:tr>
    </w:tbl>
    <w:p w:rsidR="00165036" w:rsidRPr="008D27BE" w:rsidRDefault="00165036" w:rsidP="00165036">
      <w:pPr>
        <w:spacing w:line="240" w:lineRule="auto"/>
        <w:rPr>
          <w:rFonts w:cstheme="minorHAnsi"/>
          <w:shd w:val="clear" w:color="auto" w:fill="FFFFFF"/>
        </w:rPr>
      </w:pPr>
    </w:p>
    <w:p w:rsidR="00165036" w:rsidRPr="0069372A" w:rsidRDefault="00165036" w:rsidP="0069372A">
      <w:pPr>
        <w:rPr>
          <w:rFonts w:cstheme="minorHAnsi"/>
          <w:shd w:val="clear" w:color="auto" w:fill="FFFFFF"/>
        </w:rPr>
      </w:pPr>
      <w:r w:rsidRPr="0069372A">
        <w:rPr>
          <w:rFonts w:cstheme="minorHAnsi"/>
          <w:shd w:val="clear" w:color="auto" w:fill="FFFFFF"/>
        </w:rPr>
        <w:t>V problematike poskytovania zliav z mýta dôjde k výraznejšej zmene od 1. júla 2020</w:t>
      </w:r>
      <w:r w:rsidR="0069372A">
        <w:rPr>
          <w:rFonts w:cstheme="minorHAnsi"/>
          <w:shd w:val="clear" w:color="auto" w:fill="FFFFFF"/>
        </w:rPr>
        <w:t xml:space="preserve"> nadobudnutím účinnosti </w:t>
      </w:r>
      <w:r w:rsidR="0069372A" w:rsidRPr="0069372A">
        <w:rPr>
          <w:rFonts w:cstheme="minorHAnsi"/>
          <w:shd w:val="clear" w:color="auto" w:fill="FFFFFF"/>
        </w:rPr>
        <w:t>Nariadeni</w:t>
      </w:r>
      <w:r w:rsidR="0069372A">
        <w:rPr>
          <w:rFonts w:cstheme="minorHAnsi"/>
          <w:shd w:val="clear" w:color="auto" w:fill="FFFFFF"/>
        </w:rPr>
        <w:t>a</w:t>
      </w:r>
      <w:r w:rsidR="0069372A" w:rsidRPr="0069372A">
        <w:rPr>
          <w:rFonts w:cstheme="minorHAnsi"/>
          <w:shd w:val="clear" w:color="auto" w:fill="FFFFFF"/>
        </w:rPr>
        <w:t xml:space="preserve"> vlády SR</w:t>
      </w:r>
      <w:r w:rsidR="0069372A">
        <w:rPr>
          <w:rFonts w:cstheme="minorHAnsi"/>
          <w:shd w:val="clear" w:color="auto" w:fill="FFFFFF"/>
        </w:rPr>
        <w:t xml:space="preserve"> č. </w:t>
      </w:r>
      <w:r w:rsidR="0069372A" w:rsidRPr="0069372A">
        <w:rPr>
          <w:rFonts w:cstheme="minorHAnsi"/>
          <w:shd w:val="clear" w:color="auto" w:fill="FFFFFF"/>
        </w:rPr>
        <w:t>22/2020 Z. z., ktorým sa mení nariadenie vlády SR č. 497/2013 Z. z., ktorým sa ustanovuje spôsob výpočtu mýta, výška sadzby mýta a systém zliav zo sadzieb mýta za užívanie vymedzených úsekov  pozemných komunikácií v znení neskorších predpisov</w:t>
      </w:r>
      <w:r w:rsidR="0069372A">
        <w:rPr>
          <w:rFonts w:cstheme="minorHAnsi"/>
          <w:shd w:val="clear" w:color="auto" w:fill="FFFFFF"/>
        </w:rPr>
        <w:t xml:space="preserve">. </w:t>
      </w:r>
      <w:r w:rsidRPr="0069372A">
        <w:rPr>
          <w:rFonts w:cstheme="minorHAnsi"/>
          <w:shd w:val="clear" w:color="auto" w:fill="FFFFFF"/>
        </w:rPr>
        <w:t>Percentuálna zľava sa  bude poskytovať  na celé množstvo najazdených kilometrov od prvého najazdeného kilometra v kalendárnom roku.</w:t>
      </w:r>
      <w:r w:rsidR="0069372A">
        <w:rPr>
          <w:rFonts w:cstheme="minorHAnsi"/>
          <w:shd w:val="clear" w:color="auto" w:fill="FFFFFF"/>
        </w:rPr>
        <w:t xml:space="preserve"> </w:t>
      </w:r>
    </w:p>
    <w:p w:rsidR="00165036" w:rsidRPr="008D27BE" w:rsidRDefault="00165036" w:rsidP="0069372A">
      <w:pPr>
        <w:rPr>
          <w:rFonts w:cstheme="minorHAnsi"/>
          <w:iCs/>
          <w:shd w:val="clear" w:color="auto" w:fill="FFFFFF"/>
        </w:rPr>
      </w:pPr>
      <w:r w:rsidRPr="008D27BE">
        <w:rPr>
          <w:rFonts w:cstheme="minorHAnsi"/>
          <w:iCs/>
          <w:shd w:val="clear" w:color="auto" w:fill="FFFFFF"/>
        </w:rPr>
        <w:t>Percentuálna zľava za kilometre najazdené v období od 1. januára 2020 do 30. júna 2020 sa bude poskytovať podľa predpisov účinných do 30. júna 2020. Pre určenie výšky percentuálnej zľavy od 1. júla 2020 sa započítavajú aj kilometre najazdené v období od 1. januára 2020 do 30. júna 2020.</w:t>
      </w:r>
    </w:p>
    <w:p w:rsidR="00165036" w:rsidRDefault="00165036" w:rsidP="00165036">
      <w:pPr>
        <w:spacing w:line="240" w:lineRule="auto"/>
        <w:rPr>
          <w:rFonts w:cstheme="minorHAnsi"/>
          <w:iCs/>
          <w:shd w:val="clear" w:color="auto" w:fill="FFFFFF"/>
        </w:rPr>
      </w:pPr>
      <w:r w:rsidRPr="0069372A">
        <w:rPr>
          <w:rFonts w:cstheme="minorHAnsi"/>
          <w:iCs/>
          <w:shd w:val="clear" w:color="auto" w:fill="FFFFFF"/>
        </w:rPr>
        <w:t>Zmena v poskytovaní zliav z mýta, účinná od 1. júla 2020, bola v Z.z. publikovaná 6. februára 2020</w:t>
      </w:r>
      <w:r w:rsidR="0069372A">
        <w:rPr>
          <w:rFonts w:cstheme="minorHAnsi"/>
          <w:iCs/>
          <w:shd w:val="clear" w:color="auto" w:fill="FFFFFF"/>
        </w:rPr>
        <w:t xml:space="preserve"> ako výsledok rokovaní s Úniou autodopravcov Slovenska.  </w:t>
      </w:r>
      <w:r w:rsidRPr="0069372A">
        <w:rPr>
          <w:rFonts w:cstheme="minorHAnsi"/>
          <w:iCs/>
          <w:shd w:val="clear" w:color="auto" w:fill="FFFFFF"/>
        </w:rPr>
        <w:t xml:space="preserve">  </w:t>
      </w:r>
    </w:p>
    <w:p w:rsidR="00886D07" w:rsidRDefault="00886D07" w:rsidP="00165036">
      <w:pPr>
        <w:spacing w:line="240" w:lineRule="auto"/>
        <w:rPr>
          <w:rFonts w:cstheme="minorHAnsi"/>
          <w:iCs/>
          <w:shd w:val="clear" w:color="auto" w:fill="FFFFFF"/>
        </w:rPr>
      </w:pPr>
    </w:p>
    <w:p w:rsidR="00886D07" w:rsidRDefault="00886D07" w:rsidP="00165036">
      <w:pPr>
        <w:spacing w:line="240" w:lineRule="auto"/>
        <w:rPr>
          <w:rFonts w:cstheme="minorHAnsi"/>
          <w:iCs/>
          <w:shd w:val="clear" w:color="auto" w:fill="FFFFFF"/>
        </w:rPr>
      </w:pPr>
    </w:p>
    <w:p w:rsidR="0087373C" w:rsidRDefault="009D58D5" w:rsidP="0087373C">
      <w:pPr>
        <w:pStyle w:val="Nadpis1"/>
      </w:pPr>
      <w:bookmarkStart w:id="342" w:name="_Toc36664421"/>
      <w:r>
        <w:t>Návrh o</w:t>
      </w:r>
      <w:r w:rsidR="0087373C" w:rsidRPr="0087373C">
        <w:t>patren</w:t>
      </w:r>
      <w:r>
        <w:t>í</w:t>
      </w:r>
      <w:r w:rsidR="0087373C" w:rsidRPr="0087373C">
        <w:t xml:space="preserve"> na zvýšenie efektívnosti elektronického výberu mýta v SR</w:t>
      </w:r>
      <w:bookmarkEnd w:id="342"/>
      <w:r w:rsidR="0087373C" w:rsidRPr="0087373C">
        <w:t xml:space="preserve"> </w:t>
      </w:r>
    </w:p>
    <w:p w:rsidR="00226A39" w:rsidRDefault="006B442C" w:rsidP="006B442C">
      <w:pPr>
        <w:pStyle w:val="Nadpis2"/>
      </w:pPr>
      <w:bookmarkStart w:id="343" w:name="_Toc33213331"/>
      <w:bookmarkStart w:id="344" w:name="_Toc33214501"/>
      <w:bookmarkStart w:id="345" w:name="_Toc33215077"/>
      <w:bookmarkStart w:id="346" w:name="_Toc33553365"/>
      <w:bookmarkStart w:id="347" w:name="_Toc33554490"/>
      <w:bookmarkStart w:id="348" w:name="_Toc33554607"/>
      <w:bookmarkStart w:id="349" w:name="_Toc33554717"/>
      <w:bookmarkStart w:id="350" w:name="_Toc33554827"/>
      <w:bookmarkStart w:id="351" w:name="_Toc33784610"/>
      <w:bookmarkStart w:id="352" w:name="_Toc33213332"/>
      <w:bookmarkStart w:id="353" w:name="_Toc33214502"/>
      <w:bookmarkStart w:id="354" w:name="_Toc33215078"/>
      <w:bookmarkStart w:id="355" w:name="_Toc33553366"/>
      <w:bookmarkStart w:id="356" w:name="_Toc33554491"/>
      <w:bookmarkStart w:id="357" w:name="_Toc33554608"/>
      <w:bookmarkStart w:id="358" w:name="_Toc33554718"/>
      <w:bookmarkStart w:id="359" w:name="_Toc33554828"/>
      <w:bookmarkStart w:id="360" w:name="_Toc33784611"/>
      <w:bookmarkStart w:id="361" w:name="_Toc33213335"/>
      <w:bookmarkStart w:id="362" w:name="_Toc33214505"/>
      <w:bookmarkStart w:id="363" w:name="_Toc33215081"/>
      <w:bookmarkStart w:id="364" w:name="_Toc33553369"/>
      <w:bookmarkStart w:id="365" w:name="_Toc33554494"/>
      <w:bookmarkStart w:id="366" w:name="_Toc33554611"/>
      <w:bookmarkStart w:id="367" w:name="_Toc33554721"/>
      <w:bookmarkStart w:id="368" w:name="_Toc33554831"/>
      <w:bookmarkStart w:id="369" w:name="_Toc33784614"/>
      <w:bookmarkStart w:id="370" w:name="_Toc33213337"/>
      <w:bookmarkStart w:id="371" w:name="_Toc33214507"/>
      <w:bookmarkStart w:id="372" w:name="_Toc33215083"/>
      <w:bookmarkStart w:id="373" w:name="_Toc33553371"/>
      <w:bookmarkStart w:id="374" w:name="_Toc33554496"/>
      <w:bookmarkStart w:id="375" w:name="_Toc33554613"/>
      <w:bookmarkStart w:id="376" w:name="_Toc33554723"/>
      <w:bookmarkStart w:id="377" w:name="_Toc33554833"/>
      <w:bookmarkStart w:id="378" w:name="_Toc33784616"/>
      <w:bookmarkStart w:id="379" w:name="_Toc33213338"/>
      <w:bookmarkStart w:id="380" w:name="_Toc33214508"/>
      <w:bookmarkStart w:id="381" w:name="_Toc33215084"/>
      <w:bookmarkStart w:id="382" w:name="_Toc33553372"/>
      <w:bookmarkStart w:id="383" w:name="_Toc33554497"/>
      <w:bookmarkStart w:id="384" w:name="_Toc33554614"/>
      <w:bookmarkStart w:id="385" w:name="_Toc33554724"/>
      <w:bookmarkStart w:id="386" w:name="_Toc33554834"/>
      <w:bookmarkStart w:id="387" w:name="_Toc33784617"/>
      <w:bookmarkStart w:id="388" w:name="_Toc33213339"/>
      <w:bookmarkStart w:id="389" w:name="_Toc33214509"/>
      <w:bookmarkStart w:id="390" w:name="_Toc33215085"/>
      <w:bookmarkStart w:id="391" w:name="_Toc33553373"/>
      <w:bookmarkStart w:id="392" w:name="_Toc33554498"/>
      <w:bookmarkStart w:id="393" w:name="_Toc33554615"/>
      <w:bookmarkStart w:id="394" w:name="_Toc33554725"/>
      <w:bookmarkStart w:id="395" w:name="_Toc33554835"/>
      <w:bookmarkStart w:id="396" w:name="_Toc33784618"/>
      <w:bookmarkStart w:id="397" w:name="_Toc33213342"/>
      <w:bookmarkStart w:id="398" w:name="_Toc33214512"/>
      <w:bookmarkStart w:id="399" w:name="_Toc33215088"/>
      <w:bookmarkStart w:id="400" w:name="_Toc33553376"/>
      <w:bookmarkStart w:id="401" w:name="_Toc33554501"/>
      <w:bookmarkStart w:id="402" w:name="_Toc33554618"/>
      <w:bookmarkStart w:id="403" w:name="_Toc33554728"/>
      <w:bookmarkStart w:id="404" w:name="_Toc33554838"/>
      <w:bookmarkStart w:id="405" w:name="_Toc33784621"/>
      <w:bookmarkStart w:id="406" w:name="_Toc33213343"/>
      <w:bookmarkStart w:id="407" w:name="_Toc33214513"/>
      <w:bookmarkStart w:id="408" w:name="_Toc33215089"/>
      <w:bookmarkStart w:id="409" w:name="_Toc33553377"/>
      <w:bookmarkStart w:id="410" w:name="_Toc33554502"/>
      <w:bookmarkStart w:id="411" w:name="_Toc33554619"/>
      <w:bookmarkStart w:id="412" w:name="_Toc33554729"/>
      <w:bookmarkStart w:id="413" w:name="_Toc33554839"/>
      <w:bookmarkStart w:id="414" w:name="_Toc33784622"/>
      <w:bookmarkStart w:id="415" w:name="_Toc33213349"/>
      <w:bookmarkStart w:id="416" w:name="_Toc33214519"/>
      <w:bookmarkStart w:id="417" w:name="_Toc33215095"/>
      <w:bookmarkStart w:id="418" w:name="_Toc33553383"/>
      <w:bookmarkStart w:id="419" w:name="_Toc33554508"/>
      <w:bookmarkStart w:id="420" w:name="_Toc33554625"/>
      <w:bookmarkStart w:id="421" w:name="_Toc33554735"/>
      <w:bookmarkStart w:id="422" w:name="_Toc33554845"/>
      <w:bookmarkStart w:id="423" w:name="_Toc33784628"/>
      <w:bookmarkStart w:id="424" w:name="_Toc33213353"/>
      <w:bookmarkStart w:id="425" w:name="_Toc33214523"/>
      <w:bookmarkStart w:id="426" w:name="_Toc33215099"/>
      <w:bookmarkStart w:id="427" w:name="_Toc33553387"/>
      <w:bookmarkStart w:id="428" w:name="_Toc33554512"/>
      <w:bookmarkStart w:id="429" w:name="_Toc33554629"/>
      <w:bookmarkStart w:id="430" w:name="_Toc33554739"/>
      <w:bookmarkStart w:id="431" w:name="_Toc33554849"/>
      <w:bookmarkStart w:id="432" w:name="_Toc33784632"/>
      <w:bookmarkStart w:id="433" w:name="_Toc33213354"/>
      <w:bookmarkStart w:id="434" w:name="_Toc33214524"/>
      <w:bookmarkStart w:id="435" w:name="_Toc33215100"/>
      <w:bookmarkStart w:id="436" w:name="_Toc33553388"/>
      <w:bookmarkStart w:id="437" w:name="_Toc33554513"/>
      <w:bookmarkStart w:id="438" w:name="_Toc33554630"/>
      <w:bookmarkStart w:id="439" w:name="_Toc33554740"/>
      <w:bookmarkStart w:id="440" w:name="_Toc33554850"/>
      <w:bookmarkStart w:id="441" w:name="_Toc33784633"/>
      <w:bookmarkStart w:id="442" w:name="_Toc33213355"/>
      <w:bookmarkStart w:id="443" w:name="_Toc33214525"/>
      <w:bookmarkStart w:id="444" w:name="_Toc33215101"/>
      <w:bookmarkStart w:id="445" w:name="_Toc33553389"/>
      <w:bookmarkStart w:id="446" w:name="_Toc33554514"/>
      <w:bookmarkStart w:id="447" w:name="_Toc33554631"/>
      <w:bookmarkStart w:id="448" w:name="_Toc33554741"/>
      <w:bookmarkStart w:id="449" w:name="_Toc33554851"/>
      <w:bookmarkStart w:id="450" w:name="_Toc33784634"/>
      <w:bookmarkStart w:id="451" w:name="_Toc33213356"/>
      <w:bookmarkStart w:id="452" w:name="_Toc33214526"/>
      <w:bookmarkStart w:id="453" w:name="_Toc33215102"/>
      <w:bookmarkStart w:id="454" w:name="_Toc33553390"/>
      <w:bookmarkStart w:id="455" w:name="_Toc33554515"/>
      <w:bookmarkStart w:id="456" w:name="_Toc33554632"/>
      <w:bookmarkStart w:id="457" w:name="_Toc33554742"/>
      <w:bookmarkStart w:id="458" w:name="_Toc33554852"/>
      <w:bookmarkStart w:id="459" w:name="_Toc33784635"/>
      <w:bookmarkStart w:id="460" w:name="_Toc33213357"/>
      <w:bookmarkStart w:id="461" w:name="_Toc33214527"/>
      <w:bookmarkStart w:id="462" w:name="_Toc33215103"/>
      <w:bookmarkStart w:id="463" w:name="_Toc33553391"/>
      <w:bookmarkStart w:id="464" w:name="_Toc33554516"/>
      <w:bookmarkStart w:id="465" w:name="_Toc33554633"/>
      <w:bookmarkStart w:id="466" w:name="_Toc33554743"/>
      <w:bookmarkStart w:id="467" w:name="_Toc33554853"/>
      <w:bookmarkStart w:id="468" w:name="_Toc33784636"/>
      <w:bookmarkStart w:id="469" w:name="_Toc36664422"/>
      <w:bookmarkEnd w:id="29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r>
        <w:t>T</w:t>
      </w:r>
      <w:r w:rsidR="0042220A">
        <w:t xml:space="preserve">eoretická výška výnosov EMS </w:t>
      </w:r>
      <w:r w:rsidR="00FF6FE9">
        <w:t xml:space="preserve">SR </w:t>
      </w:r>
      <w:r>
        <w:t>podľa zahraničných modelov efektívnosti</w:t>
      </w:r>
      <w:bookmarkEnd w:id="469"/>
      <w:r>
        <w:t xml:space="preserve"> </w:t>
      </w:r>
    </w:p>
    <w:p w:rsidR="00964F22" w:rsidRPr="00964F22" w:rsidRDefault="00964F22" w:rsidP="00964F22">
      <w:pPr>
        <w:pStyle w:val="Normaltext"/>
        <w:spacing w:line="276" w:lineRule="auto"/>
      </w:pPr>
      <w:r>
        <w:t>Za účelom dosiahnutia zahraničnej efektívnosti slovenského EMS vypočítal riešiteľský kolektív výšku teoretických ročných výnosov systému pri zachovaní súčasných nákladov systému podľa nasledujúceho vzťahu:</w:t>
      </w:r>
    </w:p>
    <w:p w:rsidR="00F1269D" w:rsidRDefault="00C40D3F" w:rsidP="00F1269D">
      <w:pPr>
        <w:pStyle w:val="Normaltext"/>
        <w:spacing w:line="276" w:lineRule="auto"/>
        <w:jc w:val="center"/>
      </w:pPr>
      <m:oMathPara>
        <m:oMath>
          <m:sSub>
            <m:sSubPr>
              <m:ctrlPr>
                <w:rPr>
                  <w:rFonts w:ascii="Cambria Math" w:hAnsi="Cambria Math"/>
                  <w:b/>
                  <w:i/>
                </w:rPr>
              </m:ctrlPr>
            </m:sSubPr>
            <m:e>
              <m:r>
                <m:rPr>
                  <m:sty m:val="bi"/>
                </m:rPr>
                <w:rPr>
                  <w:rFonts w:ascii="Cambria Math" w:hAnsi="Cambria Math"/>
                </w:rPr>
                <m:t>teoretické výnosy</m:t>
              </m:r>
            </m:e>
            <m:sub>
              <m:r>
                <m:rPr>
                  <m:sty m:val="bi"/>
                </m:rPr>
                <w:rPr>
                  <w:rFonts w:ascii="Cambria Math" w:hAnsi="Cambria Math"/>
                </w:rPr>
                <m:t>sr</m:t>
              </m:r>
            </m:sub>
          </m:sSub>
          <m:r>
            <m:rPr>
              <m:sty m:val="bi"/>
            </m:rP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skutočné náklady</m:t>
                  </m:r>
                </m:e>
                <m:sub>
                  <m:r>
                    <w:rPr>
                      <w:rFonts w:ascii="Cambria Math" w:hAnsi="Cambria Math"/>
                    </w:rPr>
                    <m:t>SR</m:t>
                  </m:r>
                </m:sub>
              </m:sSub>
              <m:r>
                <w:rPr>
                  <w:rFonts w:ascii="Cambria Math" w:hAnsi="Cambria Math"/>
                </w:rPr>
                <m:t xml:space="preserve"> × </m:t>
              </m:r>
              <m:sSub>
                <m:sSubPr>
                  <m:ctrlPr>
                    <w:rPr>
                      <w:rFonts w:ascii="Cambria Math" w:hAnsi="Cambria Math"/>
                      <w:i/>
                    </w:rPr>
                  </m:ctrlPr>
                </m:sSubPr>
                <m:e>
                  <m:r>
                    <w:rPr>
                      <w:rFonts w:ascii="Cambria Math" w:hAnsi="Cambria Math"/>
                    </w:rPr>
                    <m:t>skutočné výnosy</m:t>
                  </m:r>
                </m:e>
                <m:sub>
                  <m:r>
                    <w:rPr>
                      <w:rFonts w:ascii="Cambria Math" w:hAnsi="Cambria Math"/>
                    </w:rPr>
                    <m:t>DE , ČR,  AT, PL</m:t>
                  </m:r>
                </m:sub>
              </m:sSub>
              <m:r>
                <w:rPr>
                  <w:rFonts w:ascii="Cambria Math" w:hAnsi="Cambria Math"/>
                </w:rPr>
                <m:t xml:space="preserve"> </m:t>
              </m:r>
            </m:num>
            <m:den>
              <m:sSub>
                <m:sSubPr>
                  <m:ctrlPr>
                    <w:rPr>
                      <w:rFonts w:ascii="Cambria Math" w:hAnsi="Cambria Math"/>
                      <w:i/>
                    </w:rPr>
                  </m:ctrlPr>
                </m:sSubPr>
                <m:e>
                  <m:r>
                    <w:rPr>
                      <w:rFonts w:ascii="Cambria Math" w:hAnsi="Cambria Math"/>
                    </w:rPr>
                    <m:t>skutočné náklady</m:t>
                  </m:r>
                </m:e>
                <m:sub>
                  <m:r>
                    <w:rPr>
                      <w:rFonts w:ascii="Cambria Math" w:hAnsi="Cambria Math"/>
                    </w:rPr>
                    <m:t>DE, ČR, AT, PL</m:t>
                  </m:r>
                </m:sub>
              </m:sSub>
            </m:den>
          </m:f>
        </m:oMath>
      </m:oMathPara>
    </w:p>
    <w:p w:rsidR="00964F22" w:rsidRDefault="00964F22" w:rsidP="00E7475A">
      <w:pPr>
        <w:pStyle w:val="Normaltext"/>
      </w:pPr>
    </w:p>
    <w:p w:rsidR="00E7475A" w:rsidRDefault="00964F22" w:rsidP="00622464">
      <w:pPr>
        <w:pStyle w:val="Normaltext"/>
        <w:spacing w:line="276" w:lineRule="auto"/>
      </w:pPr>
      <w:r>
        <w:t>Vypočítanú úroveň teoretických výnosov systému EMS v jednotlivých rokoch prevádzky systému znázorňuje nasledujúci graf (</w:t>
      </w:r>
      <w:r w:rsidR="00AE5B8A">
        <w:fldChar w:fldCharType="begin"/>
      </w:r>
      <w:r>
        <w:instrText xml:space="preserve"> REF _Ref24014451 \h </w:instrText>
      </w:r>
      <w:r w:rsidR="00AE5B8A">
        <w:fldChar w:fldCharType="separate"/>
      </w:r>
      <w:r w:rsidR="001E4C1C">
        <w:t xml:space="preserve">Obr. </w:t>
      </w:r>
      <w:r w:rsidR="001E4C1C">
        <w:rPr>
          <w:noProof/>
        </w:rPr>
        <w:t>4</w:t>
      </w:r>
      <w:r w:rsidR="001E4C1C">
        <w:noBreakHyphen/>
      </w:r>
      <w:r w:rsidR="001E4C1C">
        <w:rPr>
          <w:noProof/>
        </w:rPr>
        <w:t>1</w:t>
      </w:r>
      <w:r w:rsidR="00AE5B8A">
        <w:fldChar w:fldCharType="end"/>
      </w:r>
      <w:r>
        <w:t>). Priemerná ročná teoretická výška výnosov EMS SR pri skutočných nákladoch systému podľa údajov SkyToll, a.s.</w:t>
      </w:r>
      <w:r w:rsidR="00622464">
        <w:t xml:space="preserve"> je zobrazená na obrázku (</w:t>
      </w:r>
      <w:r w:rsidR="00AE5B8A">
        <w:fldChar w:fldCharType="begin"/>
      </w:r>
      <w:r w:rsidR="00622464">
        <w:instrText xml:space="preserve"> REF _Ref24014564 \h </w:instrText>
      </w:r>
      <w:r w:rsidR="00AE5B8A">
        <w:fldChar w:fldCharType="separate"/>
      </w:r>
      <w:r w:rsidR="001E4C1C">
        <w:t xml:space="preserve">Obr. </w:t>
      </w:r>
      <w:r w:rsidR="001E4C1C">
        <w:rPr>
          <w:noProof/>
        </w:rPr>
        <w:t>4</w:t>
      </w:r>
      <w:r w:rsidR="001E4C1C">
        <w:noBreakHyphen/>
      </w:r>
      <w:r w:rsidR="001E4C1C">
        <w:rPr>
          <w:noProof/>
        </w:rPr>
        <w:t>2</w:t>
      </w:r>
      <w:r w:rsidR="00AE5B8A">
        <w:fldChar w:fldCharType="end"/>
      </w:r>
      <w:r w:rsidR="00622464">
        <w:t xml:space="preserve">). Vzhľadom na to, že priemerná ročná efektívnosť systému ETC v Poľsku je nižšia ako na Slovensku </w:t>
      </w:r>
      <w:r w:rsidR="00E85785">
        <w:t xml:space="preserve">sú </w:t>
      </w:r>
      <w:r w:rsidR="00622464">
        <w:t>na obrázku (</w:t>
      </w:r>
      <w:r w:rsidR="00AE5B8A">
        <w:fldChar w:fldCharType="begin"/>
      </w:r>
      <w:r w:rsidR="00622464">
        <w:instrText xml:space="preserve"> REF _Ref24014564 \h </w:instrText>
      </w:r>
      <w:r w:rsidR="00AE5B8A">
        <w:fldChar w:fldCharType="separate"/>
      </w:r>
      <w:r w:rsidR="001E4C1C">
        <w:t xml:space="preserve">Obr. </w:t>
      </w:r>
      <w:r w:rsidR="001E4C1C">
        <w:rPr>
          <w:noProof/>
        </w:rPr>
        <w:t>4</w:t>
      </w:r>
      <w:r w:rsidR="001E4C1C">
        <w:noBreakHyphen/>
      </w:r>
      <w:r w:rsidR="001E4C1C">
        <w:rPr>
          <w:noProof/>
        </w:rPr>
        <w:t>2</w:t>
      </w:r>
      <w:r w:rsidR="00AE5B8A">
        <w:fldChar w:fldCharType="end"/>
      </w:r>
      <w:r w:rsidR="00622464">
        <w:t xml:space="preserve">) uvádzané len teoretické výnosy EMS SR pri efektívnosti systémov ETC v Nemecku, Českej Republike a Rakúsku. </w:t>
      </w:r>
    </w:p>
    <w:p w:rsidR="00FD1D68" w:rsidRDefault="00622464" w:rsidP="00622464">
      <w:pPr>
        <w:pStyle w:val="Normaltext"/>
        <w:spacing w:line="276" w:lineRule="auto"/>
      </w:pPr>
      <w:r>
        <w:t>Vzhľadom na odlišné dopravné parametre (sieť, intenzita) jednotlivých systémov ETC vrátane súvisiacich finančných ukazovateľov (výnosy, náklady), ktoré ovplyvňujú celkovú efektívnosť systémov, riešiteľský kolektív realizoval radu výpočtov teoretických výnosov a nákladov systému pri intenzitách vozidiel a dĺžke siete rovnakej ako v zahraničí. Výsledky teoretických výnosov po prepočítaní na skutočné náklady systému EMS vychádzali rovnaké ako uvádzajú nasledujúce obrázky (</w:t>
      </w:r>
      <w:r w:rsidR="00AE5B8A">
        <w:fldChar w:fldCharType="begin"/>
      </w:r>
      <w:r>
        <w:instrText xml:space="preserve"> REF _Ref24014451 \h </w:instrText>
      </w:r>
      <w:r w:rsidR="00AE5B8A">
        <w:fldChar w:fldCharType="separate"/>
      </w:r>
      <w:r w:rsidR="001E4C1C">
        <w:t xml:space="preserve">Obr. </w:t>
      </w:r>
      <w:r w:rsidR="001E4C1C">
        <w:rPr>
          <w:noProof/>
        </w:rPr>
        <w:t>4</w:t>
      </w:r>
      <w:r w:rsidR="001E4C1C">
        <w:noBreakHyphen/>
      </w:r>
      <w:r w:rsidR="001E4C1C">
        <w:rPr>
          <w:noProof/>
        </w:rPr>
        <w:t>1</w:t>
      </w:r>
      <w:r w:rsidR="00AE5B8A">
        <w:fldChar w:fldCharType="end"/>
      </w:r>
      <w:r>
        <w:t xml:space="preserve"> a </w:t>
      </w:r>
      <w:r w:rsidR="00AE5B8A">
        <w:fldChar w:fldCharType="begin"/>
      </w:r>
      <w:r>
        <w:instrText xml:space="preserve"> REF _Ref24014564 \h </w:instrText>
      </w:r>
      <w:r w:rsidR="00AE5B8A">
        <w:fldChar w:fldCharType="separate"/>
      </w:r>
      <w:r w:rsidR="001E4C1C">
        <w:t xml:space="preserve">Obr. </w:t>
      </w:r>
      <w:r w:rsidR="001E4C1C">
        <w:rPr>
          <w:noProof/>
        </w:rPr>
        <w:t>4</w:t>
      </w:r>
      <w:r w:rsidR="001E4C1C">
        <w:noBreakHyphen/>
      </w:r>
      <w:r w:rsidR="001E4C1C">
        <w:rPr>
          <w:noProof/>
        </w:rPr>
        <w:t>2</w:t>
      </w:r>
      <w:r w:rsidR="00AE5B8A">
        <w:fldChar w:fldCharType="end"/>
      </w:r>
      <w:r>
        <w:t xml:space="preserve">). </w:t>
      </w:r>
    </w:p>
    <w:p w:rsidR="00E8349B" w:rsidRPr="00E8349B" w:rsidRDefault="00E8349B" w:rsidP="00E8349B">
      <w:pPr>
        <w:pStyle w:val="Normaltext"/>
      </w:pPr>
      <w:r w:rsidRPr="00E8349B">
        <w:rPr>
          <w:noProof/>
          <w:lang w:eastAsia="sk-SK"/>
        </w:rPr>
        <w:drawing>
          <wp:inline distT="0" distB="0" distL="0" distR="0">
            <wp:extent cx="5940078" cy="2826327"/>
            <wp:effectExtent l="19050" t="0" r="22572" b="0"/>
            <wp:docPr id="3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E8349B" w:rsidRDefault="00E8349B" w:rsidP="00E8349B">
      <w:pPr>
        <w:pStyle w:val="Popis"/>
      </w:pPr>
      <w:bookmarkStart w:id="470" w:name="_Toc36664555"/>
      <w:r>
        <w:t xml:space="preserve">Obr. </w:t>
      </w:r>
      <w:r w:rsidR="00C40D3F">
        <w:fldChar w:fldCharType="begin"/>
      </w:r>
      <w:r w:rsidR="00C40D3F">
        <w:instrText xml:space="preserve"> STYLEREF 1 \s </w:instrText>
      </w:r>
      <w:r w:rsidR="00C40D3F">
        <w:fldChar w:fldCharType="separate"/>
      </w:r>
      <w:r w:rsidR="00D61B89">
        <w:rPr>
          <w:noProof/>
        </w:rPr>
        <w:t>4</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1</w:t>
      </w:r>
      <w:r w:rsidR="00C40D3F">
        <w:rPr>
          <w:noProof/>
        </w:rPr>
        <w:fldChar w:fldCharType="end"/>
      </w:r>
      <w:r>
        <w:tab/>
        <w:t>Teoretická výška výnosov systému ETC v SR pri skutočných nákladoch systému (NDS, a.s.) – zahraničný model efektívnosti</w:t>
      </w:r>
      <w:bookmarkEnd w:id="470"/>
    </w:p>
    <w:p w:rsidR="00FF6FE9" w:rsidRDefault="00FF6FE9" w:rsidP="00FF6FE9">
      <w:pPr>
        <w:pStyle w:val="Normaltext"/>
      </w:pPr>
    </w:p>
    <w:p w:rsidR="009A182E" w:rsidRDefault="009A182E" w:rsidP="009A182E">
      <w:pPr>
        <w:pStyle w:val="Normaltext"/>
      </w:pPr>
      <w:r w:rsidRPr="009A182E">
        <w:rPr>
          <w:noProof/>
          <w:lang w:eastAsia="sk-SK"/>
        </w:rPr>
        <w:drawing>
          <wp:inline distT="0" distB="0" distL="0" distR="0">
            <wp:extent cx="5943888" cy="2375065"/>
            <wp:effectExtent l="19050" t="0" r="18762" b="6185"/>
            <wp:docPr id="4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E90588" w:rsidRDefault="00E90588" w:rsidP="00E90588">
      <w:pPr>
        <w:pStyle w:val="Popis"/>
      </w:pPr>
      <w:bookmarkStart w:id="471" w:name="_Toc36664556"/>
      <w:r>
        <w:t xml:space="preserve">Obr. </w:t>
      </w:r>
      <w:r w:rsidR="00C40D3F">
        <w:fldChar w:fldCharType="begin"/>
      </w:r>
      <w:r w:rsidR="00C40D3F">
        <w:instrText xml:space="preserve"> STYLEREF 1 \s </w:instrText>
      </w:r>
      <w:r w:rsidR="00C40D3F">
        <w:fldChar w:fldCharType="separate"/>
      </w:r>
      <w:r w:rsidR="00D61B89">
        <w:rPr>
          <w:noProof/>
        </w:rPr>
        <w:t>4</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2</w:t>
      </w:r>
      <w:r w:rsidR="00C40D3F">
        <w:rPr>
          <w:noProof/>
        </w:rPr>
        <w:fldChar w:fldCharType="end"/>
      </w:r>
      <w:r>
        <w:t xml:space="preserve"> Priemerná ročná teoretická výška výnosov systému EMS SR pri skutočných nákladoch systému (NDS, a.s.) – zahraničný model efektívnosti</w:t>
      </w:r>
      <w:bookmarkEnd w:id="471"/>
    </w:p>
    <w:p w:rsidR="00DE3BD4" w:rsidRDefault="00BA4C87" w:rsidP="0042220A">
      <w:pPr>
        <w:pStyle w:val="Nadpis2"/>
      </w:pPr>
      <w:bookmarkStart w:id="472" w:name="_Toc36664423"/>
      <w:r>
        <w:t>Možnosti</w:t>
      </w:r>
      <w:r w:rsidR="00A22C97">
        <w:t xml:space="preserve"> zvýšenia </w:t>
      </w:r>
      <w:r w:rsidR="0042220A">
        <w:t>výnosnosti</w:t>
      </w:r>
      <w:r w:rsidR="00A22C97">
        <w:t xml:space="preserve"> </w:t>
      </w:r>
      <w:r w:rsidR="0042220A">
        <w:t>EMS</w:t>
      </w:r>
      <w:r w:rsidR="008A40F4">
        <w:t xml:space="preserve"> SR</w:t>
      </w:r>
      <w:bookmarkEnd w:id="472"/>
    </w:p>
    <w:p w:rsidR="00FD1D68" w:rsidRDefault="0087373C" w:rsidP="0042220A">
      <w:pPr>
        <w:pStyle w:val="Nadpis3"/>
      </w:pPr>
      <w:bookmarkStart w:id="473" w:name="_Toc36664424"/>
      <w:r>
        <w:t>Rozšírenie</w:t>
      </w:r>
      <w:r w:rsidR="00706919">
        <w:t xml:space="preserve"> dĺžky spoplatnených úsekov ciest</w:t>
      </w:r>
      <w:r w:rsidR="007E3FE3">
        <w:t xml:space="preserve"> nenulovou sadzbou</w:t>
      </w:r>
      <w:bookmarkEnd w:id="473"/>
    </w:p>
    <w:p w:rsidR="00D91A69" w:rsidRDefault="00D91A69" w:rsidP="00D91A69">
      <w:pPr>
        <w:pStyle w:val="Odsekzoznamu"/>
        <w:ind w:left="0"/>
      </w:pPr>
      <w:r>
        <w:t xml:space="preserve">Celkovú dĺžku spoplatnených úsekov diaľnic a ciest je možné zvýšiť buď aktívnym alebo pasívnym prístupom, ktorý závisí od vládnych priorít. Ak má štát záujem zvýšiť bezpečnosť cestnej dopravy,  ekologizovať ju odľahčením obývaných oblastí a zvýšiť jej plynulosť, stavia diaľnice a rýchlostné cesty, ktoré tieto priority zabezpečia. V opačnom prípade využije pasívny prístup a zavedie mýto pre nespoplatnené, už existujúce úseky ciest. </w:t>
      </w:r>
    </w:p>
    <w:p w:rsidR="00692434" w:rsidRDefault="00692434" w:rsidP="00720503">
      <w:pPr>
        <w:pStyle w:val="Normaltext"/>
        <w:spacing w:line="276" w:lineRule="auto"/>
      </w:pPr>
      <w:r>
        <w:t xml:space="preserve">Riešiteľ realizoval výpočet potenciálnych výnosov zo spoplatnenia v súčasnosti nespoplatnených </w:t>
      </w:r>
      <w:r w:rsidR="00720503">
        <w:t xml:space="preserve">úsekov diaľnic, rýchlostných ciest a ciest I. triedy. Spoplatnenie ciest II. a III. triedy, ktoré patria medzi vymedzené, </w:t>
      </w:r>
      <w:r w:rsidR="00B060F7">
        <w:t>avšak</w:t>
      </w:r>
      <w:r w:rsidR="00720503">
        <w:t xml:space="preserve"> nespoplatnené úseky EMS SR</w:t>
      </w:r>
      <w:r w:rsidR="00B060F7">
        <w:t>,</w:t>
      </w:r>
      <w:r w:rsidR="00720503">
        <w:t xml:space="preserve"> nie je vo výpočtoch potenciálnych výnosov systému uvažované. </w:t>
      </w:r>
      <w:r w:rsidR="00CD7008" w:rsidRPr="00BD0DED">
        <w:t xml:space="preserve">Ich </w:t>
      </w:r>
      <w:r w:rsidR="0064156E">
        <w:t xml:space="preserve">aktuálne </w:t>
      </w:r>
      <w:r w:rsidR="00CD7008" w:rsidRPr="00BD0DED">
        <w:t xml:space="preserve">pokrytie mýtnym systémom predstavuje najmä nepeňažný benefit štátu dopravno-inžinierského charakteru, avšak neprodukujúci výnos mýtneho systému. </w:t>
      </w:r>
    </w:p>
    <w:p w:rsidR="005D1BF6" w:rsidRDefault="005D1BF6" w:rsidP="00720503">
      <w:pPr>
        <w:pStyle w:val="Normaltext"/>
        <w:spacing w:line="276" w:lineRule="auto"/>
      </w:pPr>
      <w:r w:rsidRPr="005D1BF6">
        <w:rPr>
          <w:b/>
        </w:rPr>
        <w:t xml:space="preserve">Podľa výpočtov môžu celkové príjmy mýtneho systému po spoplatnení všetkých </w:t>
      </w:r>
      <w:r>
        <w:rPr>
          <w:b/>
        </w:rPr>
        <w:t xml:space="preserve">v súčasnosti nespoplatnených úsekov </w:t>
      </w:r>
      <w:r w:rsidRPr="005D1BF6">
        <w:rPr>
          <w:b/>
        </w:rPr>
        <w:t xml:space="preserve">diaľnic, rýchlostných ciest a ciest I. triedy vrátane intravilánov </w:t>
      </w:r>
      <w:r w:rsidR="002E352D">
        <w:rPr>
          <w:b/>
        </w:rPr>
        <w:t xml:space="preserve">v celkovej dĺžke 1696,93 km </w:t>
      </w:r>
      <w:r w:rsidRPr="005D1BF6">
        <w:rPr>
          <w:b/>
        </w:rPr>
        <w:t xml:space="preserve">dosiahnuť </w:t>
      </w:r>
      <w:r w:rsidRPr="00A80CD7">
        <w:rPr>
          <w:b/>
        </w:rPr>
        <w:t xml:space="preserve">spolu </w:t>
      </w:r>
      <w:r w:rsidR="0076259D" w:rsidRPr="00A80CD7">
        <w:rPr>
          <w:b/>
        </w:rPr>
        <w:t>56,</w:t>
      </w:r>
      <w:r w:rsidR="00332DD7">
        <w:rPr>
          <w:b/>
        </w:rPr>
        <w:t>06</w:t>
      </w:r>
      <w:r w:rsidR="00A80CD7" w:rsidRPr="00A80CD7">
        <w:rPr>
          <w:b/>
        </w:rPr>
        <w:t xml:space="preserve"> </w:t>
      </w:r>
      <w:r w:rsidR="00D216BF" w:rsidRPr="00A80CD7">
        <w:rPr>
          <w:b/>
        </w:rPr>
        <w:t>mil.</w:t>
      </w:r>
      <w:r w:rsidR="00B76262" w:rsidRPr="00A80CD7">
        <w:rPr>
          <w:b/>
        </w:rPr>
        <w:t> </w:t>
      </w:r>
      <w:r w:rsidR="00D216BF" w:rsidRPr="00A80CD7">
        <w:rPr>
          <w:b/>
        </w:rPr>
        <w:t xml:space="preserve">€, </w:t>
      </w:r>
      <w:r w:rsidRPr="00A80CD7">
        <w:rPr>
          <w:b/>
        </w:rPr>
        <w:t xml:space="preserve">čo predstavuje </w:t>
      </w:r>
      <w:r w:rsidR="00A80CD7" w:rsidRPr="00A80CD7">
        <w:rPr>
          <w:b/>
        </w:rPr>
        <w:t>26,</w:t>
      </w:r>
      <w:r w:rsidR="00332DD7">
        <w:rPr>
          <w:b/>
        </w:rPr>
        <w:t>27</w:t>
      </w:r>
      <w:r w:rsidR="00A80CD7">
        <w:rPr>
          <w:b/>
        </w:rPr>
        <w:t xml:space="preserve">%-ný nárast tržieb </w:t>
      </w:r>
      <w:r w:rsidR="00D216BF" w:rsidRPr="00A80CD7">
        <w:rPr>
          <w:b/>
        </w:rPr>
        <w:t>oproti tržbám v</w:t>
      </w:r>
      <w:r w:rsidRPr="00A80CD7">
        <w:rPr>
          <w:b/>
        </w:rPr>
        <w:t xml:space="preserve"> roku 2018.</w:t>
      </w:r>
    </w:p>
    <w:p w:rsidR="00797826" w:rsidRDefault="00797826" w:rsidP="00797826">
      <w:pPr>
        <w:pStyle w:val="Odsekzoznamu"/>
        <w:ind w:left="0"/>
        <w:contextualSpacing w:val="0"/>
      </w:pPr>
      <w:r>
        <w:t xml:space="preserve">V ďalšom texte sú prezentované výsledky výpočtov potenciálnych ročných výnosov zo spoplatnenia v súčasnosti nespoplatnených úsekov diaľnic, rýchlostných ciest a ciest I. triedy vrátane intravilánov. </w:t>
      </w:r>
    </w:p>
    <w:p w:rsidR="003D0983" w:rsidRPr="003D0983" w:rsidRDefault="00FB0069" w:rsidP="003D0983">
      <w:pPr>
        <w:pStyle w:val="Nadpis4"/>
      </w:pPr>
      <w:bookmarkStart w:id="474" w:name="_Toc36664425"/>
      <w:r>
        <w:t>S</w:t>
      </w:r>
      <w:r w:rsidR="003D0983">
        <w:t>poplatnenie diaľnic a rýchlostných ciest</w:t>
      </w:r>
      <w:bookmarkEnd w:id="474"/>
    </w:p>
    <w:p w:rsidR="0010748C" w:rsidRDefault="001070C6" w:rsidP="00C6673E">
      <w:r>
        <w:t>V </w:t>
      </w:r>
      <w:r w:rsidR="00C25D1C">
        <w:t>súčasnosti</w:t>
      </w:r>
      <w:r>
        <w:t xml:space="preserve"> sú</w:t>
      </w:r>
      <w:r w:rsidR="00C25D1C">
        <w:t xml:space="preserve"> </w:t>
      </w:r>
      <w:r w:rsidR="00D60CF9">
        <w:t xml:space="preserve">zo siete spoplatnených úsekov </w:t>
      </w:r>
      <w:r w:rsidR="00C25D1C">
        <w:t xml:space="preserve">existujúcich </w:t>
      </w:r>
      <w:r>
        <w:t xml:space="preserve">diaľnic a rýchlostných ciest </w:t>
      </w:r>
      <w:r w:rsidR="00D60CF9">
        <w:t>vylúčené úseky v celkovej dĺžk</w:t>
      </w:r>
      <w:r w:rsidR="007E3FE3">
        <w:t>e</w:t>
      </w:r>
      <w:r w:rsidR="00D60CF9">
        <w:t xml:space="preserve"> </w:t>
      </w:r>
      <w:r w:rsidR="00300ED8">
        <w:t xml:space="preserve">32,931 </w:t>
      </w:r>
      <w:r w:rsidR="00D60CF9">
        <w:t>km</w:t>
      </w:r>
      <w:r w:rsidR="003D0983">
        <w:t xml:space="preserve"> prechádzajúce </w:t>
      </w:r>
      <w:r w:rsidR="003D0983" w:rsidRPr="00300ED8">
        <w:t>intravilánom Bratislavy</w:t>
      </w:r>
      <w:r w:rsidR="00300ED8" w:rsidRPr="00300ED8">
        <w:t xml:space="preserve"> </w:t>
      </w:r>
      <w:r w:rsidR="003D0983" w:rsidRPr="00300ED8">
        <w:t>a Banskej Bystrice.</w:t>
      </w:r>
      <w:r w:rsidR="003D0983">
        <w:t xml:space="preserve"> </w:t>
      </w:r>
      <w:r w:rsidR="003A39A0">
        <w:t xml:space="preserve">Intenzity </w:t>
      </w:r>
      <w:r w:rsidR="0010748C">
        <w:t xml:space="preserve">povinných vozidiel na týchto úsekoch </w:t>
      </w:r>
      <w:r w:rsidR="003A39A0">
        <w:t>vysoko prevyšujú priemer intenzít na celej spoplatnenej sieti EMS v SR, predovšetkým úseky diaľnic a rýchlostných ciest v Bratislave (</w:t>
      </w:r>
      <w:r w:rsidR="00AE5B8A">
        <w:fldChar w:fldCharType="begin"/>
      </w:r>
      <w:r w:rsidR="003A39A0">
        <w:instrText xml:space="preserve"> REF _Ref23231989 \h </w:instrText>
      </w:r>
      <w:r w:rsidR="00AE5B8A">
        <w:fldChar w:fldCharType="separate"/>
      </w:r>
      <w:r w:rsidR="001E4C1C">
        <w:t xml:space="preserve">Tab.  </w:t>
      </w:r>
      <w:r w:rsidR="001E4C1C">
        <w:rPr>
          <w:noProof/>
        </w:rPr>
        <w:t>4</w:t>
      </w:r>
      <w:r w:rsidR="001E4C1C">
        <w:noBreakHyphen/>
      </w:r>
      <w:r w:rsidR="001E4C1C">
        <w:rPr>
          <w:noProof/>
        </w:rPr>
        <w:t>1</w:t>
      </w:r>
      <w:r w:rsidR="00AE5B8A">
        <w:fldChar w:fldCharType="end"/>
      </w:r>
      <w:r w:rsidR="003A39A0">
        <w:t>).</w:t>
      </w:r>
      <w:r w:rsidR="00F3048B">
        <w:t xml:space="preserve"> </w:t>
      </w:r>
      <w:r w:rsidR="00C4268C">
        <w:t xml:space="preserve">Spoplatnenie intravilánových úsekov diaľnic a rýchlostných ciest je </w:t>
      </w:r>
      <w:r w:rsidR="00F3048B">
        <w:t>v Európe štandardne uplatňované.</w:t>
      </w:r>
    </w:p>
    <w:p w:rsidR="00AC5020" w:rsidRDefault="006E5454" w:rsidP="00AC5020">
      <w:pPr>
        <w:pStyle w:val="Odsekzoznamu"/>
        <w:ind w:left="0"/>
        <w:contextualSpacing w:val="0"/>
      </w:pPr>
      <w:r>
        <w:t>P</w:t>
      </w:r>
      <w:r w:rsidR="00A57684">
        <w:t>otenciáln</w:t>
      </w:r>
      <w:r>
        <w:t>e</w:t>
      </w:r>
      <w:r w:rsidR="001070C6">
        <w:t xml:space="preserve"> výnos</w:t>
      </w:r>
      <w:r>
        <w:t>y</w:t>
      </w:r>
      <w:r w:rsidR="001070C6">
        <w:t xml:space="preserve"> </w:t>
      </w:r>
      <w:r w:rsidR="00A57684">
        <w:t xml:space="preserve">systému </w:t>
      </w:r>
      <w:r w:rsidR="001070C6">
        <w:t>zo spoplatnenia týchto úsekov</w:t>
      </w:r>
      <w:r w:rsidR="00A57684">
        <w:t xml:space="preserve"> diaľnic a rýchlostných ciest </w:t>
      </w:r>
      <w:r w:rsidR="001070C6">
        <w:t>nenulovou sadzbou riešiteľský kolektív</w:t>
      </w:r>
      <w:r w:rsidR="00A57684">
        <w:t xml:space="preserve"> vypočítal </w:t>
      </w:r>
      <w:r w:rsidR="003A39A0">
        <w:t>na základe</w:t>
      </w:r>
      <w:r w:rsidR="00A57684">
        <w:t xml:space="preserve"> </w:t>
      </w:r>
      <w:r w:rsidR="00730130">
        <w:t>dĺžky týchto úsekov</w:t>
      </w:r>
      <w:r w:rsidR="0010748C">
        <w:t xml:space="preserve"> a </w:t>
      </w:r>
      <w:r w:rsidR="00A57684">
        <w:t xml:space="preserve">denných intenzít  </w:t>
      </w:r>
      <w:r w:rsidR="00730130">
        <w:t xml:space="preserve">povinných vozidiel </w:t>
      </w:r>
      <w:r w:rsidR="0010748C">
        <w:t xml:space="preserve">podľa CSD 2015. </w:t>
      </w:r>
      <w:r w:rsidR="00730130">
        <w:t xml:space="preserve">Vzhľadom na to, že nie je známe kategorické zloženie povinných vozidiel v dopravnom prúde na týchto úsekoch, riešiteľ uvažoval so sadzbou mýta 0,181 €/km zodpovedajúcou sadzbe za </w:t>
      </w:r>
      <w:r w:rsidR="00730130" w:rsidRPr="001D1635">
        <w:t xml:space="preserve">nákladné vozidlá s hmotnosťou nad 12 ton s </w:t>
      </w:r>
      <w:r w:rsidR="00730130">
        <w:t>dvoma</w:t>
      </w:r>
      <w:r w:rsidR="00730130" w:rsidRPr="001D1635">
        <w:t xml:space="preserve"> nápravami</w:t>
      </w:r>
      <w:r w:rsidR="00730130">
        <w:t xml:space="preserve">, ktorých podiel na výnosoch EMS v SR je najvyšší zo všetkých povinných vozidiel </w:t>
      </w:r>
      <w:r w:rsidR="00730130" w:rsidRPr="00BF7615">
        <w:t>(</w:t>
      </w:r>
      <w:r w:rsidR="00BF7615" w:rsidRPr="00BF7615">
        <w:t>80,3</w:t>
      </w:r>
      <w:r w:rsidR="00730130" w:rsidRPr="00BF7615">
        <w:t xml:space="preserve"> %).</w:t>
      </w:r>
      <w:r w:rsidR="00730130">
        <w:t xml:space="preserve"> Uvažovaná je sadzba pre emisnú kategóriu EURO IV. </w:t>
      </w:r>
      <w:r w:rsidR="00C6673E" w:rsidRPr="003A39A0">
        <w:rPr>
          <w:b/>
        </w:rPr>
        <w:t xml:space="preserve">Výsledný odhad potenciálnych </w:t>
      </w:r>
      <w:r w:rsidR="003A39A0" w:rsidRPr="003A39A0">
        <w:rPr>
          <w:b/>
        </w:rPr>
        <w:t xml:space="preserve">ročných </w:t>
      </w:r>
      <w:r w:rsidR="00C6673E" w:rsidRPr="003A39A0">
        <w:rPr>
          <w:b/>
        </w:rPr>
        <w:t>výnosov zo spoplatnenia týchto úsekov</w:t>
      </w:r>
      <w:r w:rsidR="003A39A0" w:rsidRPr="003A39A0">
        <w:rPr>
          <w:b/>
        </w:rPr>
        <w:t xml:space="preserve"> </w:t>
      </w:r>
      <w:r w:rsidR="002E352D">
        <w:rPr>
          <w:b/>
        </w:rPr>
        <w:t xml:space="preserve">v celkovej dĺžke </w:t>
      </w:r>
      <w:r w:rsidR="002B6317">
        <w:rPr>
          <w:b/>
        </w:rPr>
        <w:t>32,931</w:t>
      </w:r>
      <w:r w:rsidR="002E352D">
        <w:rPr>
          <w:b/>
        </w:rPr>
        <w:t xml:space="preserve"> km </w:t>
      </w:r>
      <w:r w:rsidR="003A39A0" w:rsidRPr="003A39A0">
        <w:rPr>
          <w:b/>
        </w:rPr>
        <w:t>nenulovou sadzbou</w:t>
      </w:r>
      <w:r w:rsidR="00C6673E" w:rsidRPr="003A39A0">
        <w:rPr>
          <w:b/>
        </w:rPr>
        <w:t xml:space="preserve"> predstavuje </w:t>
      </w:r>
      <w:r w:rsidR="002B6317">
        <w:rPr>
          <w:b/>
        </w:rPr>
        <w:t>12</w:t>
      </w:r>
      <w:r w:rsidR="00A76B3C">
        <w:rPr>
          <w:b/>
        </w:rPr>
        <w:t>,5</w:t>
      </w:r>
      <w:r w:rsidR="002B6317">
        <w:rPr>
          <w:b/>
        </w:rPr>
        <w:t>1</w:t>
      </w:r>
      <w:r w:rsidR="00A76B3C">
        <w:rPr>
          <w:b/>
        </w:rPr>
        <w:t xml:space="preserve"> mil. </w:t>
      </w:r>
      <w:r w:rsidR="003A39A0" w:rsidRPr="003A39A0">
        <w:rPr>
          <w:b/>
        </w:rPr>
        <w:t>€</w:t>
      </w:r>
      <w:r w:rsidR="003A39A0">
        <w:rPr>
          <w:b/>
        </w:rPr>
        <w:t xml:space="preserve"> </w:t>
      </w:r>
      <w:r w:rsidR="003A39A0" w:rsidRPr="003A39A0">
        <w:t>(</w:t>
      </w:r>
      <w:r w:rsidR="00C40D3F">
        <w:fldChar w:fldCharType="begin"/>
      </w:r>
      <w:r w:rsidR="00C40D3F">
        <w:instrText xml:space="preserve"> REF _Ref23231989 \h  \* MERGEFORMAT </w:instrText>
      </w:r>
      <w:r w:rsidR="00C40D3F">
        <w:fldChar w:fldCharType="separate"/>
      </w:r>
      <w:r w:rsidR="001E4C1C">
        <w:t xml:space="preserve">Tab.  </w:t>
      </w:r>
      <w:r w:rsidR="001E4C1C">
        <w:rPr>
          <w:noProof/>
        </w:rPr>
        <w:t>4</w:t>
      </w:r>
      <w:r w:rsidR="001E4C1C">
        <w:rPr>
          <w:noProof/>
        </w:rPr>
        <w:noBreakHyphen/>
        <w:t>1</w:t>
      </w:r>
      <w:r w:rsidR="00C40D3F">
        <w:fldChar w:fldCharType="end"/>
      </w:r>
      <w:r w:rsidR="003A39A0" w:rsidRPr="003A39A0">
        <w:t>).</w:t>
      </w:r>
      <w:r w:rsidR="00332DD7">
        <w:t xml:space="preserve"> Pri použití vypočítanej priemernej sadzby 0,1545€/vkm by potenciálne ročné výnosy zo spoplatnenia intravilánových úsekov diaľnic a rýchlostných ciest dosiahli spolu 10,68 mil.</w:t>
      </w:r>
      <w:r w:rsidR="00383F58">
        <w:t> </w:t>
      </w:r>
      <w:r w:rsidR="00332DD7">
        <w:t xml:space="preserve">€. </w:t>
      </w:r>
    </w:p>
    <w:p w:rsidR="00AC5020" w:rsidRDefault="00AC5020" w:rsidP="00AC5020">
      <w:pPr>
        <w:pStyle w:val="tabstyl"/>
        <w:jc w:val="both"/>
      </w:pPr>
      <w:bookmarkStart w:id="475" w:name="_Ref23231989"/>
      <w:bookmarkStart w:id="476" w:name="_Toc36664502"/>
      <w:r>
        <w:t xml:space="preserve">Tab.  </w:t>
      </w:r>
      <w:r w:rsidR="00C40D3F">
        <w:fldChar w:fldCharType="begin"/>
      </w:r>
      <w:r w:rsidR="00C40D3F">
        <w:instrText xml:space="preserve"> S</w:instrText>
      </w:r>
      <w:r w:rsidR="00C40D3F">
        <w:instrText xml:space="preserve">TYLEREF 1 \s </w:instrText>
      </w:r>
      <w:r w:rsidR="00C40D3F">
        <w:fldChar w:fldCharType="separate"/>
      </w:r>
      <w:r w:rsidR="00AE19F9">
        <w:rPr>
          <w:noProof/>
        </w:rPr>
        <w:t>4</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1</w:t>
      </w:r>
      <w:r w:rsidR="00C40D3F">
        <w:rPr>
          <w:noProof/>
        </w:rPr>
        <w:fldChar w:fldCharType="end"/>
      </w:r>
      <w:bookmarkEnd w:id="475"/>
      <w:r>
        <w:t xml:space="preserve"> </w:t>
      </w:r>
      <w:r>
        <w:tab/>
        <w:t>Odhad potenciálnych ročných výnosov zo spoplatnenia nespoplatnených úsekov diaľnic a rýchlostných ciest v BA, KE a BB</w:t>
      </w:r>
      <w:bookmarkEnd w:id="476"/>
    </w:p>
    <w:tbl>
      <w:tblPr>
        <w:tblStyle w:val="tabulkaVUD"/>
        <w:tblW w:w="9411" w:type="dxa"/>
        <w:tblLook w:val="04A0" w:firstRow="1" w:lastRow="0" w:firstColumn="1" w:lastColumn="0" w:noHBand="0" w:noVBand="1"/>
      </w:tblPr>
      <w:tblGrid>
        <w:gridCol w:w="669"/>
        <w:gridCol w:w="2195"/>
        <w:gridCol w:w="2267"/>
        <w:gridCol w:w="993"/>
        <w:gridCol w:w="992"/>
        <w:gridCol w:w="159"/>
        <w:gridCol w:w="975"/>
        <w:gridCol w:w="1161"/>
      </w:tblGrid>
      <w:tr w:rsidR="00AC5020" w:rsidRPr="001D1635" w:rsidTr="00C902AE">
        <w:trPr>
          <w:cnfStyle w:val="100000000000" w:firstRow="1" w:lastRow="0" w:firstColumn="0" w:lastColumn="0" w:oddVBand="0" w:evenVBand="0" w:oddHBand="0" w:evenHBand="0" w:firstRowFirstColumn="0" w:firstRowLastColumn="0" w:lastRowFirstColumn="0" w:lastRowLastColumn="0"/>
          <w:trHeight w:val="323"/>
          <w:tblHeader/>
        </w:trPr>
        <w:tc>
          <w:tcPr>
            <w:tcW w:w="669" w:type="dxa"/>
            <w:vMerge w:val="restart"/>
            <w:hideMark/>
          </w:tcPr>
          <w:p w:rsidR="00AC5020" w:rsidRPr="001D1635" w:rsidRDefault="00AC5020" w:rsidP="00C902AE">
            <w:pPr>
              <w:pStyle w:val="zahltab"/>
            </w:pPr>
            <w:r>
              <w:t>D/RC</w:t>
            </w:r>
          </w:p>
        </w:tc>
        <w:tc>
          <w:tcPr>
            <w:tcW w:w="4462" w:type="dxa"/>
            <w:gridSpan w:val="2"/>
            <w:vMerge w:val="restart"/>
            <w:hideMark/>
          </w:tcPr>
          <w:p w:rsidR="00AC5020" w:rsidRPr="001D1635" w:rsidRDefault="00AC5020" w:rsidP="00C902AE">
            <w:pPr>
              <w:pStyle w:val="zahltab"/>
            </w:pPr>
            <w:r>
              <w:t>Ú</w:t>
            </w:r>
            <w:r w:rsidRPr="001D1635">
              <w:t>sek</w:t>
            </w:r>
          </w:p>
        </w:tc>
        <w:tc>
          <w:tcPr>
            <w:tcW w:w="993" w:type="dxa"/>
            <w:vMerge w:val="restart"/>
            <w:hideMark/>
          </w:tcPr>
          <w:p w:rsidR="00AC5020" w:rsidRPr="001D1635" w:rsidRDefault="00AC5020" w:rsidP="00C902AE">
            <w:pPr>
              <w:pStyle w:val="zahltab"/>
            </w:pPr>
            <w:r w:rsidRPr="001D1635">
              <w:t xml:space="preserve">Dĺžka </w:t>
            </w:r>
          </w:p>
          <w:p w:rsidR="00AC5020" w:rsidRPr="001D1635" w:rsidRDefault="00AC5020" w:rsidP="00C902AE">
            <w:pPr>
              <w:pStyle w:val="zahltab"/>
            </w:pPr>
            <w:r>
              <w:t>(k</w:t>
            </w:r>
            <w:r w:rsidRPr="001D1635">
              <w:t>m</w:t>
            </w:r>
            <w:r>
              <w:t>)</w:t>
            </w:r>
          </w:p>
        </w:tc>
        <w:tc>
          <w:tcPr>
            <w:tcW w:w="2126" w:type="dxa"/>
            <w:gridSpan w:val="3"/>
            <w:hideMark/>
          </w:tcPr>
          <w:p w:rsidR="00AC5020" w:rsidRPr="001D1635" w:rsidRDefault="00AC5020" w:rsidP="00C902AE">
            <w:pPr>
              <w:pStyle w:val="zahltab"/>
            </w:pPr>
            <w:r>
              <w:t>Intenzita</w:t>
            </w:r>
            <w:r w:rsidRPr="001D1635">
              <w:t xml:space="preserve"> (</w:t>
            </w:r>
            <w:r>
              <w:t xml:space="preserve">CSD </w:t>
            </w:r>
            <w:r w:rsidRPr="001D1635">
              <w:t>2015)</w:t>
            </w:r>
          </w:p>
        </w:tc>
        <w:tc>
          <w:tcPr>
            <w:tcW w:w="1161" w:type="dxa"/>
            <w:vMerge w:val="restart"/>
            <w:hideMark/>
          </w:tcPr>
          <w:p w:rsidR="00AC5020" w:rsidRDefault="00AC5020" w:rsidP="00C902AE">
            <w:pPr>
              <w:pStyle w:val="zahltab"/>
            </w:pPr>
            <w:r>
              <w:t>Výnos</w:t>
            </w:r>
          </w:p>
          <w:p w:rsidR="00AC5020" w:rsidRPr="001D1635" w:rsidRDefault="00AC5020" w:rsidP="00C902AE">
            <w:pPr>
              <w:pStyle w:val="zahltab"/>
            </w:pPr>
            <w:r>
              <w:t xml:space="preserve"> </w:t>
            </w:r>
            <w:r w:rsidRPr="001D1635">
              <w:t>€/ro</w:t>
            </w:r>
            <w:r>
              <w:t>k</w:t>
            </w:r>
          </w:p>
        </w:tc>
      </w:tr>
      <w:tr w:rsidR="00AC5020" w:rsidRPr="001D1635" w:rsidTr="00C902AE">
        <w:trPr>
          <w:cnfStyle w:val="100000000000" w:firstRow="1" w:lastRow="0" w:firstColumn="0" w:lastColumn="0" w:oddVBand="0" w:evenVBand="0" w:oddHBand="0" w:evenHBand="0" w:firstRowFirstColumn="0" w:firstRowLastColumn="0" w:lastRowFirstColumn="0" w:lastRowLastColumn="0"/>
          <w:trHeight w:val="275"/>
          <w:tblHeader/>
        </w:trPr>
        <w:tc>
          <w:tcPr>
            <w:tcW w:w="669" w:type="dxa"/>
            <w:vMerge/>
            <w:shd w:val="clear" w:color="auto" w:fill="7F7F7F" w:themeFill="text1" w:themeFillTint="80"/>
            <w:noWrap/>
            <w:hideMark/>
          </w:tcPr>
          <w:p w:rsidR="00AC5020" w:rsidRPr="001D1635" w:rsidRDefault="00AC5020" w:rsidP="00C902AE">
            <w:pPr>
              <w:pStyle w:val="zahltab"/>
            </w:pPr>
          </w:p>
        </w:tc>
        <w:tc>
          <w:tcPr>
            <w:tcW w:w="4462" w:type="dxa"/>
            <w:gridSpan w:val="2"/>
            <w:vMerge/>
            <w:shd w:val="clear" w:color="auto" w:fill="7F7F7F" w:themeFill="text1" w:themeFillTint="80"/>
            <w:noWrap/>
            <w:hideMark/>
          </w:tcPr>
          <w:p w:rsidR="00AC5020" w:rsidRPr="001D1635" w:rsidRDefault="00AC5020" w:rsidP="00C902AE">
            <w:pPr>
              <w:pStyle w:val="zahltab"/>
            </w:pPr>
          </w:p>
        </w:tc>
        <w:tc>
          <w:tcPr>
            <w:tcW w:w="993" w:type="dxa"/>
            <w:vMerge/>
            <w:shd w:val="clear" w:color="auto" w:fill="7F7F7F" w:themeFill="text1" w:themeFillTint="80"/>
            <w:noWrap/>
            <w:hideMark/>
          </w:tcPr>
          <w:p w:rsidR="00AC5020" w:rsidRPr="001D1635" w:rsidRDefault="00AC5020" w:rsidP="00C902AE">
            <w:pPr>
              <w:pStyle w:val="zahltab"/>
            </w:pPr>
          </w:p>
        </w:tc>
        <w:tc>
          <w:tcPr>
            <w:tcW w:w="1151" w:type="dxa"/>
            <w:gridSpan w:val="2"/>
            <w:shd w:val="clear" w:color="auto" w:fill="7F7F7F" w:themeFill="text1" w:themeFillTint="80"/>
            <w:noWrap/>
            <w:hideMark/>
          </w:tcPr>
          <w:p w:rsidR="00AC5020" w:rsidRPr="001D1635" w:rsidRDefault="00AC5020" w:rsidP="00C902AE">
            <w:pPr>
              <w:pStyle w:val="zahltab"/>
            </w:pPr>
            <w:r w:rsidRPr="001D1635">
              <w:t>RPDI</w:t>
            </w:r>
          </w:p>
        </w:tc>
        <w:tc>
          <w:tcPr>
            <w:tcW w:w="975" w:type="dxa"/>
            <w:shd w:val="clear" w:color="auto" w:fill="7F7F7F" w:themeFill="text1" w:themeFillTint="80"/>
            <w:noWrap/>
            <w:hideMark/>
          </w:tcPr>
          <w:p w:rsidR="00AC5020" w:rsidRPr="001D1635" w:rsidRDefault="00AC5020" w:rsidP="00C902AE">
            <w:pPr>
              <w:pStyle w:val="zahltab"/>
            </w:pPr>
            <w:r w:rsidRPr="001D1635">
              <w:t>voz/ročne</w:t>
            </w:r>
          </w:p>
        </w:tc>
        <w:tc>
          <w:tcPr>
            <w:tcW w:w="1161" w:type="dxa"/>
            <w:vMerge/>
            <w:shd w:val="clear" w:color="auto" w:fill="7F7F7F" w:themeFill="text1" w:themeFillTint="80"/>
            <w:noWrap/>
            <w:hideMark/>
          </w:tcPr>
          <w:p w:rsidR="00AC5020" w:rsidRPr="001D1635" w:rsidRDefault="00AC5020" w:rsidP="00C902AE">
            <w:pPr>
              <w:pStyle w:val="zahltab"/>
            </w:pPr>
          </w:p>
        </w:tc>
      </w:tr>
      <w:tr w:rsidR="00AC5020" w:rsidRPr="001D1635" w:rsidTr="00C902AE">
        <w:trPr>
          <w:trHeight w:val="269"/>
        </w:trPr>
        <w:tc>
          <w:tcPr>
            <w:tcW w:w="9411" w:type="dxa"/>
            <w:gridSpan w:val="8"/>
            <w:shd w:val="clear" w:color="auto" w:fill="BFBFBF" w:themeFill="background1" w:themeFillShade="BF"/>
            <w:noWrap/>
            <w:hideMark/>
          </w:tcPr>
          <w:p w:rsidR="00AC5020" w:rsidRPr="00B77408" w:rsidRDefault="00AC5020" w:rsidP="00C902AE">
            <w:pPr>
              <w:pStyle w:val="zahltab"/>
              <w:jc w:val="left"/>
              <w:rPr>
                <w:color w:val="auto"/>
              </w:rPr>
            </w:pPr>
            <w:r w:rsidRPr="00B77408">
              <w:rPr>
                <w:color w:val="auto"/>
              </w:rPr>
              <w:t>Diaľnice</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p>
        </w:tc>
        <w:tc>
          <w:tcPr>
            <w:tcW w:w="2195" w:type="dxa"/>
            <w:noWrap/>
            <w:hideMark/>
          </w:tcPr>
          <w:p w:rsidR="00AC5020" w:rsidRPr="001D1635" w:rsidRDefault="00AC5020" w:rsidP="00C902AE">
            <w:pPr>
              <w:pStyle w:val="tabbielystyl"/>
              <w:jc w:val="left"/>
            </w:pPr>
            <w:r w:rsidRPr="001D1635">
              <w:t>BA - Pečna</w:t>
            </w:r>
          </w:p>
        </w:tc>
        <w:tc>
          <w:tcPr>
            <w:tcW w:w="2267" w:type="dxa"/>
            <w:noWrap/>
            <w:hideMark/>
          </w:tcPr>
          <w:p w:rsidR="00AC5020" w:rsidRPr="001D1635" w:rsidRDefault="00AC5020" w:rsidP="00C902AE">
            <w:pPr>
              <w:pStyle w:val="tabbielystyl"/>
              <w:jc w:val="left"/>
            </w:pPr>
            <w:r w:rsidRPr="001D1635">
              <w:t>BA – Petržalka Príst</w:t>
            </w:r>
            <w:r>
              <w:t>.</w:t>
            </w:r>
            <w:r w:rsidRPr="001D1635">
              <w:t xml:space="preserve"> most</w:t>
            </w:r>
          </w:p>
        </w:tc>
        <w:tc>
          <w:tcPr>
            <w:tcW w:w="993" w:type="dxa"/>
            <w:noWrap/>
            <w:hideMark/>
          </w:tcPr>
          <w:p w:rsidR="00AC5020" w:rsidRPr="001D1635" w:rsidRDefault="00AC5020" w:rsidP="00C902AE">
            <w:pPr>
              <w:pStyle w:val="tabbielystyl"/>
            </w:pPr>
            <w:r w:rsidRPr="001D1635">
              <w:t>5,184</w:t>
            </w:r>
          </w:p>
        </w:tc>
        <w:tc>
          <w:tcPr>
            <w:tcW w:w="992" w:type="dxa"/>
            <w:noWrap/>
            <w:hideMark/>
          </w:tcPr>
          <w:p w:rsidR="00AC5020" w:rsidRPr="001D1635" w:rsidRDefault="00AC5020" w:rsidP="00C902AE">
            <w:pPr>
              <w:pStyle w:val="tabbielystyl"/>
            </w:pPr>
            <w:r w:rsidRPr="001D1635">
              <w:t>6757</w:t>
            </w:r>
          </w:p>
        </w:tc>
        <w:tc>
          <w:tcPr>
            <w:tcW w:w="1134" w:type="dxa"/>
            <w:gridSpan w:val="2"/>
            <w:noWrap/>
            <w:hideMark/>
          </w:tcPr>
          <w:p w:rsidR="00AC5020" w:rsidRPr="001D1635" w:rsidRDefault="00AC5020" w:rsidP="00C902AE">
            <w:pPr>
              <w:pStyle w:val="tabbielystyl"/>
            </w:pPr>
            <w:r w:rsidRPr="001D1635">
              <w:t>2 466 305</w:t>
            </w:r>
          </w:p>
        </w:tc>
        <w:tc>
          <w:tcPr>
            <w:tcW w:w="1161" w:type="dxa"/>
            <w:noWrap/>
            <w:hideMark/>
          </w:tcPr>
          <w:p w:rsidR="00AC5020" w:rsidRPr="00720CB6" w:rsidRDefault="00AC5020" w:rsidP="00C902AE">
            <w:pPr>
              <w:pStyle w:val="tabbielystyl"/>
              <w:rPr>
                <w:color w:val="000000"/>
              </w:rPr>
            </w:pPr>
            <w:r w:rsidRPr="00720CB6">
              <w:rPr>
                <w:color w:val="000000"/>
              </w:rPr>
              <w:t>2 314 144</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p>
        </w:tc>
        <w:tc>
          <w:tcPr>
            <w:tcW w:w="2195" w:type="dxa"/>
            <w:noWrap/>
            <w:hideMark/>
          </w:tcPr>
          <w:p w:rsidR="00AC5020" w:rsidRPr="001D1635" w:rsidRDefault="00AC5020" w:rsidP="00C902AE">
            <w:pPr>
              <w:pStyle w:val="tabbielystyl"/>
              <w:jc w:val="left"/>
            </w:pPr>
            <w:r w:rsidRPr="001D1635">
              <w:t>BA – Petržalka Príst</w:t>
            </w:r>
            <w:r>
              <w:t>.</w:t>
            </w:r>
            <w:r w:rsidRPr="001D1635">
              <w:t xml:space="preserve"> most</w:t>
            </w:r>
          </w:p>
        </w:tc>
        <w:tc>
          <w:tcPr>
            <w:tcW w:w="2267" w:type="dxa"/>
            <w:noWrap/>
            <w:hideMark/>
          </w:tcPr>
          <w:p w:rsidR="00AC5020" w:rsidRPr="001D1635" w:rsidRDefault="00AC5020" w:rsidP="00C902AE">
            <w:pPr>
              <w:pStyle w:val="tabbielystyl"/>
              <w:jc w:val="left"/>
            </w:pPr>
            <w:r w:rsidRPr="001D1635">
              <w:t>BA - Nivy</w:t>
            </w:r>
          </w:p>
        </w:tc>
        <w:tc>
          <w:tcPr>
            <w:tcW w:w="993" w:type="dxa"/>
            <w:noWrap/>
            <w:hideMark/>
          </w:tcPr>
          <w:p w:rsidR="00AC5020" w:rsidRPr="001D1635" w:rsidRDefault="00AC5020" w:rsidP="00C902AE">
            <w:pPr>
              <w:pStyle w:val="tabbielystyl"/>
            </w:pPr>
            <w:r w:rsidRPr="001D1635">
              <w:t>1,936</w:t>
            </w:r>
          </w:p>
        </w:tc>
        <w:tc>
          <w:tcPr>
            <w:tcW w:w="992" w:type="dxa"/>
            <w:noWrap/>
            <w:hideMark/>
          </w:tcPr>
          <w:p w:rsidR="00AC5020" w:rsidRPr="001D1635" w:rsidRDefault="00AC5020" w:rsidP="00C902AE">
            <w:pPr>
              <w:pStyle w:val="tabbielystyl"/>
            </w:pPr>
            <w:r w:rsidRPr="001D1635">
              <w:t>8032</w:t>
            </w:r>
          </w:p>
        </w:tc>
        <w:tc>
          <w:tcPr>
            <w:tcW w:w="1134" w:type="dxa"/>
            <w:gridSpan w:val="2"/>
            <w:noWrap/>
            <w:hideMark/>
          </w:tcPr>
          <w:p w:rsidR="00AC5020" w:rsidRPr="001D1635" w:rsidRDefault="00AC5020" w:rsidP="00C902AE">
            <w:pPr>
              <w:pStyle w:val="tabbielystyl"/>
            </w:pPr>
            <w:r w:rsidRPr="001D1635">
              <w:t>2 931 680</w:t>
            </w:r>
          </w:p>
        </w:tc>
        <w:tc>
          <w:tcPr>
            <w:tcW w:w="1161" w:type="dxa"/>
            <w:noWrap/>
            <w:hideMark/>
          </w:tcPr>
          <w:p w:rsidR="00AC5020" w:rsidRPr="00720CB6" w:rsidRDefault="00AC5020" w:rsidP="00C902AE">
            <w:pPr>
              <w:pStyle w:val="tabbielystyl"/>
              <w:rPr>
                <w:color w:val="000000"/>
              </w:rPr>
            </w:pPr>
            <w:r w:rsidRPr="00720CB6">
              <w:rPr>
                <w:color w:val="000000"/>
              </w:rPr>
              <w:t>1 027 308</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p>
        </w:tc>
        <w:tc>
          <w:tcPr>
            <w:tcW w:w="2195" w:type="dxa"/>
            <w:noWrap/>
            <w:hideMark/>
          </w:tcPr>
          <w:p w:rsidR="00AC5020" w:rsidRPr="001D1635" w:rsidRDefault="00AC5020" w:rsidP="00C902AE">
            <w:pPr>
              <w:pStyle w:val="tabbielystyl"/>
              <w:jc w:val="left"/>
            </w:pPr>
            <w:r w:rsidRPr="001D1635">
              <w:t>BA - Nivy</w:t>
            </w:r>
          </w:p>
        </w:tc>
        <w:tc>
          <w:tcPr>
            <w:tcW w:w="2267" w:type="dxa"/>
            <w:noWrap/>
            <w:hideMark/>
          </w:tcPr>
          <w:p w:rsidR="00AC5020" w:rsidRPr="001D1635" w:rsidRDefault="00AC5020" w:rsidP="00C902AE">
            <w:pPr>
              <w:pStyle w:val="tabbielystyl"/>
              <w:jc w:val="left"/>
            </w:pPr>
            <w:r w:rsidRPr="001D1635">
              <w:t>BA – Ružinov</w:t>
            </w:r>
          </w:p>
        </w:tc>
        <w:tc>
          <w:tcPr>
            <w:tcW w:w="993" w:type="dxa"/>
            <w:noWrap/>
            <w:hideMark/>
          </w:tcPr>
          <w:p w:rsidR="00AC5020" w:rsidRPr="001D1635" w:rsidRDefault="00AC5020" w:rsidP="00C902AE">
            <w:pPr>
              <w:pStyle w:val="tabbielystyl"/>
            </w:pPr>
            <w:r w:rsidRPr="001D1635">
              <w:t>2,15</w:t>
            </w:r>
          </w:p>
        </w:tc>
        <w:tc>
          <w:tcPr>
            <w:tcW w:w="992" w:type="dxa"/>
            <w:noWrap/>
            <w:hideMark/>
          </w:tcPr>
          <w:p w:rsidR="00AC5020" w:rsidRPr="001D1635" w:rsidRDefault="00AC5020" w:rsidP="00C902AE">
            <w:pPr>
              <w:pStyle w:val="tabbielystyl"/>
            </w:pPr>
            <w:r w:rsidRPr="001D1635">
              <w:t>7825</w:t>
            </w:r>
          </w:p>
        </w:tc>
        <w:tc>
          <w:tcPr>
            <w:tcW w:w="1134" w:type="dxa"/>
            <w:gridSpan w:val="2"/>
            <w:noWrap/>
            <w:hideMark/>
          </w:tcPr>
          <w:p w:rsidR="00AC5020" w:rsidRPr="001D1635" w:rsidRDefault="00AC5020" w:rsidP="00C902AE">
            <w:pPr>
              <w:pStyle w:val="tabbielystyl"/>
            </w:pPr>
            <w:r w:rsidRPr="001D1635">
              <w:t>2 856 125</w:t>
            </w:r>
          </w:p>
        </w:tc>
        <w:tc>
          <w:tcPr>
            <w:tcW w:w="1161" w:type="dxa"/>
            <w:noWrap/>
            <w:hideMark/>
          </w:tcPr>
          <w:p w:rsidR="00AC5020" w:rsidRPr="00720CB6" w:rsidRDefault="00AC5020" w:rsidP="00C902AE">
            <w:pPr>
              <w:pStyle w:val="tabbielystyl"/>
              <w:rPr>
                <w:color w:val="000000"/>
              </w:rPr>
            </w:pPr>
            <w:r w:rsidRPr="00720CB6">
              <w:rPr>
                <w:color w:val="000000"/>
              </w:rPr>
              <w:t>1 111 461</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p>
        </w:tc>
        <w:tc>
          <w:tcPr>
            <w:tcW w:w="2195" w:type="dxa"/>
            <w:noWrap/>
            <w:hideMark/>
          </w:tcPr>
          <w:p w:rsidR="00AC5020" w:rsidRPr="001D1635" w:rsidRDefault="00AC5020" w:rsidP="00C902AE">
            <w:pPr>
              <w:pStyle w:val="tabbielystyl"/>
              <w:jc w:val="left"/>
            </w:pPr>
            <w:r w:rsidRPr="001D1635">
              <w:t>BA – Ružinov</w:t>
            </w:r>
          </w:p>
        </w:tc>
        <w:tc>
          <w:tcPr>
            <w:tcW w:w="2267" w:type="dxa"/>
            <w:noWrap/>
            <w:hideMark/>
          </w:tcPr>
          <w:p w:rsidR="00AC5020" w:rsidRPr="001D1635" w:rsidRDefault="00AC5020" w:rsidP="00C902AE">
            <w:pPr>
              <w:pStyle w:val="tabbielystyl"/>
              <w:jc w:val="left"/>
            </w:pPr>
            <w:r w:rsidRPr="001D1635">
              <w:t>BA - Trnávka</w:t>
            </w:r>
          </w:p>
        </w:tc>
        <w:tc>
          <w:tcPr>
            <w:tcW w:w="993" w:type="dxa"/>
            <w:noWrap/>
            <w:hideMark/>
          </w:tcPr>
          <w:p w:rsidR="00AC5020" w:rsidRPr="001D1635" w:rsidRDefault="00AC5020" w:rsidP="00C902AE">
            <w:pPr>
              <w:pStyle w:val="tabbielystyl"/>
            </w:pPr>
            <w:r w:rsidRPr="001D1635">
              <w:t>1,57</w:t>
            </w:r>
          </w:p>
        </w:tc>
        <w:tc>
          <w:tcPr>
            <w:tcW w:w="992" w:type="dxa"/>
            <w:noWrap/>
            <w:hideMark/>
          </w:tcPr>
          <w:p w:rsidR="00AC5020" w:rsidRPr="001D1635" w:rsidRDefault="00AC5020" w:rsidP="00C902AE">
            <w:pPr>
              <w:pStyle w:val="tabbielystyl"/>
            </w:pPr>
            <w:r w:rsidRPr="001D1635">
              <w:t>7249</w:t>
            </w:r>
          </w:p>
        </w:tc>
        <w:tc>
          <w:tcPr>
            <w:tcW w:w="1134" w:type="dxa"/>
            <w:gridSpan w:val="2"/>
            <w:noWrap/>
            <w:hideMark/>
          </w:tcPr>
          <w:p w:rsidR="00AC5020" w:rsidRPr="001D1635" w:rsidRDefault="00AC5020" w:rsidP="00C902AE">
            <w:pPr>
              <w:pStyle w:val="tabbielystyl"/>
            </w:pPr>
            <w:r w:rsidRPr="001D1635">
              <w:t>2 645 885</w:t>
            </w:r>
          </w:p>
        </w:tc>
        <w:tc>
          <w:tcPr>
            <w:tcW w:w="1161" w:type="dxa"/>
            <w:noWrap/>
            <w:hideMark/>
          </w:tcPr>
          <w:p w:rsidR="00AC5020" w:rsidRPr="00720CB6" w:rsidRDefault="00AC5020" w:rsidP="00C902AE">
            <w:pPr>
              <w:pStyle w:val="tabbielystyl"/>
              <w:rPr>
                <w:color w:val="000000"/>
              </w:rPr>
            </w:pPr>
            <w:r w:rsidRPr="00720CB6">
              <w:rPr>
                <w:color w:val="000000"/>
              </w:rPr>
              <w:t>751 881</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p>
        </w:tc>
        <w:tc>
          <w:tcPr>
            <w:tcW w:w="2195" w:type="dxa"/>
            <w:noWrap/>
            <w:hideMark/>
          </w:tcPr>
          <w:p w:rsidR="00AC5020" w:rsidRPr="001D1635" w:rsidRDefault="00AC5020" w:rsidP="00C902AE">
            <w:pPr>
              <w:pStyle w:val="tabbielystyl"/>
              <w:jc w:val="left"/>
            </w:pPr>
            <w:r w:rsidRPr="001D1635">
              <w:t>BA - Trnávka</w:t>
            </w:r>
          </w:p>
        </w:tc>
        <w:tc>
          <w:tcPr>
            <w:tcW w:w="2267" w:type="dxa"/>
            <w:noWrap/>
            <w:hideMark/>
          </w:tcPr>
          <w:p w:rsidR="00AC5020" w:rsidRPr="001D1635" w:rsidRDefault="00AC5020" w:rsidP="00C902AE">
            <w:pPr>
              <w:pStyle w:val="tabbielystyl"/>
              <w:jc w:val="left"/>
            </w:pPr>
            <w:r w:rsidRPr="001D1635">
              <w:t>BA - Letisko</w:t>
            </w:r>
          </w:p>
        </w:tc>
        <w:tc>
          <w:tcPr>
            <w:tcW w:w="993" w:type="dxa"/>
            <w:noWrap/>
            <w:hideMark/>
          </w:tcPr>
          <w:p w:rsidR="00AC5020" w:rsidRPr="001D1635" w:rsidRDefault="00AC5020" w:rsidP="00C902AE">
            <w:pPr>
              <w:pStyle w:val="tabbielystyl"/>
            </w:pPr>
            <w:r w:rsidRPr="001D1635">
              <w:t>0,83</w:t>
            </w:r>
          </w:p>
        </w:tc>
        <w:tc>
          <w:tcPr>
            <w:tcW w:w="992" w:type="dxa"/>
            <w:noWrap/>
            <w:hideMark/>
          </w:tcPr>
          <w:p w:rsidR="00AC5020" w:rsidRPr="001D1635" w:rsidRDefault="00AC5020" w:rsidP="00C902AE">
            <w:pPr>
              <w:pStyle w:val="tabbielystyl"/>
            </w:pPr>
            <w:r w:rsidRPr="001D1635">
              <w:t>6667</w:t>
            </w:r>
          </w:p>
        </w:tc>
        <w:tc>
          <w:tcPr>
            <w:tcW w:w="1134" w:type="dxa"/>
            <w:gridSpan w:val="2"/>
            <w:noWrap/>
            <w:hideMark/>
          </w:tcPr>
          <w:p w:rsidR="00AC5020" w:rsidRPr="001D1635" w:rsidRDefault="00AC5020" w:rsidP="00C902AE">
            <w:pPr>
              <w:pStyle w:val="tabbielystyl"/>
            </w:pPr>
            <w:r w:rsidRPr="001D1635">
              <w:t>2 433 455</w:t>
            </w:r>
          </w:p>
        </w:tc>
        <w:tc>
          <w:tcPr>
            <w:tcW w:w="1161" w:type="dxa"/>
            <w:noWrap/>
            <w:hideMark/>
          </w:tcPr>
          <w:p w:rsidR="00AC5020" w:rsidRPr="00720CB6" w:rsidRDefault="00AC5020" w:rsidP="00C902AE">
            <w:pPr>
              <w:pStyle w:val="tabbielystyl"/>
              <w:rPr>
                <w:color w:val="000000"/>
              </w:rPr>
            </w:pPr>
            <w:r w:rsidRPr="00720CB6">
              <w:rPr>
                <w:color w:val="000000"/>
              </w:rPr>
              <w:t>365 578</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p>
        </w:tc>
        <w:tc>
          <w:tcPr>
            <w:tcW w:w="2195" w:type="dxa"/>
            <w:noWrap/>
            <w:hideMark/>
          </w:tcPr>
          <w:p w:rsidR="00AC5020" w:rsidRPr="001D1635" w:rsidRDefault="00AC5020" w:rsidP="00C902AE">
            <w:pPr>
              <w:pStyle w:val="tabbielystyl"/>
              <w:jc w:val="left"/>
            </w:pPr>
            <w:r w:rsidRPr="001D1635">
              <w:t>BA - Letisko</w:t>
            </w:r>
          </w:p>
        </w:tc>
        <w:tc>
          <w:tcPr>
            <w:tcW w:w="2267" w:type="dxa"/>
            <w:noWrap/>
            <w:hideMark/>
          </w:tcPr>
          <w:p w:rsidR="00AC5020" w:rsidRPr="001D1635" w:rsidRDefault="00AC5020" w:rsidP="00C902AE">
            <w:pPr>
              <w:pStyle w:val="tabbielystyl"/>
              <w:jc w:val="left"/>
            </w:pPr>
            <w:r w:rsidRPr="001D1635">
              <w:t>BA - Zlaté Piesky</w:t>
            </w:r>
          </w:p>
        </w:tc>
        <w:tc>
          <w:tcPr>
            <w:tcW w:w="993" w:type="dxa"/>
            <w:noWrap/>
            <w:hideMark/>
          </w:tcPr>
          <w:p w:rsidR="00AC5020" w:rsidRPr="001D1635" w:rsidRDefault="00AC5020" w:rsidP="00C902AE">
            <w:pPr>
              <w:pStyle w:val="tabbielystyl"/>
            </w:pPr>
            <w:r w:rsidRPr="001D1635">
              <w:t>1,337</w:t>
            </w:r>
          </w:p>
        </w:tc>
        <w:tc>
          <w:tcPr>
            <w:tcW w:w="992" w:type="dxa"/>
            <w:noWrap/>
            <w:hideMark/>
          </w:tcPr>
          <w:p w:rsidR="00AC5020" w:rsidRPr="001D1635" w:rsidRDefault="00AC5020" w:rsidP="00C902AE">
            <w:pPr>
              <w:pStyle w:val="tabbielystyl"/>
            </w:pPr>
            <w:r w:rsidRPr="001D1635">
              <w:t>8929</w:t>
            </w:r>
          </w:p>
        </w:tc>
        <w:tc>
          <w:tcPr>
            <w:tcW w:w="1134" w:type="dxa"/>
            <w:gridSpan w:val="2"/>
            <w:noWrap/>
            <w:hideMark/>
          </w:tcPr>
          <w:p w:rsidR="00AC5020" w:rsidRPr="001D1635" w:rsidRDefault="00AC5020" w:rsidP="00C902AE">
            <w:pPr>
              <w:pStyle w:val="tabbielystyl"/>
            </w:pPr>
            <w:r w:rsidRPr="001D1635">
              <w:t>3 259 085</w:t>
            </w:r>
          </w:p>
        </w:tc>
        <w:tc>
          <w:tcPr>
            <w:tcW w:w="1161" w:type="dxa"/>
            <w:noWrap/>
            <w:hideMark/>
          </w:tcPr>
          <w:p w:rsidR="00AC5020" w:rsidRPr="00720CB6" w:rsidRDefault="00AC5020" w:rsidP="00C902AE">
            <w:pPr>
              <w:pStyle w:val="tabbielystyl"/>
              <w:rPr>
                <w:color w:val="000000"/>
              </w:rPr>
            </w:pPr>
            <w:r w:rsidRPr="00720CB6">
              <w:rPr>
                <w:color w:val="000000"/>
              </w:rPr>
              <w:t>788 689</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D1</w:t>
            </w:r>
            <w:r>
              <w:t xml:space="preserve"> </w:t>
            </w:r>
          </w:p>
        </w:tc>
        <w:tc>
          <w:tcPr>
            <w:tcW w:w="2195" w:type="dxa"/>
            <w:noWrap/>
            <w:hideMark/>
          </w:tcPr>
          <w:p w:rsidR="00AC5020" w:rsidRPr="001D1635" w:rsidRDefault="00AC5020" w:rsidP="00C902AE">
            <w:pPr>
              <w:pStyle w:val="tabbielystyl"/>
              <w:jc w:val="left"/>
            </w:pPr>
            <w:r w:rsidRPr="001D1635">
              <w:t>BA - Zlaté Piesky</w:t>
            </w:r>
          </w:p>
        </w:tc>
        <w:tc>
          <w:tcPr>
            <w:tcW w:w="2267" w:type="dxa"/>
            <w:noWrap/>
            <w:hideMark/>
          </w:tcPr>
          <w:p w:rsidR="00AC5020" w:rsidRPr="001D1635" w:rsidRDefault="00AC5020" w:rsidP="00C902AE">
            <w:pPr>
              <w:pStyle w:val="tabbielystyl"/>
              <w:jc w:val="left"/>
            </w:pPr>
            <w:r w:rsidRPr="001D1635">
              <w:t>BA - Senecká</w:t>
            </w:r>
          </w:p>
        </w:tc>
        <w:tc>
          <w:tcPr>
            <w:tcW w:w="993" w:type="dxa"/>
            <w:noWrap/>
            <w:hideMark/>
          </w:tcPr>
          <w:p w:rsidR="00AC5020" w:rsidRPr="001D1635" w:rsidRDefault="00AC5020" w:rsidP="00C902AE">
            <w:pPr>
              <w:pStyle w:val="tabbielystyl"/>
            </w:pPr>
            <w:r w:rsidRPr="001D1635">
              <w:t>1,033</w:t>
            </w:r>
          </w:p>
        </w:tc>
        <w:tc>
          <w:tcPr>
            <w:tcW w:w="992" w:type="dxa"/>
            <w:noWrap/>
            <w:hideMark/>
          </w:tcPr>
          <w:p w:rsidR="00AC5020" w:rsidRPr="001D1635" w:rsidRDefault="00AC5020" w:rsidP="00C902AE">
            <w:pPr>
              <w:pStyle w:val="tabbielystyl"/>
            </w:pPr>
            <w:r w:rsidRPr="001D1635">
              <w:t>3640</w:t>
            </w:r>
          </w:p>
        </w:tc>
        <w:tc>
          <w:tcPr>
            <w:tcW w:w="1134" w:type="dxa"/>
            <w:gridSpan w:val="2"/>
            <w:noWrap/>
            <w:hideMark/>
          </w:tcPr>
          <w:p w:rsidR="00AC5020" w:rsidRPr="001D1635" w:rsidRDefault="00AC5020" w:rsidP="00C902AE">
            <w:pPr>
              <w:pStyle w:val="tabbielystyl"/>
            </w:pPr>
            <w:r w:rsidRPr="001D1635">
              <w:t>1 328 600</w:t>
            </w:r>
          </w:p>
        </w:tc>
        <w:tc>
          <w:tcPr>
            <w:tcW w:w="1161" w:type="dxa"/>
            <w:noWrap/>
            <w:hideMark/>
          </w:tcPr>
          <w:p w:rsidR="00AC5020" w:rsidRPr="00720CB6" w:rsidRDefault="00AC5020" w:rsidP="00C902AE">
            <w:pPr>
              <w:pStyle w:val="tabbielystyl"/>
              <w:rPr>
                <w:color w:val="000000"/>
              </w:rPr>
            </w:pPr>
            <w:r w:rsidRPr="00720CB6">
              <w:rPr>
                <w:color w:val="000000"/>
              </w:rPr>
              <w:t>248 412</w:t>
            </w:r>
          </w:p>
        </w:tc>
      </w:tr>
      <w:tr w:rsidR="00AC5020" w:rsidRPr="001D1635" w:rsidTr="00C902AE">
        <w:trPr>
          <w:trHeight w:val="300"/>
        </w:trPr>
        <w:tc>
          <w:tcPr>
            <w:tcW w:w="669" w:type="dxa"/>
            <w:noWrap/>
            <w:hideMark/>
          </w:tcPr>
          <w:p w:rsidR="00AC5020" w:rsidRPr="001D1635" w:rsidRDefault="00AC5020" w:rsidP="00C902AE">
            <w:pPr>
              <w:pStyle w:val="tabbielystyl"/>
              <w:jc w:val="left"/>
            </w:pPr>
            <w:r w:rsidRPr="001D1635">
              <w:t>D2</w:t>
            </w:r>
          </w:p>
        </w:tc>
        <w:tc>
          <w:tcPr>
            <w:tcW w:w="2195" w:type="dxa"/>
            <w:noWrap/>
            <w:hideMark/>
          </w:tcPr>
          <w:p w:rsidR="00AC5020" w:rsidRPr="001D1635" w:rsidRDefault="00AC5020" w:rsidP="00C902AE">
            <w:pPr>
              <w:pStyle w:val="tabbielystyl"/>
              <w:jc w:val="left"/>
            </w:pPr>
            <w:r w:rsidRPr="001D1635">
              <w:t>BA- Záhorská Bystrica</w:t>
            </w:r>
          </w:p>
        </w:tc>
        <w:tc>
          <w:tcPr>
            <w:tcW w:w="2267" w:type="dxa"/>
            <w:noWrap/>
            <w:hideMark/>
          </w:tcPr>
          <w:p w:rsidR="00AC5020" w:rsidRPr="001D1635" w:rsidRDefault="00AC5020" w:rsidP="00C902AE">
            <w:pPr>
              <w:pStyle w:val="tabbielystyl"/>
              <w:jc w:val="left"/>
            </w:pPr>
            <w:r w:rsidRPr="001D1635">
              <w:t>BA – Lamač</w:t>
            </w:r>
          </w:p>
        </w:tc>
        <w:tc>
          <w:tcPr>
            <w:tcW w:w="993" w:type="dxa"/>
            <w:noWrap/>
            <w:hideMark/>
          </w:tcPr>
          <w:p w:rsidR="00AC5020" w:rsidRPr="001D1635" w:rsidRDefault="00AC5020" w:rsidP="00C902AE">
            <w:pPr>
              <w:pStyle w:val="tabbielystyl"/>
            </w:pPr>
            <w:r w:rsidRPr="001D1635">
              <w:t>2,537</w:t>
            </w:r>
          </w:p>
        </w:tc>
        <w:tc>
          <w:tcPr>
            <w:tcW w:w="992" w:type="dxa"/>
            <w:noWrap/>
            <w:hideMark/>
          </w:tcPr>
          <w:p w:rsidR="00AC5020" w:rsidRPr="001D1635" w:rsidRDefault="00AC5020" w:rsidP="00C902AE">
            <w:pPr>
              <w:pStyle w:val="tabbielystyl"/>
            </w:pPr>
            <w:r w:rsidRPr="001D1635">
              <w:t>8241</w:t>
            </w:r>
          </w:p>
        </w:tc>
        <w:tc>
          <w:tcPr>
            <w:tcW w:w="1134" w:type="dxa"/>
            <w:gridSpan w:val="2"/>
            <w:noWrap/>
            <w:hideMark/>
          </w:tcPr>
          <w:p w:rsidR="00AC5020" w:rsidRPr="001D1635" w:rsidRDefault="00AC5020" w:rsidP="00C902AE">
            <w:pPr>
              <w:pStyle w:val="tabbielystyl"/>
            </w:pPr>
            <w:r w:rsidRPr="001D1635">
              <w:t>3 007 965</w:t>
            </w:r>
          </w:p>
        </w:tc>
        <w:tc>
          <w:tcPr>
            <w:tcW w:w="1161" w:type="dxa"/>
            <w:noWrap/>
            <w:hideMark/>
          </w:tcPr>
          <w:p w:rsidR="00AC5020" w:rsidRPr="00720CB6" w:rsidRDefault="00AC5020" w:rsidP="00C902AE">
            <w:pPr>
              <w:pStyle w:val="tabbielystyl"/>
              <w:rPr>
                <w:color w:val="000000"/>
              </w:rPr>
            </w:pPr>
            <w:r w:rsidRPr="00720CB6">
              <w:rPr>
                <w:color w:val="000000"/>
              </w:rPr>
              <w:t>1 381 249</w:t>
            </w:r>
          </w:p>
        </w:tc>
      </w:tr>
      <w:tr w:rsidR="00AC5020" w:rsidRPr="001D1635" w:rsidTr="00C902AE">
        <w:trPr>
          <w:trHeight w:val="315"/>
        </w:trPr>
        <w:tc>
          <w:tcPr>
            <w:tcW w:w="669" w:type="dxa"/>
            <w:noWrap/>
            <w:hideMark/>
          </w:tcPr>
          <w:p w:rsidR="00AC5020" w:rsidRPr="001D1635" w:rsidRDefault="00AC5020" w:rsidP="00C902AE">
            <w:pPr>
              <w:pStyle w:val="tabbielystyl"/>
              <w:jc w:val="left"/>
            </w:pPr>
            <w:r w:rsidRPr="001D1635">
              <w:t>D2</w:t>
            </w:r>
          </w:p>
        </w:tc>
        <w:tc>
          <w:tcPr>
            <w:tcW w:w="2195" w:type="dxa"/>
            <w:noWrap/>
            <w:hideMark/>
          </w:tcPr>
          <w:p w:rsidR="00AC5020" w:rsidRPr="001D1635" w:rsidRDefault="00AC5020" w:rsidP="00C902AE">
            <w:pPr>
              <w:pStyle w:val="tabbielystyl"/>
              <w:jc w:val="left"/>
            </w:pPr>
            <w:r w:rsidRPr="001D1635">
              <w:t>BA – Lamač</w:t>
            </w:r>
          </w:p>
        </w:tc>
        <w:tc>
          <w:tcPr>
            <w:tcW w:w="2267" w:type="dxa"/>
            <w:noWrap/>
            <w:hideMark/>
          </w:tcPr>
          <w:p w:rsidR="00AC5020" w:rsidRPr="001D1635" w:rsidRDefault="00AC5020" w:rsidP="00C902AE">
            <w:pPr>
              <w:pStyle w:val="tabbielystyl"/>
              <w:jc w:val="left"/>
            </w:pPr>
            <w:r w:rsidRPr="001D1635">
              <w:t>BA Lafranconi</w:t>
            </w:r>
          </w:p>
        </w:tc>
        <w:tc>
          <w:tcPr>
            <w:tcW w:w="993" w:type="dxa"/>
            <w:noWrap/>
            <w:hideMark/>
          </w:tcPr>
          <w:p w:rsidR="00AC5020" w:rsidRPr="001D1635" w:rsidRDefault="00AC5020" w:rsidP="00C902AE">
            <w:pPr>
              <w:pStyle w:val="tabbielystyl"/>
            </w:pPr>
            <w:r w:rsidRPr="001D1635">
              <w:t>4,018</w:t>
            </w:r>
          </w:p>
        </w:tc>
        <w:tc>
          <w:tcPr>
            <w:tcW w:w="992" w:type="dxa"/>
            <w:noWrap/>
            <w:hideMark/>
          </w:tcPr>
          <w:p w:rsidR="00AC5020" w:rsidRPr="001D1635" w:rsidRDefault="00AC5020" w:rsidP="00C902AE">
            <w:pPr>
              <w:pStyle w:val="tabbielystyl"/>
            </w:pPr>
            <w:r w:rsidRPr="001D1635">
              <w:t>7652</w:t>
            </w:r>
          </w:p>
        </w:tc>
        <w:tc>
          <w:tcPr>
            <w:tcW w:w="1134" w:type="dxa"/>
            <w:gridSpan w:val="2"/>
            <w:noWrap/>
            <w:hideMark/>
          </w:tcPr>
          <w:p w:rsidR="00AC5020" w:rsidRPr="001D1635" w:rsidRDefault="00AC5020" w:rsidP="00C902AE">
            <w:pPr>
              <w:pStyle w:val="tabbielystyl"/>
            </w:pPr>
            <w:r w:rsidRPr="001D1635">
              <w:t>2 792 980</w:t>
            </w:r>
          </w:p>
        </w:tc>
        <w:tc>
          <w:tcPr>
            <w:tcW w:w="1161" w:type="dxa"/>
            <w:noWrap/>
            <w:hideMark/>
          </w:tcPr>
          <w:p w:rsidR="00AC5020" w:rsidRPr="00720CB6" w:rsidRDefault="00AC5020" w:rsidP="00C902AE">
            <w:pPr>
              <w:pStyle w:val="tabbielystyl"/>
              <w:rPr>
                <w:color w:val="000000"/>
              </w:rPr>
            </w:pPr>
            <w:r w:rsidRPr="00720CB6">
              <w:rPr>
                <w:color w:val="000000"/>
              </w:rPr>
              <w:t>2 031 217</w:t>
            </w:r>
          </w:p>
        </w:tc>
      </w:tr>
      <w:tr w:rsidR="00AC5020" w:rsidRPr="001D1635" w:rsidTr="00C902AE">
        <w:trPr>
          <w:trHeight w:val="315"/>
        </w:trPr>
        <w:tc>
          <w:tcPr>
            <w:tcW w:w="669" w:type="dxa"/>
            <w:noWrap/>
            <w:hideMark/>
          </w:tcPr>
          <w:p w:rsidR="00AC5020" w:rsidRPr="001D1635" w:rsidRDefault="00AC5020" w:rsidP="00C902AE">
            <w:pPr>
              <w:pStyle w:val="tabbielystyl"/>
              <w:jc w:val="left"/>
            </w:pPr>
            <w:r w:rsidRPr="001D1635">
              <w:t>D2</w:t>
            </w:r>
          </w:p>
        </w:tc>
        <w:tc>
          <w:tcPr>
            <w:tcW w:w="2195" w:type="dxa"/>
            <w:noWrap/>
            <w:hideMark/>
          </w:tcPr>
          <w:p w:rsidR="00AC5020" w:rsidRPr="001D1635" w:rsidRDefault="00AC5020" w:rsidP="00C902AE">
            <w:pPr>
              <w:pStyle w:val="tabbielystyl"/>
              <w:jc w:val="left"/>
            </w:pPr>
            <w:r w:rsidRPr="001D1635">
              <w:t>BA Lafranconi</w:t>
            </w:r>
          </w:p>
        </w:tc>
        <w:tc>
          <w:tcPr>
            <w:tcW w:w="2267" w:type="dxa"/>
            <w:noWrap/>
            <w:hideMark/>
          </w:tcPr>
          <w:p w:rsidR="00AC5020" w:rsidRPr="001D1635" w:rsidRDefault="00AC5020" w:rsidP="00C902AE">
            <w:pPr>
              <w:pStyle w:val="tabbielystyl"/>
              <w:jc w:val="left"/>
            </w:pPr>
            <w:r w:rsidRPr="001D1635">
              <w:t>BA - Petržalka</w:t>
            </w:r>
          </w:p>
        </w:tc>
        <w:tc>
          <w:tcPr>
            <w:tcW w:w="993" w:type="dxa"/>
            <w:noWrap/>
            <w:hideMark/>
          </w:tcPr>
          <w:p w:rsidR="00AC5020" w:rsidRPr="001D1635" w:rsidRDefault="00AC5020" w:rsidP="00C902AE">
            <w:pPr>
              <w:pStyle w:val="tabbielystyl"/>
            </w:pPr>
            <w:r w:rsidRPr="001D1635">
              <w:t>2,611</w:t>
            </w:r>
          </w:p>
        </w:tc>
        <w:tc>
          <w:tcPr>
            <w:tcW w:w="992" w:type="dxa"/>
            <w:noWrap/>
            <w:hideMark/>
          </w:tcPr>
          <w:p w:rsidR="00AC5020" w:rsidRPr="001D1635" w:rsidRDefault="00AC5020" w:rsidP="00C902AE">
            <w:pPr>
              <w:pStyle w:val="tabbielystyl"/>
            </w:pPr>
            <w:r w:rsidRPr="001D1635">
              <w:t>8741</w:t>
            </w:r>
          </w:p>
        </w:tc>
        <w:tc>
          <w:tcPr>
            <w:tcW w:w="1134" w:type="dxa"/>
            <w:gridSpan w:val="2"/>
            <w:noWrap/>
            <w:hideMark/>
          </w:tcPr>
          <w:p w:rsidR="00AC5020" w:rsidRPr="001D1635" w:rsidRDefault="00AC5020" w:rsidP="00C902AE">
            <w:pPr>
              <w:pStyle w:val="tabbielystyl"/>
            </w:pPr>
            <w:r w:rsidRPr="001D1635">
              <w:t>3 190 465</w:t>
            </w:r>
          </w:p>
        </w:tc>
        <w:tc>
          <w:tcPr>
            <w:tcW w:w="1161" w:type="dxa"/>
            <w:noWrap/>
            <w:hideMark/>
          </w:tcPr>
          <w:p w:rsidR="00AC5020" w:rsidRPr="00720CB6" w:rsidRDefault="00AC5020" w:rsidP="00C902AE">
            <w:pPr>
              <w:pStyle w:val="tabbielystyl"/>
              <w:rPr>
                <w:color w:val="000000"/>
              </w:rPr>
            </w:pPr>
            <w:r w:rsidRPr="00720CB6">
              <w:rPr>
                <w:color w:val="000000"/>
              </w:rPr>
              <w:t>1 507 785</w:t>
            </w:r>
          </w:p>
        </w:tc>
      </w:tr>
      <w:tr w:rsidR="00AC5020" w:rsidRPr="001D1635" w:rsidTr="00C902AE">
        <w:trPr>
          <w:trHeight w:val="315"/>
        </w:trPr>
        <w:tc>
          <w:tcPr>
            <w:tcW w:w="5131" w:type="dxa"/>
            <w:gridSpan w:val="3"/>
            <w:shd w:val="clear" w:color="auto" w:fill="F2F2F2" w:themeFill="background1" w:themeFillShade="F2"/>
            <w:noWrap/>
            <w:hideMark/>
          </w:tcPr>
          <w:p w:rsidR="00AC5020" w:rsidRPr="00B77408" w:rsidRDefault="00AC5020" w:rsidP="00C902AE">
            <w:pPr>
              <w:pStyle w:val="tabbielystyl"/>
              <w:rPr>
                <w:b/>
                <w:i/>
              </w:rPr>
            </w:pPr>
            <w:r w:rsidRPr="00B77408">
              <w:rPr>
                <w:b/>
                <w:i/>
              </w:rPr>
              <w:t>Celkom</w:t>
            </w:r>
          </w:p>
        </w:tc>
        <w:tc>
          <w:tcPr>
            <w:tcW w:w="993" w:type="dxa"/>
            <w:shd w:val="clear" w:color="auto" w:fill="F2F2F2" w:themeFill="background1" w:themeFillShade="F2"/>
            <w:noWrap/>
            <w:hideMark/>
          </w:tcPr>
          <w:p w:rsidR="00AC5020" w:rsidRPr="00B77408" w:rsidRDefault="00AC5020" w:rsidP="00C902AE">
            <w:pPr>
              <w:pStyle w:val="tabbielystyl"/>
              <w:rPr>
                <w:b/>
                <w:i/>
              </w:rPr>
            </w:pPr>
            <w:r w:rsidRPr="00B77408">
              <w:rPr>
                <w:b/>
                <w:i/>
              </w:rPr>
              <w:t>23,206</w:t>
            </w:r>
          </w:p>
        </w:tc>
        <w:tc>
          <w:tcPr>
            <w:tcW w:w="992" w:type="dxa"/>
            <w:shd w:val="clear" w:color="auto" w:fill="F2F2F2" w:themeFill="background1" w:themeFillShade="F2"/>
            <w:noWrap/>
            <w:hideMark/>
          </w:tcPr>
          <w:p w:rsidR="00AC5020" w:rsidRPr="00B77408" w:rsidRDefault="00AC5020" w:rsidP="00C902AE">
            <w:pPr>
              <w:pStyle w:val="tabbielystyl"/>
              <w:rPr>
                <w:b/>
                <w:i/>
              </w:rPr>
            </w:pPr>
            <w:r w:rsidRPr="00B77408">
              <w:rPr>
                <w:b/>
                <w:i/>
              </w:rPr>
              <w:t>7 373</w:t>
            </w:r>
          </w:p>
        </w:tc>
        <w:tc>
          <w:tcPr>
            <w:tcW w:w="1134" w:type="dxa"/>
            <w:gridSpan w:val="2"/>
            <w:shd w:val="clear" w:color="auto" w:fill="F2F2F2" w:themeFill="background1" w:themeFillShade="F2"/>
            <w:noWrap/>
            <w:hideMark/>
          </w:tcPr>
          <w:p w:rsidR="00AC5020" w:rsidRPr="00B77408" w:rsidRDefault="00AC5020" w:rsidP="00C902AE">
            <w:pPr>
              <w:pStyle w:val="tabbielystyl"/>
              <w:rPr>
                <w:b/>
                <w:i/>
              </w:rPr>
            </w:pPr>
          </w:p>
        </w:tc>
        <w:tc>
          <w:tcPr>
            <w:tcW w:w="1161" w:type="dxa"/>
            <w:shd w:val="clear" w:color="auto" w:fill="F2F2F2" w:themeFill="background1" w:themeFillShade="F2"/>
            <w:noWrap/>
            <w:hideMark/>
          </w:tcPr>
          <w:p w:rsidR="00AC5020" w:rsidRPr="00B77408" w:rsidRDefault="00AC5020" w:rsidP="00C902AE">
            <w:pPr>
              <w:pStyle w:val="tabbielystyl"/>
              <w:rPr>
                <w:b/>
                <w:i/>
                <w:color w:val="000000"/>
              </w:rPr>
            </w:pPr>
            <w:r w:rsidRPr="00B77408">
              <w:rPr>
                <w:b/>
                <w:i/>
                <w:color w:val="000000"/>
              </w:rPr>
              <w:t>11 527</w:t>
            </w:r>
            <w:r>
              <w:rPr>
                <w:b/>
                <w:i/>
                <w:color w:val="000000"/>
              </w:rPr>
              <w:t> </w:t>
            </w:r>
            <w:r w:rsidRPr="00B77408">
              <w:rPr>
                <w:b/>
                <w:i/>
                <w:color w:val="000000"/>
              </w:rPr>
              <w:t>723</w:t>
            </w:r>
            <w:r>
              <w:rPr>
                <w:b/>
                <w:i/>
                <w:color w:val="000000"/>
              </w:rPr>
              <w:t xml:space="preserve"> €</w:t>
            </w:r>
          </w:p>
        </w:tc>
      </w:tr>
      <w:tr w:rsidR="00AC5020" w:rsidRPr="001D1635" w:rsidTr="00C902AE">
        <w:trPr>
          <w:trHeight w:val="222"/>
        </w:trPr>
        <w:tc>
          <w:tcPr>
            <w:tcW w:w="9411" w:type="dxa"/>
            <w:gridSpan w:val="8"/>
            <w:shd w:val="clear" w:color="auto" w:fill="BFBFBF" w:themeFill="background1" w:themeFillShade="BF"/>
            <w:hideMark/>
          </w:tcPr>
          <w:p w:rsidR="00AC5020" w:rsidRPr="00B77408" w:rsidRDefault="00AC5020" w:rsidP="00C902AE">
            <w:pPr>
              <w:pStyle w:val="tabbielystyl"/>
              <w:jc w:val="left"/>
              <w:rPr>
                <w:b/>
              </w:rPr>
            </w:pPr>
            <w:r w:rsidRPr="00B77408">
              <w:rPr>
                <w:b/>
              </w:rPr>
              <w:t>Rýchlostn</w:t>
            </w:r>
            <w:r>
              <w:rPr>
                <w:b/>
              </w:rPr>
              <w:t>é</w:t>
            </w:r>
            <w:r w:rsidRPr="00B77408">
              <w:rPr>
                <w:b/>
              </w:rPr>
              <w:t xml:space="preserve"> cest</w:t>
            </w:r>
            <w:r>
              <w:rPr>
                <w:b/>
              </w:rPr>
              <w:t>y</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90868</w:t>
            </w:r>
          </w:p>
        </w:tc>
        <w:tc>
          <w:tcPr>
            <w:tcW w:w="993" w:type="dxa"/>
            <w:noWrap/>
          </w:tcPr>
          <w:p w:rsidR="00AC5020" w:rsidRPr="00B91407" w:rsidRDefault="00AC5020" w:rsidP="00C902AE">
            <w:pPr>
              <w:pStyle w:val="tabbielystyl"/>
            </w:pPr>
            <w:r w:rsidRPr="00B91407">
              <w:t>1,6</w:t>
            </w:r>
          </w:p>
        </w:tc>
        <w:tc>
          <w:tcPr>
            <w:tcW w:w="992" w:type="dxa"/>
            <w:noWrap/>
          </w:tcPr>
          <w:p w:rsidR="00AC5020" w:rsidRPr="00B91407" w:rsidRDefault="00AC5020" w:rsidP="00C902AE">
            <w:pPr>
              <w:pStyle w:val="tabbielystyl"/>
            </w:pPr>
            <w:r w:rsidRPr="00B91407">
              <w:t>2100</w:t>
            </w:r>
          </w:p>
        </w:tc>
        <w:tc>
          <w:tcPr>
            <w:tcW w:w="1134" w:type="dxa"/>
            <w:gridSpan w:val="2"/>
            <w:noWrap/>
          </w:tcPr>
          <w:p w:rsidR="00AC5020" w:rsidRPr="00B91407" w:rsidRDefault="00AC5020" w:rsidP="00C902AE">
            <w:pPr>
              <w:pStyle w:val="tabbielystyl"/>
            </w:pPr>
            <w:r w:rsidRPr="00B91407">
              <w:t>766 500</w:t>
            </w:r>
          </w:p>
        </w:tc>
        <w:tc>
          <w:tcPr>
            <w:tcW w:w="1161" w:type="dxa"/>
            <w:noWrap/>
          </w:tcPr>
          <w:p w:rsidR="00AC5020" w:rsidRPr="00B91407" w:rsidRDefault="00AC5020" w:rsidP="00C902AE">
            <w:pPr>
              <w:pStyle w:val="tabbielystyl"/>
            </w:pPr>
            <w:r w:rsidRPr="00B91407">
              <w:t>221 978</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90871</w:t>
            </w:r>
          </w:p>
        </w:tc>
        <w:tc>
          <w:tcPr>
            <w:tcW w:w="993" w:type="dxa"/>
            <w:noWrap/>
          </w:tcPr>
          <w:p w:rsidR="00AC5020" w:rsidRPr="00B91407" w:rsidRDefault="00AC5020" w:rsidP="00C902AE">
            <w:pPr>
              <w:pStyle w:val="tabbielystyl"/>
            </w:pPr>
            <w:r w:rsidRPr="00B91407">
              <w:t>1,13</w:t>
            </w:r>
          </w:p>
        </w:tc>
        <w:tc>
          <w:tcPr>
            <w:tcW w:w="992" w:type="dxa"/>
            <w:noWrap/>
          </w:tcPr>
          <w:p w:rsidR="00AC5020" w:rsidRPr="00B91407" w:rsidRDefault="00AC5020" w:rsidP="00C902AE">
            <w:pPr>
              <w:pStyle w:val="tabbielystyl"/>
            </w:pPr>
            <w:r w:rsidRPr="00B91407">
              <w:t>2339</w:t>
            </w:r>
          </w:p>
        </w:tc>
        <w:tc>
          <w:tcPr>
            <w:tcW w:w="1134" w:type="dxa"/>
            <w:gridSpan w:val="2"/>
            <w:noWrap/>
          </w:tcPr>
          <w:p w:rsidR="00AC5020" w:rsidRPr="00B91407" w:rsidRDefault="00AC5020" w:rsidP="00C902AE">
            <w:pPr>
              <w:pStyle w:val="tabbielystyl"/>
            </w:pPr>
            <w:r w:rsidRPr="00B91407">
              <w:t>853 735</w:t>
            </w:r>
          </w:p>
        </w:tc>
        <w:tc>
          <w:tcPr>
            <w:tcW w:w="1161" w:type="dxa"/>
            <w:noWrap/>
          </w:tcPr>
          <w:p w:rsidR="00AC5020" w:rsidRPr="00B91407" w:rsidRDefault="00AC5020" w:rsidP="00C902AE">
            <w:pPr>
              <w:pStyle w:val="tabbielystyl"/>
            </w:pPr>
            <w:r w:rsidRPr="00B91407">
              <w:t>174 614</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90663</w:t>
            </w:r>
          </w:p>
        </w:tc>
        <w:tc>
          <w:tcPr>
            <w:tcW w:w="993" w:type="dxa"/>
            <w:noWrap/>
          </w:tcPr>
          <w:p w:rsidR="00AC5020" w:rsidRPr="00B91407" w:rsidRDefault="00AC5020" w:rsidP="00C902AE">
            <w:pPr>
              <w:pStyle w:val="tabbielystyl"/>
            </w:pPr>
            <w:r w:rsidRPr="00B91407">
              <w:t>1,67</w:t>
            </w:r>
          </w:p>
        </w:tc>
        <w:tc>
          <w:tcPr>
            <w:tcW w:w="992" w:type="dxa"/>
            <w:noWrap/>
          </w:tcPr>
          <w:p w:rsidR="00AC5020" w:rsidRPr="00B91407" w:rsidRDefault="00AC5020" w:rsidP="00C902AE">
            <w:pPr>
              <w:pStyle w:val="tabbielystyl"/>
            </w:pPr>
            <w:r w:rsidRPr="00B91407">
              <w:t>2037</w:t>
            </w:r>
          </w:p>
        </w:tc>
        <w:tc>
          <w:tcPr>
            <w:tcW w:w="1134" w:type="dxa"/>
            <w:gridSpan w:val="2"/>
            <w:noWrap/>
          </w:tcPr>
          <w:p w:rsidR="00AC5020" w:rsidRPr="00B91407" w:rsidRDefault="00AC5020" w:rsidP="00C902AE">
            <w:pPr>
              <w:pStyle w:val="tabbielystyl"/>
            </w:pPr>
            <w:r w:rsidRPr="00B91407">
              <w:t>743 505</w:t>
            </w:r>
          </w:p>
        </w:tc>
        <w:tc>
          <w:tcPr>
            <w:tcW w:w="1161" w:type="dxa"/>
            <w:noWrap/>
          </w:tcPr>
          <w:p w:rsidR="00AC5020" w:rsidRPr="00B91407" w:rsidRDefault="00AC5020" w:rsidP="00C902AE">
            <w:pPr>
              <w:pStyle w:val="tabbielystyl"/>
            </w:pPr>
            <w:r w:rsidRPr="00B91407">
              <w:t>224 739</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90662</w:t>
            </w:r>
          </w:p>
        </w:tc>
        <w:tc>
          <w:tcPr>
            <w:tcW w:w="993" w:type="dxa"/>
            <w:noWrap/>
          </w:tcPr>
          <w:p w:rsidR="00AC5020" w:rsidRPr="00B91407" w:rsidRDefault="00AC5020" w:rsidP="00C902AE">
            <w:pPr>
              <w:pStyle w:val="tabbielystyl"/>
            </w:pPr>
            <w:r w:rsidRPr="00B91407">
              <w:t>0,87</w:t>
            </w:r>
          </w:p>
        </w:tc>
        <w:tc>
          <w:tcPr>
            <w:tcW w:w="992" w:type="dxa"/>
            <w:noWrap/>
          </w:tcPr>
          <w:p w:rsidR="00AC5020" w:rsidRPr="00B91407" w:rsidRDefault="00AC5020" w:rsidP="00C902AE">
            <w:pPr>
              <w:pStyle w:val="tabbielystyl"/>
            </w:pPr>
            <w:r w:rsidRPr="00B91407">
              <w:t>2149</w:t>
            </w:r>
          </w:p>
        </w:tc>
        <w:tc>
          <w:tcPr>
            <w:tcW w:w="1134" w:type="dxa"/>
            <w:gridSpan w:val="2"/>
            <w:noWrap/>
          </w:tcPr>
          <w:p w:rsidR="00AC5020" w:rsidRPr="00B91407" w:rsidRDefault="00AC5020" w:rsidP="00C902AE">
            <w:pPr>
              <w:pStyle w:val="tabbielystyl"/>
            </w:pPr>
            <w:r w:rsidRPr="00B91407">
              <w:t>784 385</w:t>
            </w:r>
          </w:p>
        </w:tc>
        <w:tc>
          <w:tcPr>
            <w:tcW w:w="1161" w:type="dxa"/>
            <w:noWrap/>
          </w:tcPr>
          <w:p w:rsidR="00AC5020" w:rsidRPr="00B91407" w:rsidRDefault="00AC5020" w:rsidP="00C902AE">
            <w:pPr>
              <w:pStyle w:val="tabbielystyl"/>
            </w:pPr>
            <w:r w:rsidRPr="00B91407">
              <w:t>123 517</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90664</w:t>
            </w:r>
          </w:p>
        </w:tc>
        <w:tc>
          <w:tcPr>
            <w:tcW w:w="993" w:type="dxa"/>
            <w:noWrap/>
          </w:tcPr>
          <w:p w:rsidR="00AC5020" w:rsidRPr="00B91407" w:rsidRDefault="00AC5020" w:rsidP="00C902AE">
            <w:pPr>
              <w:pStyle w:val="tabbielystyl"/>
            </w:pPr>
            <w:r w:rsidRPr="00B91407">
              <w:t>0,715</w:t>
            </w:r>
          </w:p>
        </w:tc>
        <w:tc>
          <w:tcPr>
            <w:tcW w:w="992" w:type="dxa"/>
            <w:noWrap/>
          </w:tcPr>
          <w:p w:rsidR="00AC5020" w:rsidRPr="00B91407" w:rsidRDefault="00AC5020" w:rsidP="00C902AE">
            <w:pPr>
              <w:pStyle w:val="tabbielystyl"/>
            </w:pPr>
            <w:r w:rsidRPr="00B91407">
              <w:t>1237</w:t>
            </w:r>
          </w:p>
        </w:tc>
        <w:tc>
          <w:tcPr>
            <w:tcW w:w="1134" w:type="dxa"/>
            <w:gridSpan w:val="2"/>
            <w:noWrap/>
          </w:tcPr>
          <w:p w:rsidR="00AC5020" w:rsidRPr="00B91407" w:rsidRDefault="00AC5020" w:rsidP="00C902AE">
            <w:pPr>
              <w:pStyle w:val="tabbielystyl"/>
            </w:pPr>
            <w:r w:rsidRPr="00B91407">
              <w:t>451 505</w:t>
            </w:r>
          </w:p>
        </w:tc>
        <w:tc>
          <w:tcPr>
            <w:tcW w:w="1161" w:type="dxa"/>
            <w:noWrap/>
          </w:tcPr>
          <w:p w:rsidR="00AC5020" w:rsidRPr="00B91407" w:rsidRDefault="00AC5020" w:rsidP="00C902AE">
            <w:pPr>
              <w:pStyle w:val="tabbielystyl"/>
            </w:pPr>
            <w:r w:rsidRPr="00B91407">
              <w:t>58 432</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90665</w:t>
            </w:r>
          </w:p>
        </w:tc>
        <w:tc>
          <w:tcPr>
            <w:tcW w:w="993" w:type="dxa"/>
            <w:noWrap/>
          </w:tcPr>
          <w:p w:rsidR="00AC5020" w:rsidRPr="00B91407" w:rsidRDefault="00AC5020" w:rsidP="00C902AE">
            <w:pPr>
              <w:pStyle w:val="tabbielystyl"/>
            </w:pPr>
            <w:r w:rsidRPr="00B91407">
              <w:t>1,28</w:t>
            </w:r>
          </w:p>
        </w:tc>
        <w:tc>
          <w:tcPr>
            <w:tcW w:w="992" w:type="dxa"/>
            <w:noWrap/>
          </w:tcPr>
          <w:p w:rsidR="00AC5020" w:rsidRPr="00B91407" w:rsidRDefault="00AC5020" w:rsidP="00C902AE">
            <w:pPr>
              <w:pStyle w:val="tabbielystyl"/>
            </w:pPr>
            <w:r w:rsidRPr="00B91407">
              <w:t>715</w:t>
            </w:r>
          </w:p>
        </w:tc>
        <w:tc>
          <w:tcPr>
            <w:tcW w:w="1134" w:type="dxa"/>
            <w:gridSpan w:val="2"/>
            <w:noWrap/>
          </w:tcPr>
          <w:p w:rsidR="00AC5020" w:rsidRPr="00B91407" w:rsidRDefault="00AC5020" w:rsidP="00C902AE">
            <w:pPr>
              <w:pStyle w:val="tabbielystyl"/>
            </w:pPr>
            <w:r w:rsidRPr="00B91407">
              <w:t>260 975</w:t>
            </w:r>
          </w:p>
        </w:tc>
        <w:tc>
          <w:tcPr>
            <w:tcW w:w="1161" w:type="dxa"/>
            <w:noWrap/>
          </w:tcPr>
          <w:p w:rsidR="00AC5020" w:rsidRPr="00B91407" w:rsidRDefault="00AC5020" w:rsidP="00C902AE">
            <w:pPr>
              <w:pStyle w:val="tabbielystyl"/>
            </w:pPr>
            <w:r w:rsidRPr="00B91407">
              <w:t>60 463</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90881</w:t>
            </w:r>
          </w:p>
        </w:tc>
        <w:tc>
          <w:tcPr>
            <w:tcW w:w="993" w:type="dxa"/>
            <w:noWrap/>
          </w:tcPr>
          <w:p w:rsidR="00AC5020" w:rsidRPr="00B91407" w:rsidRDefault="00AC5020" w:rsidP="00C902AE">
            <w:pPr>
              <w:pStyle w:val="tabbielystyl"/>
            </w:pPr>
            <w:r w:rsidRPr="00B91407">
              <w:t>1,32</w:t>
            </w:r>
          </w:p>
        </w:tc>
        <w:tc>
          <w:tcPr>
            <w:tcW w:w="992" w:type="dxa"/>
            <w:noWrap/>
          </w:tcPr>
          <w:p w:rsidR="00AC5020" w:rsidRPr="00B91407" w:rsidRDefault="00AC5020" w:rsidP="00C902AE">
            <w:pPr>
              <w:pStyle w:val="tabbielystyl"/>
            </w:pPr>
            <w:r w:rsidRPr="00B91407">
              <w:t>669</w:t>
            </w:r>
          </w:p>
        </w:tc>
        <w:tc>
          <w:tcPr>
            <w:tcW w:w="1134" w:type="dxa"/>
            <w:gridSpan w:val="2"/>
            <w:noWrap/>
          </w:tcPr>
          <w:p w:rsidR="00AC5020" w:rsidRPr="00B91407" w:rsidRDefault="00AC5020" w:rsidP="00C902AE">
            <w:pPr>
              <w:pStyle w:val="tabbielystyl"/>
            </w:pPr>
            <w:r w:rsidRPr="00B91407">
              <w:t>244 185</w:t>
            </w:r>
          </w:p>
        </w:tc>
        <w:tc>
          <w:tcPr>
            <w:tcW w:w="1161" w:type="dxa"/>
            <w:noWrap/>
          </w:tcPr>
          <w:p w:rsidR="00AC5020" w:rsidRPr="00B91407" w:rsidRDefault="00AC5020" w:rsidP="00C902AE">
            <w:pPr>
              <w:pStyle w:val="tabbielystyl"/>
            </w:pPr>
            <w:r w:rsidRPr="00B91407">
              <w:t>58 341</w:t>
            </w:r>
          </w:p>
        </w:tc>
      </w:tr>
      <w:tr w:rsidR="00AC5020" w:rsidRPr="001D1635" w:rsidTr="00C902AE">
        <w:trPr>
          <w:trHeight w:val="315"/>
        </w:trPr>
        <w:tc>
          <w:tcPr>
            <w:tcW w:w="669" w:type="dxa"/>
            <w:noWrap/>
          </w:tcPr>
          <w:p w:rsidR="00AC5020" w:rsidRPr="00B91407" w:rsidRDefault="00AC5020" w:rsidP="00C902AE">
            <w:pPr>
              <w:pStyle w:val="tabbielystyl"/>
              <w:jc w:val="left"/>
            </w:pPr>
            <w:r w:rsidRPr="00B91407">
              <w:t>R1</w:t>
            </w:r>
          </w:p>
        </w:tc>
        <w:tc>
          <w:tcPr>
            <w:tcW w:w="4462" w:type="dxa"/>
            <w:gridSpan w:val="2"/>
            <w:noWrap/>
          </w:tcPr>
          <w:p w:rsidR="00AC5020" w:rsidRPr="001D1635" w:rsidRDefault="00AC5020" w:rsidP="00C902AE">
            <w:pPr>
              <w:pStyle w:val="tabbielystyl"/>
              <w:jc w:val="left"/>
            </w:pPr>
            <w:r>
              <w:t xml:space="preserve">sčítací úsek </w:t>
            </w:r>
            <w:r w:rsidRPr="00B91407">
              <w:t>90882</w:t>
            </w:r>
          </w:p>
        </w:tc>
        <w:tc>
          <w:tcPr>
            <w:tcW w:w="993" w:type="dxa"/>
            <w:noWrap/>
          </w:tcPr>
          <w:p w:rsidR="00AC5020" w:rsidRPr="00B91407" w:rsidRDefault="00AC5020" w:rsidP="00C902AE">
            <w:pPr>
              <w:pStyle w:val="tabbielystyl"/>
            </w:pPr>
            <w:r w:rsidRPr="00B91407">
              <w:t>1,14</w:t>
            </w:r>
          </w:p>
        </w:tc>
        <w:tc>
          <w:tcPr>
            <w:tcW w:w="992" w:type="dxa"/>
            <w:noWrap/>
          </w:tcPr>
          <w:p w:rsidR="00AC5020" w:rsidRPr="00B91407" w:rsidRDefault="00AC5020" w:rsidP="00C902AE">
            <w:pPr>
              <w:pStyle w:val="tabbielystyl"/>
            </w:pPr>
            <w:r w:rsidRPr="00B91407">
              <w:t>808</w:t>
            </w:r>
          </w:p>
        </w:tc>
        <w:tc>
          <w:tcPr>
            <w:tcW w:w="1134" w:type="dxa"/>
            <w:gridSpan w:val="2"/>
            <w:noWrap/>
          </w:tcPr>
          <w:p w:rsidR="00AC5020" w:rsidRPr="00B91407" w:rsidRDefault="00AC5020" w:rsidP="00C902AE">
            <w:pPr>
              <w:pStyle w:val="tabbielystyl"/>
            </w:pPr>
            <w:r w:rsidRPr="00B91407">
              <w:t>294 920</w:t>
            </w:r>
          </w:p>
        </w:tc>
        <w:tc>
          <w:tcPr>
            <w:tcW w:w="1161" w:type="dxa"/>
            <w:noWrap/>
          </w:tcPr>
          <w:p w:rsidR="00AC5020" w:rsidRPr="00B91407" w:rsidRDefault="00AC5020" w:rsidP="00C902AE">
            <w:pPr>
              <w:pStyle w:val="tabbielystyl"/>
            </w:pPr>
            <w:r w:rsidRPr="00B91407">
              <w:t>60 854</w:t>
            </w:r>
          </w:p>
        </w:tc>
      </w:tr>
      <w:tr w:rsidR="00AC5020" w:rsidRPr="001D1635" w:rsidTr="00C902AE">
        <w:trPr>
          <w:trHeight w:val="315"/>
        </w:trPr>
        <w:tc>
          <w:tcPr>
            <w:tcW w:w="5131" w:type="dxa"/>
            <w:gridSpan w:val="3"/>
            <w:shd w:val="clear" w:color="auto" w:fill="F2F2F2" w:themeFill="background1" w:themeFillShade="F2"/>
            <w:noWrap/>
            <w:hideMark/>
          </w:tcPr>
          <w:p w:rsidR="00AC5020" w:rsidRPr="00B77408" w:rsidRDefault="00AC5020" w:rsidP="00C902AE">
            <w:pPr>
              <w:pStyle w:val="tabbielystyl"/>
              <w:rPr>
                <w:b/>
                <w:i/>
              </w:rPr>
            </w:pPr>
            <w:r w:rsidRPr="00B77408">
              <w:rPr>
                <w:b/>
                <w:i/>
              </w:rPr>
              <w:t>Celkom</w:t>
            </w:r>
          </w:p>
        </w:tc>
        <w:tc>
          <w:tcPr>
            <w:tcW w:w="993" w:type="dxa"/>
            <w:shd w:val="clear" w:color="auto" w:fill="F2F2F2" w:themeFill="background1" w:themeFillShade="F2"/>
            <w:noWrap/>
            <w:hideMark/>
          </w:tcPr>
          <w:p w:rsidR="00AC5020" w:rsidRPr="00B77408" w:rsidRDefault="00AC5020" w:rsidP="00C902AE">
            <w:pPr>
              <w:pStyle w:val="tabbielystyl"/>
              <w:rPr>
                <w:b/>
                <w:bCs/>
                <w:i/>
              </w:rPr>
            </w:pPr>
            <w:r>
              <w:rPr>
                <w:b/>
                <w:bCs/>
                <w:i/>
              </w:rPr>
              <w:t>9,725</w:t>
            </w:r>
          </w:p>
        </w:tc>
        <w:tc>
          <w:tcPr>
            <w:tcW w:w="992" w:type="dxa"/>
            <w:shd w:val="clear" w:color="auto" w:fill="F2F2F2" w:themeFill="background1" w:themeFillShade="F2"/>
            <w:noWrap/>
            <w:hideMark/>
          </w:tcPr>
          <w:p w:rsidR="00AC5020" w:rsidRPr="00B77408" w:rsidRDefault="00AC5020" w:rsidP="00C902AE">
            <w:pPr>
              <w:pStyle w:val="tabbielystyl"/>
              <w:rPr>
                <w:i/>
              </w:rPr>
            </w:pPr>
            <w:r w:rsidRPr="00B77408">
              <w:rPr>
                <w:i/>
              </w:rPr>
              <w:t> </w:t>
            </w:r>
          </w:p>
        </w:tc>
        <w:tc>
          <w:tcPr>
            <w:tcW w:w="1134" w:type="dxa"/>
            <w:gridSpan w:val="2"/>
            <w:shd w:val="clear" w:color="auto" w:fill="F2F2F2" w:themeFill="background1" w:themeFillShade="F2"/>
            <w:noWrap/>
            <w:hideMark/>
          </w:tcPr>
          <w:p w:rsidR="00AC5020" w:rsidRPr="00B77408" w:rsidRDefault="00AC5020" w:rsidP="00C902AE">
            <w:pPr>
              <w:pStyle w:val="tabbielystyl"/>
              <w:rPr>
                <w:i/>
              </w:rPr>
            </w:pPr>
            <w:r w:rsidRPr="00B77408">
              <w:rPr>
                <w:i/>
              </w:rPr>
              <w:t> </w:t>
            </w:r>
          </w:p>
        </w:tc>
        <w:tc>
          <w:tcPr>
            <w:tcW w:w="1161" w:type="dxa"/>
            <w:shd w:val="clear" w:color="auto" w:fill="F2F2F2" w:themeFill="background1" w:themeFillShade="F2"/>
            <w:noWrap/>
            <w:hideMark/>
          </w:tcPr>
          <w:p w:rsidR="00AC5020" w:rsidRPr="00B77408" w:rsidRDefault="00AC5020" w:rsidP="00C902AE">
            <w:pPr>
              <w:pStyle w:val="tabbielystyl"/>
              <w:rPr>
                <w:b/>
                <w:bCs/>
                <w:i/>
              </w:rPr>
            </w:pPr>
            <w:r w:rsidRPr="00B77408">
              <w:rPr>
                <w:b/>
                <w:bCs/>
                <w:i/>
              </w:rPr>
              <w:t>982 938</w:t>
            </w:r>
          </w:p>
        </w:tc>
      </w:tr>
      <w:tr w:rsidR="00AC5020" w:rsidRPr="001D1635" w:rsidTr="00C902AE">
        <w:trPr>
          <w:trHeight w:val="315"/>
        </w:trPr>
        <w:tc>
          <w:tcPr>
            <w:tcW w:w="5131" w:type="dxa"/>
            <w:gridSpan w:val="3"/>
            <w:shd w:val="clear" w:color="auto" w:fill="808080" w:themeFill="background1" w:themeFillShade="80"/>
            <w:noWrap/>
          </w:tcPr>
          <w:p w:rsidR="00AC5020" w:rsidRPr="009F4480" w:rsidRDefault="00AC5020" w:rsidP="00C902AE">
            <w:pPr>
              <w:pStyle w:val="tabbielystyl"/>
              <w:rPr>
                <w:i/>
                <w:color w:val="FFFFFF" w:themeColor="background1"/>
              </w:rPr>
            </w:pPr>
            <w:r w:rsidRPr="009F4480">
              <w:rPr>
                <w:b/>
                <w:i/>
                <w:color w:val="FFFFFF" w:themeColor="background1"/>
              </w:rPr>
              <w:t xml:space="preserve">Výnosy spolu (D+R) </w:t>
            </w:r>
          </w:p>
        </w:tc>
        <w:tc>
          <w:tcPr>
            <w:tcW w:w="993" w:type="dxa"/>
            <w:shd w:val="clear" w:color="auto" w:fill="808080" w:themeFill="background1" w:themeFillShade="80"/>
          </w:tcPr>
          <w:p w:rsidR="00AC5020" w:rsidRPr="009F4480" w:rsidRDefault="002B6317" w:rsidP="00C902AE">
            <w:pPr>
              <w:pStyle w:val="tabbielystyl"/>
              <w:rPr>
                <w:b/>
                <w:i/>
                <w:color w:val="FFFFFF" w:themeColor="background1"/>
              </w:rPr>
            </w:pPr>
            <w:r>
              <w:rPr>
                <w:b/>
                <w:i/>
                <w:color w:val="FFFFFF" w:themeColor="background1"/>
              </w:rPr>
              <w:t>32,931</w:t>
            </w:r>
          </w:p>
        </w:tc>
        <w:tc>
          <w:tcPr>
            <w:tcW w:w="2126" w:type="dxa"/>
            <w:gridSpan w:val="3"/>
            <w:shd w:val="clear" w:color="auto" w:fill="808080" w:themeFill="background1" w:themeFillShade="80"/>
          </w:tcPr>
          <w:p w:rsidR="00AC5020" w:rsidRPr="009F4480" w:rsidRDefault="00AC5020" w:rsidP="00C902AE">
            <w:pPr>
              <w:pStyle w:val="tabbielystyl"/>
              <w:rPr>
                <w:i/>
                <w:color w:val="FFFFFF" w:themeColor="background1"/>
              </w:rPr>
            </w:pPr>
          </w:p>
        </w:tc>
        <w:tc>
          <w:tcPr>
            <w:tcW w:w="1161" w:type="dxa"/>
            <w:shd w:val="clear" w:color="auto" w:fill="808080" w:themeFill="background1" w:themeFillShade="80"/>
            <w:noWrap/>
          </w:tcPr>
          <w:p w:rsidR="00AC5020" w:rsidRPr="009F4480" w:rsidRDefault="002B6317" w:rsidP="00C902AE">
            <w:pPr>
              <w:pStyle w:val="tabbielystyl"/>
              <w:rPr>
                <w:b/>
                <w:bCs/>
                <w:i/>
                <w:color w:val="FFFFFF" w:themeColor="background1"/>
              </w:rPr>
            </w:pPr>
            <w:r>
              <w:rPr>
                <w:b/>
                <w:bCs/>
                <w:i/>
                <w:color w:val="FFFFFF" w:themeColor="background1"/>
              </w:rPr>
              <w:t>12 510 661</w:t>
            </w:r>
            <w:r w:rsidR="00AC5020" w:rsidRPr="009F4480">
              <w:rPr>
                <w:b/>
                <w:bCs/>
                <w:i/>
                <w:color w:val="FFFFFF" w:themeColor="background1"/>
              </w:rPr>
              <w:t xml:space="preserve"> €</w:t>
            </w:r>
          </w:p>
        </w:tc>
      </w:tr>
    </w:tbl>
    <w:p w:rsidR="00D60CF9" w:rsidRDefault="00AC5020" w:rsidP="00AC5020">
      <w:pPr>
        <w:pStyle w:val="Nadpis4"/>
      </w:pPr>
      <w:r w:rsidRPr="003D0983">
        <w:t xml:space="preserve"> </w:t>
      </w:r>
      <w:bookmarkStart w:id="477" w:name="_Toc36664426"/>
      <w:r w:rsidR="003D0983" w:rsidRPr="003D0983">
        <w:t xml:space="preserve">Spoplatnenie </w:t>
      </w:r>
      <w:r w:rsidR="003A39A0">
        <w:t xml:space="preserve">ostatných </w:t>
      </w:r>
      <w:r w:rsidR="003D0983" w:rsidRPr="003D0983">
        <w:t xml:space="preserve">ciest I. triedy </w:t>
      </w:r>
      <w:r w:rsidR="00FB0069">
        <w:t>a</w:t>
      </w:r>
      <w:r w:rsidR="003D0983" w:rsidRPr="003D0983">
        <w:t xml:space="preserve"> intravilánov</w:t>
      </w:r>
      <w:r w:rsidR="007E3FE3">
        <w:t xml:space="preserve"> obcí</w:t>
      </w:r>
      <w:bookmarkEnd w:id="477"/>
    </w:p>
    <w:p w:rsidR="003D0983" w:rsidRDefault="001A09E5" w:rsidP="009F4480">
      <w:pPr>
        <w:pStyle w:val="Normaltext"/>
        <w:spacing w:line="276" w:lineRule="auto"/>
      </w:pPr>
      <w:r>
        <w:t xml:space="preserve">Na základe výpočtov podľa údajov SkyToll, a.s. </w:t>
      </w:r>
      <w:r w:rsidRPr="00135588">
        <w:rPr>
          <w:rFonts w:asciiTheme="minorHAnsi" w:hAnsiTheme="minorHAnsi" w:cstheme="minorHAnsi"/>
        </w:rPr>
        <w:t xml:space="preserve">[2] </w:t>
      </w:r>
      <w:r>
        <w:t xml:space="preserve">a SSC </w:t>
      </w:r>
      <w:r w:rsidR="00353196" w:rsidRPr="00135588">
        <w:rPr>
          <w:rFonts w:asciiTheme="minorHAnsi" w:hAnsiTheme="minorHAnsi" w:cstheme="minorHAnsi"/>
        </w:rPr>
        <w:t xml:space="preserve">[9] </w:t>
      </w:r>
      <w:r w:rsidR="003A39A0">
        <w:t xml:space="preserve">je </w:t>
      </w:r>
      <w:r>
        <w:t xml:space="preserve">v súčasnosti </w:t>
      </w:r>
      <w:r w:rsidR="003A39A0">
        <w:t xml:space="preserve">v rámci </w:t>
      </w:r>
      <w:r w:rsidR="00F3048B">
        <w:t xml:space="preserve">EMS </w:t>
      </w:r>
      <w:r w:rsidR="00CC111F">
        <w:t xml:space="preserve">v </w:t>
      </w:r>
      <w:r w:rsidR="00F3048B">
        <w:t xml:space="preserve">SR </w:t>
      </w:r>
      <w:r w:rsidR="003A39A0">
        <w:t xml:space="preserve">spoplatnených </w:t>
      </w:r>
      <w:r w:rsidR="00F3048B">
        <w:t xml:space="preserve">nenulovou sadzbou </w:t>
      </w:r>
      <w:r w:rsidR="003D1107">
        <w:t>552,355</w:t>
      </w:r>
      <w:r w:rsidR="009F4480">
        <w:t xml:space="preserve"> km ostatných ciest I. triedy </w:t>
      </w:r>
      <w:r w:rsidR="008D4A10">
        <w:t xml:space="preserve">mimo intravilánu </w:t>
      </w:r>
      <w:r w:rsidR="009F4480">
        <w:t>a</w:t>
      </w:r>
      <w:r w:rsidR="003D1107">
        <w:t> </w:t>
      </w:r>
      <w:r w:rsidR="003D1107" w:rsidRPr="00FF079B">
        <w:t>11</w:t>
      </w:r>
      <w:r w:rsidR="00F1788F" w:rsidRPr="00FF079B">
        <w:t>11</w:t>
      </w:r>
      <w:r w:rsidR="003D1107" w:rsidRPr="00FF079B">
        <w:t>,</w:t>
      </w:r>
      <w:r w:rsidR="00F1788F" w:rsidRPr="00FF079B">
        <w:t>642</w:t>
      </w:r>
      <w:r w:rsidR="009F4480">
        <w:t xml:space="preserve"> km ciest I. triedy prechádzajúcich intravilánom miest a</w:t>
      </w:r>
      <w:r>
        <w:t> </w:t>
      </w:r>
      <w:r w:rsidR="009F4480">
        <w:t>obcí</w:t>
      </w:r>
      <w:r>
        <w:t xml:space="preserve">. </w:t>
      </w:r>
      <w:r w:rsidR="003A0250">
        <w:t>Celkovo je spoplatnená približne polovica z celkovej dĺžky ciest I. triedy v SR.</w:t>
      </w:r>
    </w:p>
    <w:p w:rsidR="00B34E48" w:rsidRDefault="00B34E48" w:rsidP="00A80CD7">
      <w:r>
        <w:t xml:space="preserve">Vo výpočte potenciálnych výnosov systému EMS v SR zo spoplatnenia v súčasnosti nespoplatnených úsekov ciest I. triedy vrátane intravilánových úsekov boli zohľadnené skutočné dopravné výkony povinných vozidiel na týchto úsekoch v poslednom roku prevádzky </w:t>
      </w:r>
      <w:r w:rsidRPr="00FF079B">
        <w:t>systému (2018)</w:t>
      </w:r>
      <w:r w:rsidR="00F679EA" w:rsidRPr="00FF079B">
        <w:t xml:space="preserve">, </w:t>
      </w:r>
      <w:r w:rsidR="00F679EA" w:rsidRPr="00FF079B">
        <w:rPr>
          <w:rFonts w:asciiTheme="minorHAnsi" w:hAnsiTheme="minorHAnsi" w:cstheme="minorHAnsi"/>
        </w:rPr>
        <w:t>[7]</w:t>
      </w:r>
      <w:r w:rsidR="00FF079B" w:rsidRPr="00FF079B">
        <w:rPr>
          <w:rFonts w:asciiTheme="minorHAnsi" w:hAnsiTheme="minorHAnsi" w:cstheme="minorHAnsi"/>
        </w:rPr>
        <w:t>.</w:t>
      </w:r>
      <w:r w:rsidR="00FF079B">
        <w:rPr>
          <w:rFonts w:asciiTheme="minorHAnsi" w:hAnsiTheme="minorHAnsi" w:cstheme="minorHAnsi"/>
        </w:rPr>
        <w:t xml:space="preserve"> N</w:t>
      </w:r>
      <w:r w:rsidR="00177AB3">
        <w:t>a časti intravilánových úsekov ciest I. triedy v Košiciach, ktoré boli v roku 2019 pretriedené z pôvodnej rýchlostnej cesty R2 a</w:t>
      </w:r>
      <w:r w:rsidR="00FF079B">
        <w:t> privádzača rýchlostnej cesty PR3 v celkovej dĺžke 10,798 km, boli</w:t>
      </w:r>
      <w:r w:rsidR="00177AB3">
        <w:t xml:space="preserve"> </w:t>
      </w:r>
      <w:r w:rsidR="00FF079B">
        <w:t xml:space="preserve">použité údaje z CSD 2015.  </w:t>
      </w:r>
      <w:r>
        <w:t xml:space="preserve">Vzhľadom na  to, že riešiteľský kolektív nedisponuje informáciami o výške sadzieb mýta pre intravilánové úseky ani podielom súbežných a nesúbežných úsekov ostatných ciest I. triedy spoplatnených nulovou sadzbou </w:t>
      </w:r>
      <w:r w:rsidR="00F679EA">
        <w:t>bola</w:t>
      </w:r>
      <w:r>
        <w:t xml:space="preserve"> pre výpočet potenciálnych výnosov </w:t>
      </w:r>
      <w:r w:rsidR="00F679EA">
        <w:t xml:space="preserve">systému zo spoplatnenia týchto úsekov použitá vypočítaná priemerná sadzba mýta – výnos jednotkového vozokilometra.  Použitá priemerná sadzba </w:t>
      </w:r>
      <w:r w:rsidR="00A76B3C">
        <w:t>0,1545€/</w:t>
      </w:r>
      <w:r w:rsidR="007D3342">
        <w:t>v</w:t>
      </w:r>
      <w:r w:rsidR="00A76B3C">
        <w:t xml:space="preserve">km </w:t>
      </w:r>
      <w:r w:rsidR="007D3342">
        <w:t xml:space="preserve">je priemerom vypočítaných sadzieb podľa údajov SkyToll, a.s. a NDS, a.s. z roku 2018. </w:t>
      </w:r>
    </w:p>
    <w:p w:rsidR="0076259D" w:rsidRDefault="0076259D" w:rsidP="0076259D">
      <w:pPr>
        <w:pStyle w:val="tabstyl"/>
        <w:jc w:val="both"/>
      </w:pPr>
      <w:bookmarkStart w:id="478" w:name="_Toc36664503"/>
      <w:r>
        <w:t xml:space="preserve">Tab.  </w:t>
      </w:r>
      <w:r w:rsidR="00C40D3F">
        <w:fldChar w:fldCharType="begin"/>
      </w:r>
      <w:r w:rsidR="00C40D3F">
        <w:instrText xml:space="preserve"> STYLEREF 1 \s </w:instrText>
      </w:r>
      <w:r w:rsidR="00C40D3F">
        <w:fldChar w:fldCharType="separate"/>
      </w:r>
      <w:r w:rsidR="00AE19F9">
        <w:rPr>
          <w:noProof/>
        </w:rPr>
        <w:t>4</w:t>
      </w:r>
      <w:r w:rsidR="00C40D3F">
        <w:rPr>
          <w:noProof/>
        </w:rPr>
        <w:fldChar w:fldCharType="end"/>
      </w:r>
      <w:r w:rsidR="00AE19F9">
        <w:noBreakHyphen/>
      </w:r>
      <w:r w:rsidR="00C40D3F">
        <w:fldChar w:fldCharType="begin"/>
      </w:r>
      <w:r w:rsidR="00C40D3F">
        <w:instrText xml:space="preserve"> SEQ Tab._ \* ARABIC \s 1 </w:instrText>
      </w:r>
      <w:r w:rsidR="00C40D3F">
        <w:fldChar w:fldCharType="separate"/>
      </w:r>
      <w:r w:rsidR="00AE19F9">
        <w:rPr>
          <w:noProof/>
        </w:rPr>
        <w:t>2</w:t>
      </w:r>
      <w:r w:rsidR="00C40D3F">
        <w:rPr>
          <w:noProof/>
        </w:rPr>
        <w:fldChar w:fldCharType="end"/>
      </w:r>
      <w:r>
        <w:t xml:space="preserve"> </w:t>
      </w:r>
      <w:r>
        <w:tab/>
        <w:t xml:space="preserve">Odhad potenciálnych ročných výnosov zo spoplatnenia nespoplatnených úsekov </w:t>
      </w:r>
      <w:r w:rsidR="00063151">
        <w:t>ciest I. triedy</w:t>
      </w:r>
      <w:bookmarkEnd w:id="478"/>
    </w:p>
    <w:tbl>
      <w:tblPr>
        <w:tblStyle w:val="tabulkaVUD"/>
        <w:tblW w:w="0" w:type="auto"/>
        <w:tblLook w:val="04A0" w:firstRow="1" w:lastRow="0" w:firstColumn="1" w:lastColumn="0" w:noHBand="0" w:noVBand="1"/>
      </w:tblPr>
      <w:tblGrid>
        <w:gridCol w:w="3136"/>
        <w:gridCol w:w="3138"/>
        <w:gridCol w:w="3137"/>
      </w:tblGrid>
      <w:tr w:rsidR="009A7D62" w:rsidTr="0076259D">
        <w:trPr>
          <w:cnfStyle w:val="100000000000" w:firstRow="1" w:lastRow="0" w:firstColumn="0" w:lastColumn="0" w:oddVBand="0" w:evenVBand="0" w:oddHBand="0" w:evenHBand="0" w:firstRowFirstColumn="0" w:firstRowLastColumn="0" w:lastRowFirstColumn="0" w:lastRowLastColumn="0"/>
        </w:trPr>
        <w:tc>
          <w:tcPr>
            <w:tcW w:w="3136" w:type="dxa"/>
          </w:tcPr>
          <w:p w:rsidR="0044305B" w:rsidRDefault="0044305B" w:rsidP="009D58D5">
            <w:pPr>
              <w:pStyle w:val="zahltab"/>
            </w:pPr>
          </w:p>
        </w:tc>
        <w:tc>
          <w:tcPr>
            <w:tcW w:w="3138" w:type="dxa"/>
          </w:tcPr>
          <w:p w:rsidR="0044305B" w:rsidRDefault="0044305B" w:rsidP="009D58D5">
            <w:pPr>
              <w:pStyle w:val="zahltab"/>
            </w:pPr>
            <w:r>
              <w:t>Kumulované dopravné výkony (vkm/rok)</w:t>
            </w:r>
          </w:p>
        </w:tc>
        <w:tc>
          <w:tcPr>
            <w:tcW w:w="3137" w:type="dxa"/>
          </w:tcPr>
          <w:p w:rsidR="0044305B" w:rsidRDefault="0044305B" w:rsidP="009D58D5">
            <w:pPr>
              <w:pStyle w:val="zahltab"/>
            </w:pPr>
            <w:r>
              <w:t>Potenciálny výnos</w:t>
            </w:r>
          </w:p>
        </w:tc>
      </w:tr>
      <w:tr w:rsidR="009A7D62" w:rsidTr="0076259D">
        <w:trPr>
          <w:trHeight w:val="473"/>
        </w:trPr>
        <w:tc>
          <w:tcPr>
            <w:tcW w:w="3136" w:type="dxa"/>
          </w:tcPr>
          <w:p w:rsidR="0044305B" w:rsidRDefault="0044305B" w:rsidP="003D1A53">
            <w:pPr>
              <w:pStyle w:val="tabbielystyl"/>
              <w:jc w:val="left"/>
            </w:pPr>
            <w:r>
              <w:t>Ostatné úseky</w:t>
            </w:r>
          </w:p>
        </w:tc>
        <w:tc>
          <w:tcPr>
            <w:tcW w:w="3138" w:type="dxa"/>
          </w:tcPr>
          <w:p w:rsidR="0044305B" w:rsidRDefault="009A7D62" w:rsidP="009A7D62">
            <w:pPr>
              <w:pStyle w:val="tabbielystyl"/>
            </w:pPr>
            <w:r>
              <w:t>54 514 647</w:t>
            </w:r>
          </w:p>
        </w:tc>
        <w:tc>
          <w:tcPr>
            <w:tcW w:w="3137" w:type="dxa"/>
          </w:tcPr>
          <w:p w:rsidR="0044305B" w:rsidRDefault="009A7D62" w:rsidP="009A7D62">
            <w:pPr>
              <w:pStyle w:val="tabbielystyl"/>
            </w:pPr>
            <w:r>
              <w:t>8 422 513 €</w:t>
            </w:r>
          </w:p>
        </w:tc>
      </w:tr>
      <w:tr w:rsidR="0044305B" w:rsidTr="0076259D">
        <w:trPr>
          <w:trHeight w:val="341"/>
        </w:trPr>
        <w:tc>
          <w:tcPr>
            <w:tcW w:w="3136" w:type="dxa"/>
          </w:tcPr>
          <w:p w:rsidR="0044305B" w:rsidRDefault="0044305B" w:rsidP="003D1A53">
            <w:pPr>
              <w:pStyle w:val="tabbielystyl"/>
              <w:jc w:val="left"/>
            </w:pPr>
            <w:r>
              <w:t>Intravilány</w:t>
            </w:r>
            <w:r w:rsidR="009A7D62">
              <w:t xml:space="preserve"> miest a obcí </w:t>
            </w:r>
          </w:p>
        </w:tc>
        <w:tc>
          <w:tcPr>
            <w:tcW w:w="3138" w:type="dxa"/>
          </w:tcPr>
          <w:p w:rsidR="0044305B" w:rsidRDefault="009A7D62" w:rsidP="00FF079B">
            <w:pPr>
              <w:pStyle w:val="tabbielystyl"/>
            </w:pPr>
            <w:r>
              <w:t>2</w:t>
            </w:r>
            <w:r w:rsidR="00FF079B">
              <w:t>27 400</w:t>
            </w:r>
            <w:r>
              <w:t xml:space="preserve"> </w:t>
            </w:r>
            <w:r w:rsidR="00FF079B">
              <w:t>956</w:t>
            </w:r>
          </w:p>
        </w:tc>
        <w:tc>
          <w:tcPr>
            <w:tcW w:w="3137" w:type="dxa"/>
          </w:tcPr>
          <w:p w:rsidR="0044305B" w:rsidRDefault="00300ED8" w:rsidP="00FF079B">
            <w:pPr>
              <w:pStyle w:val="tabbielystyl"/>
            </w:pPr>
            <w:r>
              <w:t>35 133 448</w:t>
            </w:r>
            <w:r w:rsidR="009A7D62">
              <w:t xml:space="preserve"> €</w:t>
            </w:r>
          </w:p>
        </w:tc>
      </w:tr>
      <w:tr w:rsidR="0044305B" w:rsidTr="0076259D">
        <w:trPr>
          <w:trHeight w:val="341"/>
        </w:trPr>
        <w:tc>
          <w:tcPr>
            <w:tcW w:w="3136" w:type="dxa"/>
          </w:tcPr>
          <w:p w:rsidR="0044305B" w:rsidRPr="009A7D62" w:rsidRDefault="0044305B" w:rsidP="009A7D62">
            <w:pPr>
              <w:pStyle w:val="tabbielystyl"/>
              <w:rPr>
                <w:b/>
                <w:i/>
              </w:rPr>
            </w:pPr>
            <w:r w:rsidRPr="009A7D62">
              <w:rPr>
                <w:b/>
                <w:i/>
              </w:rPr>
              <w:t>Spolu</w:t>
            </w:r>
          </w:p>
        </w:tc>
        <w:tc>
          <w:tcPr>
            <w:tcW w:w="3138" w:type="dxa"/>
          </w:tcPr>
          <w:p w:rsidR="0044305B" w:rsidRPr="009A7D62" w:rsidRDefault="009A7D62" w:rsidP="00FF079B">
            <w:pPr>
              <w:pStyle w:val="tabbielystyl"/>
              <w:rPr>
                <w:b/>
                <w:i/>
              </w:rPr>
            </w:pPr>
            <w:r w:rsidRPr="009A7D62">
              <w:rPr>
                <w:b/>
                <w:i/>
              </w:rPr>
              <w:t>2</w:t>
            </w:r>
            <w:r w:rsidR="00FF079B">
              <w:rPr>
                <w:b/>
                <w:i/>
              </w:rPr>
              <w:t>81 915</w:t>
            </w:r>
            <w:r w:rsidRPr="009A7D62">
              <w:rPr>
                <w:b/>
                <w:i/>
              </w:rPr>
              <w:t xml:space="preserve"> </w:t>
            </w:r>
            <w:r w:rsidR="00FF079B">
              <w:rPr>
                <w:b/>
                <w:i/>
              </w:rPr>
              <w:t>603</w:t>
            </w:r>
          </w:p>
        </w:tc>
        <w:tc>
          <w:tcPr>
            <w:tcW w:w="3137" w:type="dxa"/>
          </w:tcPr>
          <w:p w:rsidR="0044305B" w:rsidRPr="009A7D62" w:rsidRDefault="00300ED8" w:rsidP="009A7D62">
            <w:pPr>
              <w:pStyle w:val="tabbielystyl"/>
              <w:rPr>
                <w:b/>
                <w:i/>
              </w:rPr>
            </w:pPr>
            <w:r>
              <w:rPr>
                <w:b/>
                <w:i/>
              </w:rPr>
              <w:t>43 555 960</w:t>
            </w:r>
            <w:r w:rsidR="009A7D62">
              <w:rPr>
                <w:b/>
                <w:i/>
              </w:rPr>
              <w:t xml:space="preserve"> €</w:t>
            </w:r>
          </w:p>
        </w:tc>
      </w:tr>
    </w:tbl>
    <w:p w:rsidR="007D3342" w:rsidRDefault="007D3342" w:rsidP="007D3342">
      <w:pPr>
        <w:pStyle w:val="Normaltext"/>
        <w:spacing w:before="240" w:line="276" w:lineRule="auto"/>
      </w:pPr>
      <w:r w:rsidRPr="008724F9">
        <w:t>V súvislosti so spoplatnením intravilánových úsekov ciest I. triedy je potrebné spomenúť, že tento krok už v roku 2014 navrhovala NDS, a.s. Kvôli veľkému odporu dopravcov nakoniec boli zavedené na tieto úseky nulové sadzby. Je veľmi otázne ako by pri opätovnom pokuse o spoplatnenie zareagovali dopravcovia a najmä verejnosť. Ťažké nákladné vozidlá jazdiace cez obce spôsobujú škody na súkromnom majetku, na bezpečnosti a na životnom prostredí a obyvatelia stále dôraznejšie žiadajú zmeny v doprave. Prípadné výnosy z mýta by boli zrejme požadované na opravy škôd v obciach.</w:t>
      </w:r>
    </w:p>
    <w:p w:rsidR="00EF7A34" w:rsidRDefault="003D1A53" w:rsidP="00EF7A34">
      <w:pPr>
        <w:pStyle w:val="Normaltext"/>
        <w:spacing w:before="240" w:line="276" w:lineRule="auto"/>
      </w:pPr>
      <w:r>
        <w:t xml:space="preserve">Podľa </w:t>
      </w:r>
      <w:r w:rsidR="00EF7A34">
        <w:t xml:space="preserve">skutočných dopravných výkonov vozidiel na týchto úsekoch ciest </w:t>
      </w:r>
      <w:r>
        <w:t xml:space="preserve">a </w:t>
      </w:r>
      <w:r w:rsidR="00EF7A34">
        <w:t>pri použití vypočítanej priemernej sadzby 0,154</w:t>
      </w:r>
      <w:r>
        <w:t>5</w:t>
      </w:r>
      <w:r w:rsidR="00EF7A34">
        <w:t xml:space="preserve">€/vkm je </w:t>
      </w:r>
      <w:r w:rsidR="00EF7A34" w:rsidRPr="008724F9">
        <w:rPr>
          <w:b/>
        </w:rPr>
        <w:t xml:space="preserve">výsledný odhad potenciálnych ročných výnosov </w:t>
      </w:r>
      <w:r w:rsidR="00EF7A34" w:rsidRPr="003A39A0">
        <w:rPr>
          <w:b/>
        </w:rPr>
        <w:t>zo spoplatnenia týchto úsekov</w:t>
      </w:r>
      <w:r w:rsidR="00EF7A34">
        <w:rPr>
          <w:b/>
        </w:rPr>
        <w:t xml:space="preserve"> ciest I. triedy 4</w:t>
      </w:r>
      <w:r w:rsidR="00300ED8">
        <w:rPr>
          <w:b/>
        </w:rPr>
        <w:t>3</w:t>
      </w:r>
      <w:r w:rsidR="00EF7A34">
        <w:rPr>
          <w:b/>
        </w:rPr>
        <w:t>,</w:t>
      </w:r>
      <w:r w:rsidR="00300ED8">
        <w:rPr>
          <w:b/>
        </w:rPr>
        <w:t>56</w:t>
      </w:r>
      <w:r w:rsidR="00EF7A34">
        <w:rPr>
          <w:b/>
        </w:rPr>
        <w:t xml:space="preserve"> mil. €. </w:t>
      </w:r>
    </w:p>
    <w:p w:rsidR="000E1653" w:rsidRDefault="006B442C" w:rsidP="0042220A">
      <w:pPr>
        <w:pStyle w:val="Nadpis3"/>
      </w:pPr>
      <w:bookmarkStart w:id="479" w:name="_Toc36664427"/>
      <w:r>
        <w:t>Zvýšenie</w:t>
      </w:r>
      <w:r w:rsidR="00FD1D68">
        <w:t xml:space="preserve"> mýtnych sadzieb</w:t>
      </w:r>
      <w:bookmarkEnd w:id="479"/>
    </w:p>
    <w:p w:rsidR="00592CC3" w:rsidRDefault="00381AB2" w:rsidP="00592CC3">
      <w:pPr>
        <w:pStyle w:val="Odsekzoznamu"/>
        <w:ind w:left="0"/>
      </w:pPr>
      <w:r>
        <w:t xml:space="preserve">Jednou z možností </w:t>
      </w:r>
      <w:r w:rsidR="00592CC3">
        <w:t>zvýš</w:t>
      </w:r>
      <w:r>
        <w:t>enia</w:t>
      </w:r>
      <w:r w:rsidR="00592CC3">
        <w:t xml:space="preserve"> výnos</w:t>
      </w:r>
      <w:r>
        <w:t>ov z</w:t>
      </w:r>
      <w:r w:rsidR="00592CC3">
        <w:t xml:space="preserve"> mýta </w:t>
      </w:r>
      <w:r>
        <w:t>je zvýšenie mýtnych sadzieb</w:t>
      </w:r>
      <w:r w:rsidR="00592CC3">
        <w:t xml:space="preserve"> za jednotlivé kategórie vozidiel. Táto možnosť je však obmedzená, pretože Smernica </w:t>
      </w:r>
      <w:r w:rsidR="00592CC3" w:rsidRPr="003156F3">
        <w:t>2011/76/EÚ</w:t>
      </w:r>
      <w:r w:rsidR="00592CC3">
        <w:t xml:space="preserve"> v Článku 1 definuje mýto ako súčet niekoľkých definovaných položiek: </w:t>
      </w:r>
    </w:p>
    <w:p w:rsidR="00592CC3" w:rsidRDefault="00592CC3" w:rsidP="000A4510">
      <w:pPr>
        <w:pStyle w:val="Odsekzoznamu"/>
        <w:numPr>
          <w:ilvl w:val="0"/>
          <w:numId w:val="40"/>
        </w:numPr>
      </w:pPr>
      <w:r w:rsidRPr="00540BC3">
        <w:rPr>
          <w:i/>
        </w:rPr>
        <w:t xml:space="preserve">mýto </w:t>
      </w:r>
      <w:r>
        <w:t xml:space="preserve">je určitá suma, ktorá sa platí za vozidlo na základe vzdialenosti prejdenej na danej infraštruktúre a typu vozidla, pričom zahŕňa poplatok za infraštruktúru a/alebo poplatok za externé náklady; </w:t>
      </w:r>
    </w:p>
    <w:p w:rsidR="00592CC3" w:rsidRDefault="00592CC3" w:rsidP="000A4510">
      <w:pPr>
        <w:pStyle w:val="Odsekzoznamu"/>
        <w:numPr>
          <w:ilvl w:val="0"/>
          <w:numId w:val="40"/>
        </w:numPr>
      </w:pPr>
      <w:r w:rsidRPr="00540BC3">
        <w:rPr>
          <w:i/>
        </w:rPr>
        <w:t>poplatok za infraštruktúru</w:t>
      </w:r>
      <w:r>
        <w:t xml:space="preserve"> je poplatok vyberaný na účely úhrady nákladov vynaložených členským štátom na výstavbu, údržbu, prevádzku a rozvoj infraštruktúry;</w:t>
      </w:r>
    </w:p>
    <w:p w:rsidR="00592CC3" w:rsidRDefault="00592CC3" w:rsidP="000A4510">
      <w:pPr>
        <w:pStyle w:val="Odsekzoznamu"/>
        <w:numPr>
          <w:ilvl w:val="0"/>
          <w:numId w:val="40"/>
        </w:numPr>
      </w:pPr>
      <w:r w:rsidRPr="00540BC3">
        <w:rPr>
          <w:i/>
        </w:rPr>
        <w:t xml:space="preserve">poplatok za externé náklady </w:t>
      </w:r>
      <w:r>
        <w:t xml:space="preserve">je poplatok vyberaný na účely úhrady nákladov vynaložených v členskom štáte v súvislosti so znečistením ovzdušia spôsobeným premávkou a/alebo hlukom spôsobeným premávkou; </w:t>
      </w:r>
    </w:p>
    <w:p w:rsidR="00592CC3" w:rsidRDefault="00592CC3" w:rsidP="000A4510">
      <w:pPr>
        <w:pStyle w:val="Odsekzoznamu"/>
        <w:numPr>
          <w:ilvl w:val="0"/>
          <w:numId w:val="40"/>
        </w:numPr>
      </w:pPr>
      <w:r w:rsidRPr="00540BC3">
        <w:rPr>
          <w:i/>
        </w:rPr>
        <w:t>náklady znečistenia ovzdušia spôsobeného premávkou</w:t>
      </w:r>
      <w:r>
        <w:t xml:space="preserve"> sú náklady na škodu spôsobenú uvoľňovaním tuhých častíc a prekurzorov ozónu, ako sú napríklad oxidy dusíka a prchavé organické zlúčeniny, v priebehu prevádzky vozidla; </w:t>
      </w:r>
    </w:p>
    <w:p w:rsidR="00592CC3" w:rsidRDefault="00592CC3" w:rsidP="000A4510">
      <w:pPr>
        <w:pStyle w:val="Odsekzoznamu"/>
        <w:numPr>
          <w:ilvl w:val="0"/>
          <w:numId w:val="40"/>
        </w:numPr>
      </w:pPr>
      <w:r w:rsidRPr="00540BC3">
        <w:rPr>
          <w:i/>
        </w:rPr>
        <w:t>náklady hluku spôsobeného premávkou</w:t>
      </w:r>
      <w:r>
        <w:t xml:space="preserve"> sú náklady na škodu spôsobenú hlukom vydávaným vozidlami alebo vytvoreným vzájomným pôsobením vozidiel a povrchu vozovky; </w:t>
      </w:r>
    </w:p>
    <w:p w:rsidR="00592CC3" w:rsidRDefault="00592CC3" w:rsidP="000A4510">
      <w:pPr>
        <w:pStyle w:val="Odsekzoznamu"/>
        <w:numPr>
          <w:ilvl w:val="0"/>
          <w:numId w:val="40"/>
        </w:numPr>
      </w:pPr>
      <w:r w:rsidRPr="00540BC3">
        <w:rPr>
          <w:i/>
        </w:rPr>
        <w:t>vážený priemerný poplatok za infraštruktúru</w:t>
      </w:r>
      <w:r>
        <w:t xml:space="preserve"> je celkový príjem z poplatku za infraštruktúru za dané obdobie vydelený počtom kilometrov, ktoré vozidlo prešlo na úsekoch ciest spoplatňovaných počas tohto obdobia; </w:t>
      </w:r>
    </w:p>
    <w:p w:rsidR="00592CC3" w:rsidRDefault="00592CC3" w:rsidP="000A4510">
      <w:pPr>
        <w:pStyle w:val="Odsekzoznamu"/>
        <w:numPr>
          <w:ilvl w:val="0"/>
          <w:numId w:val="40"/>
        </w:numPr>
        <w:contextualSpacing w:val="0"/>
      </w:pPr>
      <w:r w:rsidRPr="00540BC3">
        <w:rPr>
          <w:i/>
        </w:rPr>
        <w:t>vážený priemerný poplatok za externé náklady</w:t>
      </w:r>
      <w:r>
        <w:t xml:space="preserve"> je celkový príjem z poplatku za externé náklady za dané obdobie vydelený počtom kilometrov, ktoré vozidlo prešlo na úsekoch ciest spopl</w:t>
      </w:r>
      <w:r w:rsidR="00381AB2">
        <w:t>atňovaných počas tohto obdobia</w:t>
      </w:r>
      <w:r w:rsidR="00517694">
        <w:t>.</w:t>
      </w:r>
    </w:p>
    <w:p w:rsidR="00592CC3" w:rsidRDefault="00592CC3" w:rsidP="00C74179">
      <w:r>
        <w:t>Najmenej 6 mesiacov pred implementáciou nového mýtneho režimu v podobe poplatku za infraštruktúru členské štáty zašlú Komisii požadované podklady.</w:t>
      </w:r>
      <w:r w:rsidR="00381AB2">
        <w:t xml:space="preserve"> </w:t>
      </w:r>
      <w:r>
        <w:t xml:space="preserve">Komisia </w:t>
      </w:r>
      <w:r w:rsidR="00381AB2">
        <w:t xml:space="preserve">následne </w:t>
      </w:r>
      <w:r>
        <w:t xml:space="preserve">rozhodne, či sú povinnosti </w:t>
      </w:r>
      <w:r w:rsidR="00AE5B8A" w:rsidRPr="00300ED8">
        <w:t>podľa článkov 7b, 7c, 7j alebo článku 9 ods. 2 splnené (2011/76/EÚ, článok 7h) splnené.</w:t>
      </w:r>
    </w:p>
    <w:p w:rsidR="00592CC3" w:rsidRDefault="00381AB2" w:rsidP="00592CC3">
      <w:pPr>
        <w:pStyle w:val="Odsekzoznamu"/>
        <w:ind w:left="0"/>
      </w:pPr>
      <w:r>
        <w:t xml:space="preserve">V zmysle </w:t>
      </w:r>
      <w:r w:rsidR="00540BC3">
        <w:t xml:space="preserve">Smernice </w:t>
      </w:r>
      <w:r w:rsidR="00540BC3" w:rsidRPr="003156F3">
        <w:t>2011/76/EÚ</w:t>
      </w:r>
      <w:r w:rsidR="00540BC3">
        <w:t xml:space="preserve"> </w:t>
      </w:r>
      <w:r>
        <w:t xml:space="preserve">riešiteľský kolektív identifikoval nasledujúce </w:t>
      </w:r>
      <w:r w:rsidRPr="00243778">
        <w:rPr>
          <w:b/>
        </w:rPr>
        <w:t>možnosti zvýšenia sadzieb mýta</w:t>
      </w:r>
      <w:r w:rsidR="00C62263">
        <w:t>:</w:t>
      </w:r>
    </w:p>
    <w:p w:rsidR="00592CC3" w:rsidRDefault="00592CC3" w:rsidP="00592CC3">
      <w:pPr>
        <w:pStyle w:val="Odsekzoznamu"/>
        <w:ind w:left="0"/>
      </w:pPr>
    </w:p>
    <w:p w:rsidR="00592CC3" w:rsidRDefault="00C62263" w:rsidP="000A4510">
      <w:pPr>
        <w:pStyle w:val="Odsekzoznamu"/>
        <w:numPr>
          <w:ilvl w:val="0"/>
          <w:numId w:val="41"/>
        </w:numPr>
        <w:contextualSpacing w:val="0"/>
        <w:jc w:val="left"/>
      </w:pPr>
      <w:r w:rsidRPr="00243778">
        <w:rPr>
          <w:b/>
        </w:rPr>
        <w:t>R</w:t>
      </w:r>
      <w:r w:rsidR="00592CC3" w:rsidRPr="00243778">
        <w:rPr>
          <w:b/>
        </w:rPr>
        <w:t>ozdelenie existujúcej hmotnostnej kategórie</w:t>
      </w:r>
      <w:r>
        <w:t xml:space="preserve"> V</w:t>
      </w:r>
      <w:r w:rsidR="00592CC3" w:rsidRPr="00C62263">
        <w:rPr>
          <w:i/>
        </w:rPr>
        <w:t>ozidl</w:t>
      </w:r>
      <w:r w:rsidRPr="00C62263">
        <w:rPr>
          <w:i/>
        </w:rPr>
        <w:t>á</w:t>
      </w:r>
      <w:r w:rsidR="00592CC3" w:rsidRPr="00C62263">
        <w:rPr>
          <w:i/>
        </w:rPr>
        <w:t xml:space="preserve"> s hmotnosťou nad 12 ton</w:t>
      </w:r>
      <w:r w:rsidR="00592CC3">
        <w:t xml:space="preserve"> na</w:t>
      </w:r>
      <w:r>
        <w:t xml:space="preserve"> dve hmotnostné kategórie:  </w:t>
      </w:r>
    </w:p>
    <w:p w:rsidR="00592CC3" w:rsidRDefault="00C62263" w:rsidP="000A4510">
      <w:pPr>
        <w:pStyle w:val="Odsekzoznamu"/>
        <w:numPr>
          <w:ilvl w:val="0"/>
          <w:numId w:val="42"/>
        </w:numPr>
        <w:ind w:left="1417" w:hanging="357"/>
        <w:contextualSpacing w:val="0"/>
        <w:jc w:val="left"/>
      </w:pPr>
      <w:r>
        <w:t>h</w:t>
      </w:r>
      <w:r w:rsidR="00592CC3">
        <w:t>motnostn</w:t>
      </w:r>
      <w:r>
        <w:t xml:space="preserve">á </w:t>
      </w:r>
      <w:r w:rsidR="00592CC3">
        <w:t>kategóri</w:t>
      </w:r>
      <w:r>
        <w:t>a</w:t>
      </w:r>
      <w:r w:rsidR="00592CC3">
        <w:t xml:space="preserve"> </w:t>
      </w:r>
      <w:r w:rsidRPr="00C62263">
        <w:rPr>
          <w:i/>
        </w:rPr>
        <w:t>V</w:t>
      </w:r>
      <w:r w:rsidR="00592CC3" w:rsidRPr="00C62263">
        <w:rPr>
          <w:i/>
        </w:rPr>
        <w:t xml:space="preserve">ozidlá s hmotnosťou </w:t>
      </w:r>
      <w:r>
        <w:rPr>
          <w:i/>
        </w:rPr>
        <w:t xml:space="preserve">od </w:t>
      </w:r>
      <w:r w:rsidR="00592CC3" w:rsidRPr="00C62263">
        <w:rPr>
          <w:i/>
        </w:rPr>
        <w:t xml:space="preserve">12 </w:t>
      </w:r>
      <w:r>
        <w:rPr>
          <w:i/>
        </w:rPr>
        <w:t xml:space="preserve">ton </w:t>
      </w:r>
      <w:r w:rsidR="00592CC3" w:rsidRPr="00C62263">
        <w:rPr>
          <w:i/>
        </w:rPr>
        <w:t xml:space="preserve">do 18 (20) </w:t>
      </w:r>
      <w:r w:rsidR="00592CC3" w:rsidRPr="00C62263">
        <w:t>ton</w:t>
      </w:r>
    </w:p>
    <w:p w:rsidR="00592CC3" w:rsidRDefault="00592CC3" w:rsidP="000A4510">
      <w:pPr>
        <w:pStyle w:val="Odsekzoznamu"/>
        <w:numPr>
          <w:ilvl w:val="0"/>
          <w:numId w:val="42"/>
        </w:numPr>
        <w:ind w:left="1417" w:hanging="357"/>
        <w:contextualSpacing w:val="0"/>
        <w:jc w:val="left"/>
      </w:pPr>
      <w:r w:rsidRPr="000A09E9">
        <w:t>hmotnostn</w:t>
      </w:r>
      <w:r>
        <w:t>ú</w:t>
      </w:r>
      <w:r w:rsidRPr="000A09E9">
        <w:t xml:space="preserve"> kategóri</w:t>
      </w:r>
      <w:r>
        <w:t>u</w:t>
      </w:r>
      <w:r w:rsidRPr="00C62263">
        <w:rPr>
          <w:b/>
        </w:rPr>
        <w:t xml:space="preserve"> </w:t>
      </w:r>
      <w:r w:rsidR="00C62263" w:rsidRPr="00C62263">
        <w:rPr>
          <w:i/>
        </w:rPr>
        <w:t>Vozidlá s hmotnosťou nad 18 (20) ton</w:t>
      </w:r>
    </w:p>
    <w:p w:rsidR="00592CC3" w:rsidRDefault="00592CC3" w:rsidP="00243778">
      <w:pPr>
        <w:pStyle w:val="Odsekzoznamu"/>
        <w:ind w:left="398"/>
        <w:contextualSpacing w:val="0"/>
      </w:pPr>
      <w:r>
        <w:t>Rozdelenie by si vyžadovalo prepočítať nové sadzby pre rozdielne hmotnostné kategórie, z ktorých nižšia bude mať mierne vyššie sadzby z dôvodu vyšších nápravových tlakov pri menšom počte náprav vozidiel. Tento krok by sa dotkol cezhraničnej dopravy a časti domácich dopravcov.  Výnosy by boli zvýšené rádovo o desatiny percenta.</w:t>
      </w:r>
    </w:p>
    <w:p w:rsidR="00592CC3" w:rsidRDefault="00592CC3" w:rsidP="00243778">
      <w:pPr>
        <w:pStyle w:val="Odsekzoznamu"/>
        <w:ind w:left="398"/>
        <w:contextualSpacing w:val="0"/>
      </w:pPr>
      <w:r>
        <w:t>Vzhľadom na snahu výrobcov zvyšovať maximálne hmotnosti nákladných vozidiel by rozdelenie bolo perspektívne do budúcnosti, keďže by sa potom mohli na vyššiu kategóriu uplatniť vyššie sadzby.</w:t>
      </w:r>
    </w:p>
    <w:p w:rsidR="00592CC3" w:rsidRDefault="00C62263" w:rsidP="000A4510">
      <w:pPr>
        <w:pStyle w:val="Odsekzoznamu"/>
        <w:numPr>
          <w:ilvl w:val="0"/>
          <w:numId w:val="41"/>
        </w:numPr>
        <w:ind w:left="357"/>
        <w:contextualSpacing w:val="0"/>
      </w:pPr>
      <w:r w:rsidRPr="00243778">
        <w:rPr>
          <w:b/>
        </w:rPr>
        <w:t>Z</w:t>
      </w:r>
      <w:r w:rsidR="00592CC3" w:rsidRPr="00243778">
        <w:rPr>
          <w:b/>
        </w:rPr>
        <w:t>výšenie mýtnych sadzieb pre menej ekologické vozidlá</w:t>
      </w:r>
      <w:r w:rsidR="00592CC3">
        <w:t xml:space="preserve">, najmä kategórie EURO 0, EURO I a EURO II. Toto opatrenie by urýchlilo obmenu vozidlového parku a malo by dočasný účinok - len do výmeny podstatnej časti takýchto vozidiel za ekologickejšie, teda rádovo 3 - 5 rokov. Ak by zvýšené sadzby predstavovali cca 110% aktuálnych sadzieb, výnosy z mýta by boli zvýšené rádovo </w:t>
      </w:r>
      <w:r w:rsidR="00592CC3" w:rsidRPr="00C62263">
        <w:t xml:space="preserve">o 0,03 - 0,1%. </w:t>
      </w:r>
    </w:p>
    <w:p w:rsidR="00243778" w:rsidRDefault="00C62263" w:rsidP="000A4510">
      <w:pPr>
        <w:pStyle w:val="Odsekzoznamu"/>
        <w:numPr>
          <w:ilvl w:val="0"/>
          <w:numId w:val="41"/>
        </w:numPr>
        <w:ind w:left="357"/>
        <w:contextualSpacing w:val="0"/>
      </w:pPr>
      <w:r w:rsidRPr="00243778">
        <w:rPr>
          <w:b/>
        </w:rPr>
        <w:t>Z</w:t>
      </w:r>
      <w:r w:rsidR="00592CC3" w:rsidRPr="00243778">
        <w:rPr>
          <w:b/>
        </w:rPr>
        <w:t>výšenie poplatku za infraštruktúru</w:t>
      </w:r>
      <w:r w:rsidR="00243778" w:rsidRPr="00243778">
        <w:rPr>
          <w:b/>
        </w:rPr>
        <w:t xml:space="preserve"> </w:t>
      </w:r>
      <w:r w:rsidR="00243778">
        <w:t>(do výšky 15</w:t>
      </w:r>
      <w:r w:rsidR="00592CC3">
        <w:t xml:space="preserve">% váženého priemerného poplatku za infraštruktúru) na konkrétnych cestných úsekoch, na ktorých dochádza k akútnej kongescii alebo ktorých používanie vozidlami je príčinou významného poškodzovania životného prostredia. </w:t>
      </w:r>
    </w:p>
    <w:p w:rsidR="00592CC3" w:rsidRDefault="00243778" w:rsidP="00243778">
      <w:pPr>
        <w:pStyle w:val="Odsekzoznamu"/>
        <w:ind w:left="357"/>
        <w:contextualSpacing w:val="0"/>
      </w:pPr>
      <w:r>
        <w:t>T</w:t>
      </w:r>
      <w:r w:rsidR="00592CC3">
        <w:t xml:space="preserve">ento krok by znamenal zvýšenie sadzieb mýta o cca </w:t>
      </w:r>
      <w:r w:rsidR="00592CC3" w:rsidRPr="00982BBB">
        <w:t>10% v</w:t>
      </w:r>
      <w:r w:rsidR="00592CC3">
        <w:t> okolí väčších miest a na iných úsekoch, kde dochádza ku kongesciám, v ekologicky citlivých oblastiach (blízkosť národných parkov, vodných zdrojov, intrav</w:t>
      </w:r>
      <w:r>
        <w:t>ilány s kritickými intenzitami ť</w:t>
      </w:r>
      <w:r w:rsidR="00592CC3">
        <w:t>ažk</w:t>
      </w:r>
      <w:r>
        <w:t xml:space="preserve">ých vozidiel (návesové súpravy) </w:t>
      </w:r>
      <w:r w:rsidR="00592CC3">
        <w:t>na cestách I. triedy v rozsahu cca 10% spoplatnenej cestnej siete a priniesol by zvýšenie výnosov</w:t>
      </w:r>
      <w:r w:rsidR="00592CC3" w:rsidRPr="00567D40">
        <w:t xml:space="preserve"> </w:t>
      </w:r>
      <w:r w:rsidR="00592CC3">
        <w:t xml:space="preserve">o </w:t>
      </w:r>
      <w:r w:rsidR="00592CC3" w:rsidRPr="00243778">
        <w:t>cca 0,2% - 0,3%.</w:t>
      </w:r>
      <w:r w:rsidR="00592CC3" w:rsidRPr="00982BBB">
        <w:t xml:space="preserve"> Účinnosť takéhoto opatrenia by trvala do ukončenia výstavby prioritných úsekov siete diaľnic a rýchlostných ciest</w:t>
      </w:r>
      <w:r w:rsidR="00592CC3">
        <w:t>.</w:t>
      </w:r>
    </w:p>
    <w:p w:rsidR="00592CC3" w:rsidRDefault="00243778" w:rsidP="000A4510">
      <w:pPr>
        <w:pStyle w:val="Odsekzoznamu"/>
        <w:numPr>
          <w:ilvl w:val="0"/>
          <w:numId w:val="41"/>
        </w:numPr>
        <w:contextualSpacing w:val="0"/>
      </w:pPr>
      <w:r w:rsidRPr="00243778">
        <w:rPr>
          <w:b/>
        </w:rPr>
        <w:t>Z</w:t>
      </w:r>
      <w:r w:rsidR="00592CC3" w:rsidRPr="00243778">
        <w:rPr>
          <w:b/>
        </w:rPr>
        <w:t>avedenie zvýšených sadzieb pre nákladné vozidlá v čase najvyšších dopravných špičiek</w:t>
      </w:r>
      <w:r w:rsidR="00592CC3">
        <w:t xml:space="preserve"> - v piatok popoludní a večer od 15:00 do 20:00 tak, ako je to v Česku. Toto opatrenie by mohlo predstavovať  zvýšenie piat</w:t>
      </w:r>
      <w:r w:rsidR="0003019C">
        <w:t>kových</w:t>
      </w:r>
      <w:r w:rsidR="00592CC3">
        <w:t xml:space="preserve"> sadzieb mýta na diaľniciach aj cestách I. triedy o cca 40% a zvýšenie výnosu o 7% - 9%</w:t>
      </w:r>
      <w:r w:rsidR="00540BC3">
        <w:t xml:space="preserve">. Opatrenie by bolo trvalo účinné. </w:t>
      </w:r>
      <w:r w:rsidR="00592CC3">
        <w:t xml:space="preserve"> </w:t>
      </w:r>
    </w:p>
    <w:p w:rsidR="00592CC3" w:rsidRDefault="00540BC3" w:rsidP="000A4510">
      <w:pPr>
        <w:pStyle w:val="Odsekzoznamu"/>
        <w:numPr>
          <w:ilvl w:val="0"/>
          <w:numId w:val="41"/>
        </w:numPr>
        <w:contextualSpacing w:val="0"/>
      </w:pPr>
      <w:r w:rsidRPr="00540BC3">
        <w:rPr>
          <w:b/>
        </w:rPr>
        <w:t>Z</w:t>
      </w:r>
      <w:r w:rsidR="00592CC3" w:rsidRPr="00540BC3">
        <w:rPr>
          <w:b/>
        </w:rPr>
        <w:t>avedenie zvýšených sadzieb pre nákladné vozidlá jazdiace v</w:t>
      </w:r>
      <w:r>
        <w:rPr>
          <w:b/>
        </w:rPr>
        <w:t> </w:t>
      </w:r>
      <w:r w:rsidR="00592CC3" w:rsidRPr="00540BC3">
        <w:rPr>
          <w:b/>
        </w:rPr>
        <w:t>noci</w:t>
      </w:r>
      <w:r>
        <w:rPr>
          <w:b/>
        </w:rPr>
        <w:t xml:space="preserve"> od</w:t>
      </w:r>
      <w:r w:rsidR="00592CC3" w:rsidRPr="00540BC3">
        <w:rPr>
          <w:b/>
        </w:rPr>
        <w:t xml:space="preserve"> 22:00 do 5:00</w:t>
      </w:r>
      <w:r>
        <w:t xml:space="preserve"> tak, </w:t>
      </w:r>
      <w:r w:rsidR="00592CC3">
        <w:t>ako je to v Rakúsku. Toto op</w:t>
      </w:r>
      <w:r>
        <w:t xml:space="preserve">atrenie by mohlo predstavovať </w:t>
      </w:r>
      <w:r w:rsidR="00592CC3">
        <w:t>zvýšenie nočných sadzieb o cca 0,3% a znamenalo by zvýšenie výnosu z mýta do 1%</w:t>
      </w:r>
      <w:r>
        <w:t xml:space="preserve">. Opatrenie by bolo trvalo účinné.   </w:t>
      </w:r>
    </w:p>
    <w:p w:rsidR="00592CC3" w:rsidRPr="003D1A53" w:rsidRDefault="00A02B5C" w:rsidP="00CA1819">
      <w:pPr>
        <w:pStyle w:val="Odsekzoznamu"/>
        <w:spacing w:before="240"/>
        <w:ind w:left="0"/>
        <w:contextualSpacing w:val="0"/>
        <w:rPr>
          <w:b/>
        </w:rPr>
      </w:pPr>
      <w:r>
        <w:rPr>
          <w:b/>
        </w:rPr>
        <w:t>Všetky vyššie u</w:t>
      </w:r>
      <w:r w:rsidR="00592CC3" w:rsidRPr="003D1A53">
        <w:rPr>
          <w:b/>
        </w:rPr>
        <w:t xml:space="preserve">vedené úpravy </w:t>
      </w:r>
      <w:r w:rsidR="0003019C" w:rsidRPr="003D1A53">
        <w:rPr>
          <w:b/>
        </w:rPr>
        <w:t xml:space="preserve">súčasných sadzieb mýta </w:t>
      </w:r>
      <w:r w:rsidR="00592CC3" w:rsidRPr="003D1A53">
        <w:rPr>
          <w:b/>
        </w:rPr>
        <w:t xml:space="preserve">by znamenali nárast </w:t>
      </w:r>
      <w:r w:rsidR="0003019C" w:rsidRPr="003D1A53">
        <w:rPr>
          <w:b/>
        </w:rPr>
        <w:t>výnosov EMS SR</w:t>
      </w:r>
      <w:r w:rsidR="00592CC3" w:rsidRPr="003D1A53">
        <w:rPr>
          <w:b/>
        </w:rPr>
        <w:t xml:space="preserve"> o 8,23% - 10,4%</w:t>
      </w:r>
      <w:r w:rsidR="0003019C" w:rsidRPr="003D1A53">
        <w:rPr>
          <w:b/>
        </w:rPr>
        <w:t xml:space="preserve"> </w:t>
      </w:r>
      <w:r>
        <w:rPr>
          <w:b/>
        </w:rPr>
        <w:t>v porovnaní s </w:t>
      </w:r>
      <w:r w:rsidR="0003019C" w:rsidRPr="003D1A53">
        <w:rPr>
          <w:b/>
        </w:rPr>
        <w:t>dosiahnutý</w:t>
      </w:r>
      <w:r>
        <w:rPr>
          <w:b/>
        </w:rPr>
        <w:t>mi tržbami</w:t>
      </w:r>
      <w:r w:rsidR="0003019C" w:rsidRPr="003D1A53">
        <w:rPr>
          <w:b/>
        </w:rPr>
        <w:t xml:space="preserve"> v roku 2018</w:t>
      </w:r>
      <w:r>
        <w:rPr>
          <w:b/>
        </w:rPr>
        <w:t>,</w:t>
      </w:r>
      <w:r w:rsidR="0003019C" w:rsidRPr="003D1A53">
        <w:rPr>
          <w:b/>
        </w:rPr>
        <w:t xml:space="preserve"> v nominálnej hodnote 17,57 mil. € až 22,2 mil. €. </w:t>
      </w:r>
    </w:p>
    <w:p w:rsidR="00706919" w:rsidRDefault="00706919" w:rsidP="0042220A">
      <w:pPr>
        <w:pStyle w:val="Nadpis3"/>
      </w:pPr>
      <w:bookmarkStart w:id="480" w:name="_Toc36664428"/>
      <w:r>
        <w:t>Zvýšenie intenzít povinných vozidiel na sieti</w:t>
      </w:r>
      <w:bookmarkEnd w:id="480"/>
    </w:p>
    <w:p w:rsidR="00E817AC" w:rsidRDefault="00EE3480" w:rsidP="00E817AC">
      <w:pPr>
        <w:pStyle w:val="Nadpis4"/>
      </w:pPr>
      <w:bookmarkStart w:id="481" w:name="_Toc36664429"/>
      <w:r>
        <w:t>D</w:t>
      </w:r>
      <w:r w:rsidR="00E817AC">
        <w:t>o</w:t>
      </w:r>
      <w:r w:rsidR="00A22D02">
        <w:t>budovanie</w:t>
      </w:r>
      <w:r w:rsidR="00E817AC">
        <w:t xml:space="preserve"> siete diaľnic a rýchlostných ciest</w:t>
      </w:r>
      <w:bookmarkEnd w:id="481"/>
    </w:p>
    <w:p w:rsidR="00E817AC" w:rsidRDefault="00E817AC" w:rsidP="006649F5">
      <w:pPr>
        <w:pStyle w:val="Odsekzoznamu"/>
        <w:ind w:left="0"/>
        <w:contextualSpacing w:val="0"/>
      </w:pPr>
      <w:r>
        <w:t xml:space="preserve">Dostavaním chýbajúcich slovenských úsekov diaľnic a rýchlostných ciest </w:t>
      </w:r>
      <w:r w:rsidR="00980FE1">
        <w:t>(</w:t>
      </w:r>
      <w:r w:rsidR="00AE5B8A">
        <w:fldChar w:fldCharType="begin"/>
      </w:r>
      <w:r w:rsidR="00980FE1">
        <w:instrText xml:space="preserve"> REF _Ref24002824 \h </w:instrText>
      </w:r>
      <w:r w:rsidR="00AE5B8A">
        <w:fldChar w:fldCharType="separate"/>
      </w:r>
      <w:r w:rsidR="001E4C1C">
        <w:t xml:space="preserve">Obr. </w:t>
      </w:r>
      <w:r w:rsidR="001E4C1C">
        <w:rPr>
          <w:noProof/>
        </w:rPr>
        <w:t>4</w:t>
      </w:r>
      <w:r w:rsidR="001E4C1C">
        <w:noBreakHyphen/>
      </w:r>
      <w:r w:rsidR="001E4C1C">
        <w:rPr>
          <w:noProof/>
        </w:rPr>
        <w:t>3</w:t>
      </w:r>
      <w:r w:rsidR="00AE5B8A">
        <w:fldChar w:fldCharType="end"/>
      </w:r>
      <w:r w:rsidR="00980FE1">
        <w:t xml:space="preserve">) </w:t>
      </w:r>
      <w:r>
        <w:t xml:space="preserve">na medzinárodných ťahoch by výrazne </w:t>
      </w:r>
      <w:r w:rsidR="00FA2008">
        <w:t>nar</w:t>
      </w:r>
      <w:r w:rsidR="006649F5">
        <w:t>á</w:t>
      </w:r>
      <w:r w:rsidR="00FA2008">
        <w:t>stla</w:t>
      </w:r>
      <w:r>
        <w:t xml:space="preserve"> priepustnosť týchto ťahov, čím by sa zvýšila ich atraktivita a došlo by k presmerovaniu vozidlových prúdov najmä medzinárodnej tranzitnej dopravy na Slovensko. </w:t>
      </w:r>
      <w:r w:rsidR="00604299">
        <w:t xml:space="preserve">Nižšie sú uvádzané príležitosti zvýšenia intenzít povinných vozidiel najmä zahraničných autodopravcov po dobudovaní vybraných úsekov diaľnic a rýchlostných ciest. </w:t>
      </w:r>
    </w:p>
    <w:p w:rsidR="006649F5" w:rsidRPr="006649F5" w:rsidRDefault="006649F5" w:rsidP="006649F5">
      <w:pPr>
        <w:pStyle w:val="Odsekzoznamu"/>
        <w:ind w:left="0"/>
        <w:contextualSpacing w:val="0"/>
        <w:rPr>
          <w:rStyle w:val="Siln"/>
        </w:rPr>
      </w:pPr>
      <w:r>
        <w:rPr>
          <w:rStyle w:val="Siln"/>
        </w:rPr>
        <w:t xml:space="preserve">Dobudovanie </w:t>
      </w:r>
      <w:r w:rsidRPr="006649F5">
        <w:rPr>
          <w:rStyle w:val="Siln"/>
        </w:rPr>
        <w:t>D1</w:t>
      </w:r>
    </w:p>
    <w:p w:rsidR="00C25D1C" w:rsidRPr="00FA2008" w:rsidRDefault="00C25D1C" w:rsidP="006649F5">
      <w:pPr>
        <w:pStyle w:val="Odsekzoznamu"/>
        <w:ind w:left="0"/>
        <w:contextualSpacing w:val="0"/>
      </w:pPr>
      <w:r w:rsidRPr="00FA2008">
        <w:t>V súčasnosti zahraničné vozidlá smerujúce najmä z Ukrajiny a pobaltských štátov obchádzajú Slovensko severnou trasou cez Poľsko kvôli úzkym miestam na diaľnici D1</w:t>
      </w:r>
      <w:r w:rsidR="006649F5">
        <w:t xml:space="preserve"> v </w:t>
      </w:r>
      <w:r w:rsidRPr="00FA2008">
        <w:t>Ružomber</w:t>
      </w:r>
      <w:r w:rsidR="006649F5">
        <w:t xml:space="preserve">ku </w:t>
      </w:r>
      <w:r w:rsidRPr="00FA2008">
        <w:t>a</w:t>
      </w:r>
      <w:r w:rsidR="006649F5">
        <w:t> </w:t>
      </w:r>
      <w:r w:rsidRPr="00FA2008">
        <w:t>Strečn</w:t>
      </w:r>
      <w:r w:rsidR="006649F5">
        <w:t xml:space="preserve">e, </w:t>
      </w:r>
      <w:r w:rsidRPr="00FA2008">
        <w:t xml:space="preserve">ktoré spôsobujú </w:t>
      </w:r>
      <w:r w:rsidR="00E817AC" w:rsidRPr="00FA2008">
        <w:t>kongescie</w:t>
      </w:r>
      <w:r w:rsidRPr="00FA2008">
        <w:t xml:space="preserve"> a následné zdržania. Takisto vozidlá z juhovýchodnej Európy smerujúce ďalej na sever uprednostnia Maďarsko a Moravu, aby sa vyhli Strečnu a Kysuciam.</w:t>
      </w:r>
    </w:p>
    <w:p w:rsidR="006649F5" w:rsidRDefault="00FA2008" w:rsidP="006649F5">
      <w:r w:rsidRPr="00A22D02">
        <w:t>Dostavanie tunela Višňové a chýbajúcich úsekov diaľnice D1 v okolí Ružomberka a Hubovej</w:t>
      </w:r>
      <w:r>
        <w:t xml:space="preserve"> by prepojilo diaľnicu D1 pre domácu cestnú dopravu, pritiahlo by vozidlá aj z juhovýchodného Slovenska a zároveň by prepojilo koridor Rýn - Dunaj (TEN-T) TEM4 z Nemecka cez Česko, Slovensko, Ukrajinu do Rumunska. Zároveň by dokončené spojenie Košíc s Bratislavou mohlo úspešne konkurovať trase Milhosť - Budapešť - Bratislava.</w:t>
      </w:r>
      <w:r w:rsidR="00A22D02">
        <w:t xml:space="preserve"> </w:t>
      </w:r>
      <w:r w:rsidR="006649F5">
        <w:t xml:space="preserve"> </w:t>
      </w:r>
      <w:r w:rsidR="006649F5" w:rsidRPr="00FA2008">
        <w:t>Hlavne pre vozidlá smerujúce do juhozápadnej a severnej Európy by dobudovaná diaľnica predstavovala možnosť súvislej rýchlej jazdy až do Rakúska alebo do Poľska. Pritiahnutie týchto tranzitov by zvýšilo intenzity vozidiel s najvyššími sadzbami, čo by sa prejavilo aj zvýšeným výberom mýta.</w:t>
      </w:r>
      <w:r w:rsidR="006649F5">
        <w:t xml:space="preserve">  </w:t>
      </w:r>
    </w:p>
    <w:p w:rsidR="00A22D02" w:rsidRDefault="006649F5" w:rsidP="00A22D02">
      <w:pPr>
        <w:spacing w:before="0" w:after="200"/>
      </w:pPr>
      <w:r>
        <w:t xml:space="preserve">Na druhej strane, významným rizikom z hľadiska </w:t>
      </w:r>
      <w:r w:rsidR="00476BFD">
        <w:t xml:space="preserve">poklesu </w:t>
      </w:r>
      <w:r>
        <w:t xml:space="preserve">intenzít povinných vozidiel </w:t>
      </w:r>
      <w:r w:rsidR="0001011E">
        <w:t xml:space="preserve">na diaľniciach v SR </w:t>
      </w:r>
      <w:r>
        <w:t xml:space="preserve">je skutočnosť, že </w:t>
      </w:r>
      <w:r w:rsidR="00A22D02">
        <w:t xml:space="preserve">Maďarsko pripravuje otvorenie diaľničného úseku Miškovec - </w:t>
      </w:r>
      <w:r w:rsidR="00A22D02" w:rsidRPr="00376E27">
        <w:t xml:space="preserve">Tornyosnémeti </w:t>
      </w:r>
      <w:r w:rsidR="00A22D02">
        <w:t xml:space="preserve"> (smer Milhosť – Košice), ktorým sa otvorí diaľničné spojenie Košice - Bratislava cez územie Maďarska ale tiež zjednoduší spojenie </w:t>
      </w:r>
      <w:r w:rsidR="00A22D02" w:rsidRPr="00A22D02">
        <w:t>na medzinárodnej trase Chorvátsko - Srbsko - Maďarsko - Slovensko -  Poľsko - pobaltské štáty.</w:t>
      </w:r>
      <w:r w:rsidR="00A22D02">
        <w:t xml:space="preserve"> Táto trasa bude veľmi atraktívna pre diaľkovú tranzitnú dopravu v smere východ - západ a aj pre vnútroštátnu osobnú aj nákladnú dopravu vychádzajúcu z juhovýchodnej časti Slovenska smerom na Bratislavu a v opačnom smere. Po otvorení úseku môže reálne nastať dokonca zníženie intenzít na diaľnici D1 a následný výpadok príjmov z mýta. </w:t>
      </w:r>
    </w:p>
    <w:p w:rsidR="006649F5" w:rsidRPr="006649F5" w:rsidRDefault="006649F5" w:rsidP="006649F5">
      <w:pPr>
        <w:pStyle w:val="Odsekzoznamu"/>
        <w:ind w:left="0"/>
        <w:contextualSpacing w:val="0"/>
        <w:rPr>
          <w:rStyle w:val="Siln"/>
        </w:rPr>
      </w:pPr>
      <w:r w:rsidRPr="006649F5">
        <w:rPr>
          <w:rStyle w:val="Siln"/>
        </w:rPr>
        <w:t>Dobudovanie D3</w:t>
      </w:r>
    </w:p>
    <w:p w:rsidR="00D91A69" w:rsidRDefault="00FA2008" w:rsidP="00FA2008">
      <w:r w:rsidRPr="00FA2008">
        <w:t>D</w:t>
      </w:r>
      <w:r w:rsidR="00D91A69" w:rsidRPr="00FA2008">
        <w:t>ostavan</w:t>
      </w:r>
      <w:r w:rsidR="006649F5">
        <w:t xml:space="preserve">ím </w:t>
      </w:r>
      <w:r w:rsidR="00D91A69" w:rsidRPr="00FA2008">
        <w:t>diaľnice D3</w:t>
      </w:r>
      <w:r w:rsidR="00D91A69">
        <w:t xml:space="preserve"> </w:t>
      </w:r>
      <w:r w:rsidR="006649F5">
        <w:t>sa</w:t>
      </w:r>
      <w:r w:rsidR="00D91A69">
        <w:t xml:space="preserve"> prepoj</w:t>
      </w:r>
      <w:r w:rsidR="006649F5">
        <w:t>í</w:t>
      </w:r>
      <w:r w:rsidR="00D91A69">
        <w:t xml:space="preserve"> pan-európsky balticko</w:t>
      </w:r>
      <w:r>
        <w:t>-</w:t>
      </w:r>
      <w:r w:rsidR="00D91A69">
        <w:t>jadranský koridor (TEN-T) TEM2 v smere juh</w:t>
      </w:r>
      <w:r>
        <w:t>-sever (a naopak)</w:t>
      </w:r>
      <w:r w:rsidR="00D91A69">
        <w:t xml:space="preserve"> z Talianska cez Slovinsko, M</w:t>
      </w:r>
      <w:r>
        <w:t>aďarsko až do Poľska.</w:t>
      </w:r>
      <w:r w:rsidR="00D91A69">
        <w:t xml:space="preserve"> Súčasné dopravné prúdy tranzitujúcich vozidiel z Rakúska cez Moravu do Poľska by sa z časti presmerovali na slovenské diaľnice D4, D1 a D3 do Poľska. Tento ťah by bol zaujímavý </w:t>
      </w:r>
      <w:r>
        <w:t xml:space="preserve">najmä </w:t>
      </w:r>
      <w:r w:rsidR="00D91A69">
        <w:t>pre tranzitujúce vozidlá aj preto, že jazdou cez Slovensko by vozidlá oproti súčasnému stavu (keď trasa vedie</w:t>
      </w:r>
      <w:r>
        <w:t xml:space="preserve"> cez Rakúsko a Moravu) ušetrili na mýtnom. </w:t>
      </w:r>
      <w:r w:rsidR="00D91A69">
        <w:t>Rakúsko má totiž výrazne vyššie sadzby pre ťažkú nákladnú dopravu ako Slovensko, navyše sú sadzby zvýšené za jazdu v noci.</w:t>
      </w:r>
      <w:r w:rsidR="00A22D02">
        <w:t xml:space="preserve"> </w:t>
      </w:r>
    </w:p>
    <w:p w:rsidR="0001011E" w:rsidRDefault="00BB208C" w:rsidP="00FA2008">
      <w:pPr>
        <w:rPr>
          <w:b/>
        </w:rPr>
      </w:pPr>
      <w:r>
        <w:rPr>
          <w:b/>
        </w:rPr>
        <w:t>Dobudovanie R4 Prešov-Vyšný K</w:t>
      </w:r>
      <w:r w:rsidR="0001011E">
        <w:rPr>
          <w:b/>
        </w:rPr>
        <w:t xml:space="preserve">omárnik </w:t>
      </w:r>
    </w:p>
    <w:p w:rsidR="0001011E" w:rsidRDefault="0001011E" w:rsidP="00FA2008">
      <w:r w:rsidRPr="0001011E">
        <w:t>Dobudovanie tohto úseku</w:t>
      </w:r>
      <w:r>
        <w:rPr>
          <w:b/>
        </w:rPr>
        <w:t xml:space="preserve"> </w:t>
      </w:r>
      <w:r w:rsidR="00A22D02">
        <w:t>by zvýšilo atraktivitu tejto trasy a zvýšili by sa intenzity diaľkovej tranzitnej dopravy aj na úseku Milhosť - Vyšný Komár</w:t>
      </w:r>
      <w:r>
        <w:t>nik, čo by zvýšilo výnos z mýta.</w:t>
      </w:r>
    </w:p>
    <w:p w:rsidR="00CA1819" w:rsidRDefault="00CA1819" w:rsidP="00FA2008">
      <w:pPr>
        <w:sectPr w:rsidR="00CA1819" w:rsidSect="00383F58">
          <w:headerReference w:type="default" r:id="rId115"/>
          <w:footerReference w:type="default" r:id="rId116"/>
          <w:pgSz w:w="11907" w:h="16840" w:code="9"/>
          <w:pgMar w:top="1550" w:right="1134" w:bottom="1440" w:left="1418" w:header="510" w:footer="204" w:gutter="0"/>
          <w:cols w:space="240"/>
          <w:docGrid w:linePitch="299"/>
        </w:sectPr>
      </w:pPr>
    </w:p>
    <w:p w:rsidR="00604299" w:rsidRDefault="0001011E" w:rsidP="00604299">
      <w:pPr>
        <w:keepNext/>
        <w:jc w:val="center"/>
      </w:pPr>
      <w:r>
        <w:rPr>
          <w:noProof/>
          <w:lang w:eastAsia="sk-SK"/>
        </w:rPr>
        <w:drawing>
          <wp:inline distT="0" distB="0" distL="0" distR="0">
            <wp:extent cx="8380671" cy="5226435"/>
            <wp:effectExtent l="19050" t="0" r="1329" b="0"/>
            <wp:docPr id="57" name="Obrázek 56" descr="diaľničná sieť-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ľničná sieť-1.jpg"/>
                    <pic:cNvPicPr/>
                  </pic:nvPicPr>
                  <pic:blipFill>
                    <a:blip r:embed="rId117" cstate="print"/>
                    <a:srcRect l="4153" t="17949" r="3704"/>
                    <a:stretch>
                      <a:fillRect/>
                    </a:stretch>
                  </pic:blipFill>
                  <pic:spPr>
                    <a:xfrm>
                      <a:off x="0" y="0"/>
                      <a:ext cx="8379063" cy="5225432"/>
                    </a:xfrm>
                    <a:prstGeom prst="rect">
                      <a:avLst/>
                    </a:prstGeom>
                  </pic:spPr>
                </pic:pic>
              </a:graphicData>
            </a:graphic>
          </wp:inline>
        </w:drawing>
      </w:r>
    </w:p>
    <w:p w:rsidR="0001011E" w:rsidRDefault="00604299" w:rsidP="00604299">
      <w:pPr>
        <w:pStyle w:val="Popis"/>
        <w:sectPr w:rsidR="0001011E" w:rsidSect="00135588">
          <w:headerReference w:type="default" r:id="rId118"/>
          <w:footerReference w:type="default" r:id="rId119"/>
          <w:pgSz w:w="16840" w:h="11907" w:orient="landscape" w:code="9"/>
          <w:pgMar w:top="1418" w:right="1985" w:bottom="1134" w:left="1418" w:header="567" w:footer="204" w:gutter="0"/>
          <w:cols w:space="240"/>
          <w:docGrid w:linePitch="299"/>
        </w:sectPr>
      </w:pPr>
      <w:bookmarkStart w:id="482" w:name="_Ref24002824"/>
      <w:bookmarkStart w:id="483" w:name="_Toc36664557"/>
      <w:r>
        <w:t xml:space="preserve">Obr. </w:t>
      </w:r>
      <w:r w:rsidR="00C40D3F">
        <w:fldChar w:fldCharType="begin"/>
      </w:r>
      <w:r w:rsidR="00C40D3F">
        <w:instrText xml:space="preserve"> STYLEREF 1 \s </w:instrText>
      </w:r>
      <w:r w:rsidR="00C40D3F">
        <w:fldChar w:fldCharType="separate"/>
      </w:r>
      <w:r w:rsidR="00D61B89">
        <w:rPr>
          <w:noProof/>
        </w:rPr>
        <w:t>4</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3</w:t>
      </w:r>
      <w:r w:rsidR="00C40D3F">
        <w:rPr>
          <w:noProof/>
        </w:rPr>
        <w:fldChar w:fldCharType="end"/>
      </w:r>
      <w:bookmarkEnd w:id="482"/>
      <w:r>
        <w:t xml:space="preserve"> Sieť diaľnic a rýchlostných ciest na Slovensku</w:t>
      </w:r>
      <w:r w:rsidR="00980FE1">
        <w:t xml:space="preserve"> </w:t>
      </w:r>
      <w:r w:rsidR="00980FE1" w:rsidRPr="00E85785">
        <w:t>[10]</w:t>
      </w:r>
      <w:bookmarkEnd w:id="483"/>
    </w:p>
    <w:p w:rsidR="00E817AC" w:rsidRDefault="00EE3480" w:rsidP="00E817AC">
      <w:pPr>
        <w:pStyle w:val="Nadpis4"/>
      </w:pPr>
      <w:bookmarkStart w:id="484" w:name="_Toc36664430"/>
      <w:r>
        <w:t>P</w:t>
      </w:r>
      <w:r w:rsidR="00E817AC">
        <w:t>rirodzený medziročný nárast intenzít</w:t>
      </w:r>
      <w:bookmarkEnd w:id="484"/>
    </w:p>
    <w:p w:rsidR="00866E82" w:rsidRDefault="00866E82" w:rsidP="00D55501">
      <w:r>
        <w:t xml:space="preserve">Druhý faktor, ktorý určuje zvýšenie intenzít je prirodzený medziročný nárast intenzít. </w:t>
      </w:r>
      <w:r w:rsidR="00FF200E">
        <w:t xml:space="preserve">Úroveň rýchlosti </w:t>
      </w:r>
      <w:r>
        <w:t xml:space="preserve">nárastu </w:t>
      </w:r>
      <w:r w:rsidR="00FF200E">
        <w:t>intenzít je určovaná na základe</w:t>
      </w:r>
      <w:r>
        <w:t xml:space="preserve"> pravidelných celoštátnych sčítaní dopravy a pre </w:t>
      </w:r>
      <w:r w:rsidR="00FF200E">
        <w:t>účely</w:t>
      </w:r>
      <w:r>
        <w:t xml:space="preserve"> prognózovania intenzít sú indexy nárastu vydané v Technických podmienkach </w:t>
      </w:r>
      <w:r w:rsidRPr="00604299">
        <w:t>Prognózovanie výhľadových intenzít na cestnej sieti do roku 2040</w:t>
      </w:r>
      <w:r>
        <w:t xml:space="preserve"> (TP07/2013 s účinnosťou od 15.11.2013).</w:t>
      </w:r>
    </w:p>
    <w:p w:rsidR="00866E82" w:rsidRDefault="00866E82" w:rsidP="00D55501">
      <w:r>
        <w:t>Technické podmienky stanovujú indexy nárastu intenzít v jednotlivých krajoch v rozdelení podľa ciest</w:t>
      </w:r>
      <w:r w:rsidR="00FF200E">
        <w:t xml:space="preserve"> a kategórii vozidiel (</w:t>
      </w:r>
      <w:r>
        <w:t>ľahké a ťažké vozidlá</w:t>
      </w:r>
      <w:r w:rsidR="00FF200E">
        <w:t>)</w:t>
      </w:r>
      <w:r>
        <w:t xml:space="preserve"> v 5-ročných intervaloch. Pre potreby odhadu </w:t>
      </w:r>
      <w:r w:rsidR="00FF200E">
        <w:t xml:space="preserve">potenciálnych </w:t>
      </w:r>
      <w:r>
        <w:t xml:space="preserve">výnosov </w:t>
      </w:r>
      <w:r w:rsidR="00FF200E">
        <w:t xml:space="preserve">systému EMS SR </w:t>
      </w:r>
      <w:r w:rsidR="00EF7A60">
        <w:t>v rokoch</w:t>
      </w:r>
      <w:r>
        <w:t xml:space="preserve"> 201</w:t>
      </w:r>
      <w:r w:rsidR="00EF7A60">
        <w:t>8</w:t>
      </w:r>
      <w:r>
        <w:t xml:space="preserve"> </w:t>
      </w:r>
      <w:r w:rsidR="00EF7A60">
        <w:t>–</w:t>
      </w:r>
      <w:r>
        <w:t xml:space="preserve"> 202</w:t>
      </w:r>
      <w:r w:rsidR="00EF7A60">
        <w:t xml:space="preserve">3 </w:t>
      </w:r>
      <w:r w:rsidR="00FF200E">
        <w:t xml:space="preserve">riešiteľský kolektív </w:t>
      </w:r>
      <w:r>
        <w:t>prepočítal priemerné nárasty intenzít ťažkých vozidiel za celé Slovensko</w:t>
      </w:r>
      <w:r w:rsidR="00EF7A60">
        <w:t xml:space="preserve">. </w:t>
      </w:r>
      <w:r>
        <w:t xml:space="preserve"> </w:t>
      </w:r>
      <w:r w:rsidR="00EF7A60">
        <w:t xml:space="preserve">Prepočítavať nárast intenzít spoplatnených povinných vozidiel zvlášť nie je potrebné, nakoľko všetky spoplatnené vozidlá patria medzi ťažké vozidlá a teda indexy nárastu sú rovnaké. </w:t>
      </w:r>
      <w:r>
        <w:t xml:space="preserve">Absolútny </w:t>
      </w:r>
      <w:r w:rsidR="00FF200E">
        <w:t xml:space="preserve">predpokladaný </w:t>
      </w:r>
      <w:r>
        <w:t>nárast intenzít medzi rokmi 2018 - 2023 je uvedený na nasledujúcom grafe</w:t>
      </w:r>
      <w:r w:rsidR="00FF200E">
        <w:t xml:space="preserve"> (</w:t>
      </w:r>
      <w:r w:rsidR="00C40D3F">
        <w:fldChar w:fldCharType="begin"/>
      </w:r>
      <w:r w:rsidR="00C40D3F">
        <w:instrText xml:space="preserve"> REF _Ref24003722 \h  \* MERGEFORMAT </w:instrText>
      </w:r>
      <w:r w:rsidR="00C40D3F">
        <w:fldChar w:fldCharType="separate"/>
      </w:r>
      <w:r w:rsidR="001E4C1C">
        <w:t xml:space="preserve">Obr. </w:t>
      </w:r>
      <w:r w:rsidR="001E4C1C">
        <w:rPr>
          <w:noProof/>
        </w:rPr>
        <w:t>4</w:t>
      </w:r>
      <w:r w:rsidR="001E4C1C">
        <w:rPr>
          <w:noProof/>
        </w:rPr>
        <w:noBreakHyphen/>
        <w:t>4</w:t>
      </w:r>
      <w:r w:rsidR="00C40D3F">
        <w:fldChar w:fldCharType="end"/>
      </w:r>
      <w:r w:rsidR="00FF200E">
        <w:t>)</w:t>
      </w:r>
      <w:r>
        <w:t>.</w:t>
      </w:r>
    </w:p>
    <w:p w:rsidR="00FF200E" w:rsidRPr="00521EAE" w:rsidRDefault="00FF200E" w:rsidP="00FF200E">
      <w:r w:rsidRPr="00FF200E">
        <w:rPr>
          <w:noProof/>
          <w:lang w:eastAsia="sk-SK"/>
        </w:rPr>
        <w:drawing>
          <wp:inline distT="0" distB="0" distL="0" distR="0">
            <wp:extent cx="5940000" cy="2336899"/>
            <wp:effectExtent l="19050" t="0" r="22650" b="6251"/>
            <wp:docPr id="54"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FF200E" w:rsidRDefault="00FF200E" w:rsidP="00FF200E">
      <w:pPr>
        <w:pStyle w:val="Popis"/>
      </w:pPr>
      <w:bookmarkStart w:id="485" w:name="_Ref24003722"/>
      <w:bookmarkStart w:id="486" w:name="_Toc36664558"/>
      <w:r>
        <w:t xml:space="preserve">Obr. </w:t>
      </w:r>
      <w:r w:rsidR="00C40D3F">
        <w:fldChar w:fldCharType="begin"/>
      </w:r>
      <w:r w:rsidR="00C40D3F">
        <w:instrText xml:space="preserve"> STYLEREF 1 \s </w:instrText>
      </w:r>
      <w:r w:rsidR="00C40D3F">
        <w:fldChar w:fldCharType="separate"/>
      </w:r>
      <w:r w:rsidR="00D61B89">
        <w:rPr>
          <w:noProof/>
        </w:rPr>
        <w:t>4</w:t>
      </w:r>
      <w:r w:rsidR="00C40D3F">
        <w:rPr>
          <w:noProof/>
        </w:rPr>
        <w:fldChar w:fldCharType="end"/>
      </w:r>
      <w:r w:rsidR="00D61B89">
        <w:noBreakHyphen/>
      </w:r>
      <w:r w:rsidR="00C40D3F">
        <w:fldChar w:fldCharType="begin"/>
      </w:r>
      <w:r w:rsidR="00C40D3F">
        <w:instrText xml:space="preserve"> SEQ Obr. \* ARABIC \s 1 </w:instrText>
      </w:r>
      <w:r w:rsidR="00C40D3F">
        <w:fldChar w:fldCharType="separate"/>
      </w:r>
      <w:r w:rsidR="00D61B89">
        <w:rPr>
          <w:noProof/>
        </w:rPr>
        <w:t>4</w:t>
      </w:r>
      <w:r w:rsidR="00C40D3F">
        <w:rPr>
          <w:noProof/>
        </w:rPr>
        <w:fldChar w:fldCharType="end"/>
      </w:r>
      <w:bookmarkEnd w:id="485"/>
      <w:r>
        <w:t xml:space="preserve"> Predpokladaný nárast intenzít vozidiel v</w:t>
      </w:r>
      <w:r w:rsidR="00EF7A60">
        <w:t xml:space="preserve"> jednotlivých</w:t>
      </w:r>
      <w:r>
        <w:t xml:space="preserve"> krajoch </w:t>
      </w:r>
      <w:r w:rsidR="00EF7A60">
        <w:t>SR v období rokov 2018-2023</w:t>
      </w:r>
      <w:bookmarkEnd w:id="486"/>
    </w:p>
    <w:p w:rsidR="00866E82" w:rsidRDefault="00EF7A60" w:rsidP="00EF7A60">
      <w:r>
        <w:t>Z grafu vyplýva</w:t>
      </w:r>
      <w:r w:rsidR="00866E82">
        <w:t xml:space="preserve">, že na všetkých sledovaných cestách v období </w:t>
      </w:r>
      <w:r w:rsidR="00D55501">
        <w:t xml:space="preserve">rokov </w:t>
      </w:r>
      <w:r w:rsidR="00866E82">
        <w:t xml:space="preserve">2018 - 2023 </w:t>
      </w:r>
      <w:r w:rsidR="00866E82" w:rsidRPr="00D55501">
        <w:t>narastú</w:t>
      </w:r>
      <w:r w:rsidR="00866E82">
        <w:t xml:space="preserve"> intenzity spoplatnených </w:t>
      </w:r>
      <w:r>
        <w:t xml:space="preserve">povinných </w:t>
      </w:r>
      <w:r w:rsidR="00866E82">
        <w:t xml:space="preserve">vozidiel. Na diaľniciach </w:t>
      </w:r>
      <w:r>
        <w:t xml:space="preserve">a rýchlostných cestách </w:t>
      </w:r>
      <w:r w:rsidR="00866E82">
        <w:t>najviac v </w:t>
      </w:r>
      <w:r w:rsidR="006F2B7A">
        <w:t>Ž</w:t>
      </w:r>
      <w:r w:rsidR="00866E82">
        <w:t>ilinskom kraji</w:t>
      </w:r>
      <w:r w:rsidR="00D55501">
        <w:t xml:space="preserve"> (</w:t>
      </w:r>
      <w:r w:rsidR="00866E82">
        <w:t>o 18,3%</w:t>
      </w:r>
      <w:r w:rsidR="00D55501">
        <w:t>)</w:t>
      </w:r>
      <w:r w:rsidR="00866E82">
        <w:t>, naj</w:t>
      </w:r>
      <w:r w:rsidR="00D55501">
        <w:t>menej v T</w:t>
      </w:r>
      <w:r w:rsidR="00866E82">
        <w:t xml:space="preserve">renčianskom kraji </w:t>
      </w:r>
      <w:r w:rsidR="00D55501">
        <w:t>(</w:t>
      </w:r>
      <w:r w:rsidR="00866E82">
        <w:t>o 8,20%</w:t>
      </w:r>
      <w:r w:rsidR="00D55501">
        <w:t>)</w:t>
      </w:r>
      <w:r w:rsidR="00866E82">
        <w:t>. Na cestách I. trie</w:t>
      </w:r>
      <w:r w:rsidR="00D55501">
        <w:t>dy najviac narastú intenzity v Trnavskom kraji a najmenej v T</w:t>
      </w:r>
      <w:r w:rsidR="00866E82">
        <w:t xml:space="preserve">renčianskom kraji </w:t>
      </w:r>
      <w:r w:rsidR="00D55501">
        <w:t>(</w:t>
      </w:r>
      <w:r w:rsidR="00866E82">
        <w:t>o 4,6%</w:t>
      </w:r>
      <w:r w:rsidR="00D55501">
        <w:t>)</w:t>
      </w:r>
      <w:r w:rsidR="00866E82">
        <w:t>.</w:t>
      </w:r>
      <w:r>
        <w:t xml:space="preserve"> </w:t>
      </w:r>
      <w:r w:rsidR="00866E82" w:rsidRPr="00283C90">
        <w:rPr>
          <w:b/>
        </w:rPr>
        <w:t>Priemerný nárast intenzít medzi rokmi 201</w:t>
      </w:r>
      <w:r w:rsidR="00283C90" w:rsidRPr="00283C90">
        <w:rPr>
          <w:b/>
        </w:rPr>
        <w:t>8</w:t>
      </w:r>
      <w:r w:rsidR="00866E82" w:rsidRPr="00283C90">
        <w:rPr>
          <w:b/>
        </w:rPr>
        <w:t xml:space="preserve"> - 2023 na diaľniciach</w:t>
      </w:r>
      <w:r w:rsidR="00283C90">
        <w:rPr>
          <w:b/>
        </w:rPr>
        <w:t xml:space="preserve"> a rýchlostných cestách</w:t>
      </w:r>
      <w:r w:rsidR="00866E82" w:rsidRPr="00283C90">
        <w:rPr>
          <w:b/>
        </w:rPr>
        <w:t xml:space="preserve"> je 13,11% a na cestách I. triedy 10,07%</w:t>
      </w:r>
      <w:r w:rsidR="00283C90">
        <w:rPr>
          <w:b/>
        </w:rPr>
        <w:t>.</w:t>
      </w:r>
      <w:r w:rsidR="00866E82">
        <w:t xml:space="preserve"> </w:t>
      </w:r>
      <w:r w:rsidR="00283C90" w:rsidRPr="00283C90">
        <w:rPr>
          <w:b/>
        </w:rPr>
        <w:t>Za predpokladu udržania mýtnych sadzieb na úrovni roku 2018 budú výnosy mýta rásť lineárne s rastom intenzít vozidiel.</w:t>
      </w:r>
      <w:r w:rsidR="00283C90">
        <w:t xml:space="preserve"> </w:t>
      </w:r>
    </w:p>
    <w:p w:rsidR="00283C90" w:rsidRDefault="00283C90" w:rsidP="00283C90">
      <w:r>
        <w:t xml:space="preserve">Riešiteľský kolektív porovnal nárast celkových výnosov EMS SR v minulosti </w:t>
      </w:r>
      <w:r w:rsidR="00866E82">
        <w:t xml:space="preserve">s prepočítaným nárastom </w:t>
      </w:r>
      <w:r w:rsidR="00C262E8">
        <w:t xml:space="preserve">výnosov </w:t>
      </w:r>
      <w:r w:rsidR="00866E82">
        <w:t xml:space="preserve">podľa indexov rastu intenzít 2015 </w:t>
      </w:r>
      <w:r>
        <w:t>–</w:t>
      </w:r>
      <w:r w:rsidR="00866E82">
        <w:t xml:space="preserve"> 2018</w:t>
      </w:r>
      <w:r>
        <w:t xml:space="preserve">. Z výsledkov porovnania vyplynulo, že </w:t>
      </w:r>
      <w:r w:rsidR="00E26074">
        <w:t xml:space="preserve">skutočná výška výnosov systému bola vyššia ako vypočítaná výška výnosov podľa indexov rastu intenzít. </w:t>
      </w:r>
      <w:r w:rsidR="00C262E8">
        <w:t xml:space="preserve">Na diaľniciach a rýchlostných cestách bol rast </w:t>
      </w:r>
      <w:r w:rsidR="00D67F95">
        <w:t>výnosov</w:t>
      </w:r>
      <w:r w:rsidR="00C262E8">
        <w:t xml:space="preserve"> vyšší o 6,6% a na cestách I. triedy </w:t>
      </w:r>
      <w:r w:rsidR="00D67F95">
        <w:t xml:space="preserve">vyšší </w:t>
      </w:r>
      <w:r w:rsidR="00C262E8">
        <w:t>o 0,</w:t>
      </w:r>
      <w:r w:rsidR="00D67F95">
        <w:t>4%. Po upravení indexov rastu intenzít podľa troch rokov skutočných výnosov (2016 - 2018) bol prepočítaný rast výnosov EMS SR v období rokov 2019 – 2023 (</w:t>
      </w:r>
      <w:r w:rsidR="00AE5B8A">
        <w:fldChar w:fldCharType="begin"/>
      </w:r>
      <w:r w:rsidR="00D67F95">
        <w:instrText xml:space="preserve"> REF _Ref24003722 \h </w:instrText>
      </w:r>
      <w:r w:rsidR="00AE5B8A">
        <w:fldChar w:fldCharType="separate"/>
      </w:r>
      <w:r w:rsidR="001E4C1C">
        <w:t xml:space="preserve">Obr. </w:t>
      </w:r>
      <w:r w:rsidR="001E4C1C">
        <w:rPr>
          <w:noProof/>
        </w:rPr>
        <w:t>4</w:t>
      </w:r>
      <w:r w:rsidR="001E4C1C">
        <w:noBreakHyphen/>
      </w:r>
      <w:r w:rsidR="001E4C1C">
        <w:rPr>
          <w:noProof/>
        </w:rPr>
        <w:t>4</w:t>
      </w:r>
      <w:r w:rsidR="00AE5B8A">
        <w:fldChar w:fldCharType="end"/>
      </w:r>
      <w:r w:rsidR="00D67F95">
        <w:t xml:space="preserve">). </w:t>
      </w:r>
    </w:p>
    <w:p w:rsidR="00D67F95" w:rsidRPr="00077443" w:rsidRDefault="00D67F95" w:rsidP="00D67F95">
      <w:pPr>
        <w:rPr>
          <w:b/>
        </w:rPr>
      </w:pPr>
      <w:r w:rsidRPr="00077443">
        <w:rPr>
          <w:b/>
        </w:rPr>
        <w:t>Pri zachovaní súčasného rastu ekonomiky by intenzity spoplatnených vozidiel mohli narásť v roku 2023 o</w:t>
      </w:r>
      <w:r w:rsidR="00077443" w:rsidRPr="00077443">
        <w:rPr>
          <w:b/>
        </w:rPr>
        <w:t> 14,78</w:t>
      </w:r>
      <w:r w:rsidRPr="00077443">
        <w:rPr>
          <w:b/>
        </w:rPr>
        <w:t>% na diaľniciach a rýchlostných cestách a o 10,</w:t>
      </w:r>
      <w:r w:rsidR="00077443" w:rsidRPr="00077443">
        <w:rPr>
          <w:b/>
        </w:rPr>
        <w:t>51</w:t>
      </w:r>
      <w:r w:rsidRPr="00077443">
        <w:rPr>
          <w:b/>
        </w:rPr>
        <w:t xml:space="preserve">% na cestách I. triedy. Výnosy z mýta by tak v roku 2023 mohli dosiahnuť takmer 242 mil. €. </w:t>
      </w:r>
    </w:p>
    <w:p w:rsidR="00283C90" w:rsidRDefault="00D26B7A" w:rsidP="00283C90">
      <w:r w:rsidRPr="00D26B7A">
        <w:rPr>
          <w:noProof/>
          <w:lang w:eastAsia="sk-SK"/>
        </w:rPr>
        <w:drawing>
          <wp:inline distT="0" distB="0" distL="0" distR="0">
            <wp:extent cx="5940425" cy="2340000"/>
            <wp:effectExtent l="0" t="0" r="3175" b="3175"/>
            <wp:docPr id="61"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D67F95" w:rsidRDefault="00D67F95" w:rsidP="00D67F95">
      <w:pPr>
        <w:pStyle w:val="Popis"/>
      </w:pPr>
      <w:bookmarkStart w:id="487" w:name="_Toc36664559"/>
      <w:r>
        <w:t xml:space="preserve">Obr. </w:t>
      </w:r>
      <w:r w:rsidR="00C40D3F">
        <w:fldChar w:fldCharType="begin"/>
      </w:r>
      <w:r w:rsidR="00C40D3F">
        <w:instrText xml:space="preserve"> STYLEREF 1 \s </w:instrText>
      </w:r>
      <w:r w:rsidR="00C40D3F">
        <w:fldChar w:fldCharType="separate"/>
      </w:r>
      <w:r w:rsidR="00D61B89">
        <w:rPr>
          <w:noProof/>
        </w:rPr>
        <w:t>4</w:t>
      </w:r>
      <w:r w:rsidR="00C40D3F">
        <w:rPr>
          <w:noProof/>
        </w:rPr>
        <w:fldChar w:fldCharType="end"/>
      </w:r>
      <w:r w:rsidR="00D61B89">
        <w:noBreakHyphen/>
      </w:r>
      <w:r w:rsidR="00C40D3F">
        <w:fldChar w:fldCharType="begin"/>
      </w:r>
      <w:r w:rsidR="00C40D3F">
        <w:instrText xml:space="preserve"> S</w:instrText>
      </w:r>
      <w:r w:rsidR="00C40D3F">
        <w:instrText xml:space="preserve">EQ Obr. \* ARABIC \s 1 </w:instrText>
      </w:r>
      <w:r w:rsidR="00C40D3F">
        <w:fldChar w:fldCharType="separate"/>
      </w:r>
      <w:r w:rsidR="00D61B89">
        <w:rPr>
          <w:noProof/>
        </w:rPr>
        <w:t>5</w:t>
      </w:r>
      <w:r w:rsidR="00C40D3F">
        <w:rPr>
          <w:noProof/>
        </w:rPr>
        <w:fldChar w:fldCharType="end"/>
      </w:r>
      <w:r>
        <w:t xml:space="preserve"> </w:t>
      </w:r>
      <w:r w:rsidRPr="00D67F95">
        <w:t>Prepočítaný rast výnosov na spoplatnených úsekoch  ciest EMS SR  v období rokov 2019 - 2023</w:t>
      </w:r>
      <w:bookmarkEnd w:id="487"/>
    </w:p>
    <w:p w:rsidR="00866E82" w:rsidRDefault="00AE5B8A" w:rsidP="00D67F95">
      <w:r w:rsidRPr="0069372A">
        <w:t>Pokiaľ sa zvýšia mýtne sadzby pre niektoré kategórie vozidiel, nárast výnosov EMS SR bude ešte vyšší. To isté platí, ak sa odovzdajú ďalšie úseky diaľnic (najmä D1), ktoré zcelia niektoré hlavné ťahy. Rok 2022 bude posledným rokom prevádzky mýta, keď správca mýta platí splátky systému a teda od roku 2023 bude efektívnosť systému podstatne priaznivejšia.</w:t>
      </w:r>
    </w:p>
    <w:p w:rsidR="007F124F" w:rsidRDefault="00EB403C" w:rsidP="0069372A">
      <w:pPr>
        <w:pStyle w:val="Nadpis2"/>
      </w:pPr>
      <w:bookmarkStart w:id="488" w:name="_Toc33554527"/>
      <w:bookmarkStart w:id="489" w:name="_Toc33554644"/>
      <w:bookmarkStart w:id="490" w:name="_Toc33554754"/>
      <w:bookmarkStart w:id="491" w:name="_Toc33554864"/>
      <w:bookmarkStart w:id="492" w:name="_Toc33784647"/>
      <w:bookmarkStart w:id="493" w:name="_Toc36664431"/>
      <w:bookmarkEnd w:id="488"/>
      <w:bookmarkEnd w:id="489"/>
      <w:bookmarkEnd w:id="490"/>
      <w:bookmarkEnd w:id="491"/>
      <w:bookmarkEnd w:id="492"/>
      <w:r>
        <w:t>Ď</w:t>
      </w:r>
      <w:r w:rsidR="0087373C" w:rsidRPr="0069372A">
        <w:t>alšie opatrenia na zvýšenie efektívnosti EMS</w:t>
      </w:r>
      <w:bookmarkEnd w:id="493"/>
      <w:r w:rsidR="00DB43A8" w:rsidRPr="0069372A">
        <w:t xml:space="preserve"> </w:t>
      </w:r>
    </w:p>
    <w:p w:rsidR="00AD5479" w:rsidRDefault="00AD5479" w:rsidP="00AD5479">
      <w:r>
        <w:t xml:space="preserve">Spokojnosť užívateľov s mýtnym systémom sa neviaže len na dĺžku spoplatnených komunikácií a na sadzby mýta, ale aj na dobré a užívateľsky príjemné fungovanie technológie, najmä pri platbách a počas jazdy. Riešiteľ v predchádzajúcich projektoch a na rokovaniach na tému mýtny systém získal prehľad aj o názoroch dopravcov, ktorí prevádzkujú spoplatnené vozidlá. Z nich vyplýva, že dopravcovia aj samotní vodiči spoplatnených vozidiel majú relevantné názory na nedostatky (z ich pohľadu) mýtneho systému a majú viaceré požiadavky na úpravy. Ich splnenie by im zlepšilo a najmä uľahčilo jeho používanie a následne aj zvýšilo jeho akceptáciu. </w:t>
      </w:r>
    </w:p>
    <w:p w:rsidR="00AD5479" w:rsidRDefault="00AD5479" w:rsidP="00AD5479">
      <w:r>
        <w:t>Ak by správca systému (NDS,a.s.) v rokovaniach s prevádzkovateľom (SkyToll,a.s.) dokázal vylepšiť fungovanie mýtneho systému, mal by lepšiu pozíciu na zavedenie menej populárnych opatrení, uvedených v predošlom texte. Preto súčasťou tejto analýzy opatrení je popis problémov, ktoré prvotne nesúvisia so sadzbami ani so spoplatnenými úsekmi.</w:t>
      </w:r>
    </w:p>
    <w:p w:rsidR="00AD5479" w:rsidRDefault="00AD5479" w:rsidP="00AD5479">
      <w:r>
        <w:t>J</w:t>
      </w:r>
      <w:r w:rsidRPr="00AF48A1">
        <w:t xml:space="preserve">e možné navrhnúť niekoľko okruhov zlepšení mýtneho systému </w:t>
      </w:r>
      <w:r>
        <w:t>v dvoch oblastiach:</w:t>
      </w:r>
    </w:p>
    <w:p w:rsidR="00AD5479" w:rsidRDefault="00AD5479" w:rsidP="000A4510">
      <w:pPr>
        <w:pStyle w:val="Odsekzoznamu"/>
        <w:numPr>
          <w:ilvl w:val="0"/>
          <w:numId w:val="48"/>
        </w:numPr>
        <w:contextualSpacing w:val="0"/>
      </w:pPr>
      <w:r w:rsidRPr="00AF48A1">
        <w:t>organizáci</w:t>
      </w:r>
      <w:r>
        <w:t>a</w:t>
      </w:r>
      <w:r w:rsidRPr="00AF48A1">
        <w:t xml:space="preserve"> výberu mýta</w:t>
      </w:r>
      <w:r>
        <w:t>,</w:t>
      </w:r>
    </w:p>
    <w:p w:rsidR="0069372A" w:rsidRDefault="00AD5479" w:rsidP="000A4510">
      <w:pPr>
        <w:pStyle w:val="Normaltext"/>
        <w:numPr>
          <w:ilvl w:val="0"/>
          <w:numId w:val="48"/>
        </w:numPr>
        <w:spacing w:line="276" w:lineRule="auto"/>
      </w:pPr>
      <w:r w:rsidRPr="00AF48A1">
        <w:t>technológi</w:t>
      </w:r>
      <w:r>
        <w:t>a</w:t>
      </w:r>
      <w:r w:rsidRPr="00AF48A1">
        <w:t xml:space="preserve"> výberu mýta</w:t>
      </w:r>
      <w:r>
        <w:t>.</w:t>
      </w:r>
    </w:p>
    <w:p w:rsidR="00AD5479" w:rsidRDefault="00AD5479" w:rsidP="00AD5479">
      <w:pPr>
        <w:pStyle w:val="Nadpis3"/>
      </w:pPr>
      <w:bookmarkStart w:id="494" w:name="_Toc454185907"/>
      <w:bookmarkStart w:id="495" w:name="_Toc36664432"/>
      <w:r w:rsidRPr="00AF48A1">
        <w:t>Organiz</w:t>
      </w:r>
      <w:r>
        <w:t>ačné aspekty</w:t>
      </w:r>
      <w:r w:rsidRPr="00AF48A1">
        <w:t xml:space="preserve"> výberu mýta</w:t>
      </w:r>
      <w:bookmarkEnd w:id="494"/>
      <w:bookmarkEnd w:id="495"/>
    </w:p>
    <w:p w:rsidR="00AD5479" w:rsidRPr="00F95F3E" w:rsidRDefault="00AD5479" w:rsidP="00AD5479">
      <w:pPr>
        <w:rPr>
          <w:rFonts w:asciiTheme="minorHAnsi" w:hAnsiTheme="minorHAnsi"/>
          <w:kern w:val="28"/>
        </w:rPr>
      </w:pPr>
      <w:r w:rsidRPr="00F95F3E">
        <w:rPr>
          <w:rFonts w:asciiTheme="minorHAnsi" w:hAnsiTheme="minorHAnsi"/>
          <w:kern w:val="28"/>
        </w:rPr>
        <w:t xml:space="preserve">Riešiteľ popisuje </w:t>
      </w:r>
      <w:r>
        <w:rPr>
          <w:rFonts w:asciiTheme="minorHAnsi" w:hAnsiTheme="minorHAnsi"/>
          <w:kern w:val="28"/>
        </w:rPr>
        <w:t>funkcie mýtneho systému, ktoré by sa mohli zlepšiť v prospech dopravcov (uvedené v poradí podľa dôležitosti).</w:t>
      </w:r>
    </w:p>
    <w:p w:rsidR="00AD5479" w:rsidRPr="00AD5479" w:rsidRDefault="00AD5479" w:rsidP="000A4510">
      <w:pPr>
        <w:numPr>
          <w:ilvl w:val="0"/>
          <w:numId w:val="49"/>
        </w:numPr>
        <w:rPr>
          <w:rFonts w:cs="Arial"/>
        </w:rPr>
      </w:pPr>
      <w:r w:rsidRPr="00AD5479">
        <w:rPr>
          <w:rFonts w:cs="Arial"/>
          <w:b/>
        </w:rPr>
        <w:t xml:space="preserve">Zjednodušenie systému registrácie, vydávania a vracania palubnej jednotky </w:t>
      </w:r>
      <w:r w:rsidRPr="00AD5479">
        <w:rPr>
          <w:rFonts w:cs="Arial"/>
        </w:rPr>
        <w:t>(</w:t>
      </w:r>
      <w:r w:rsidR="00C64483">
        <w:rPr>
          <w:rFonts w:cs="Arial"/>
          <w:b/>
        </w:rPr>
        <w:t>OBU</w:t>
      </w:r>
      <w:r w:rsidRPr="00AD5479">
        <w:rPr>
          <w:rFonts w:cs="Arial"/>
        </w:rPr>
        <w:t xml:space="preserve">) – dopravcovia aj vodiči upozorňujú na komplikovaný a pomalý postup pri registrácii vozidla, na vyžadovanie dokladov od výrobcu, ktoré ani neexistujú (napr. potvrdenie o emisnej kategórii pre niektoré vozidlá) atď., pri vracaní </w:t>
      </w:r>
      <w:r w:rsidR="00C64483">
        <w:rPr>
          <w:rFonts w:cs="Arial"/>
        </w:rPr>
        <w:t>OBU</w:t>
      </w:r>
      <w:r w:rsidRPr="00AD5479">
        <w:rPr>
          <w:rFonts w:cs="Arial"/>
        </w:rPr>
        <w:t xml:space="preserve"> na distribučných miestach je nejednotnosť pri vyžadovaní dokladov.</w:t>
      </w:r>
    </w:p>
    <w:p w:rsidR="00AD5479" w:rsidRPr="00AD5479" w:rsidRDefault="00AD5479" w:rsidP="000A4510">
      <w:pPr>
        <w:numPr>
          <w:ilvl w:val="0"/>
          <w:numId w:val="49"/>
        </w:numPr>
        <w:rPr>
          <w:rFonts w:cs="Arial"/>
        </w:rPr>
      </w:pPr>
      <w:r w:rsidRPr="00AD5479">
        <w:rPr>
          <w:b/>
        </w:rPr>
        <w:t xml:space="preserve">Predĺženie 6 mesačného intervalu pre nepoužívanie </w:t>
      </w:r>
      <w:r w:rsidR="00C64483">
        <w:rPr>
          <w:b/>
        </w:rPr>
        <w:t>OBU</w:t>
      </w:r>
      <w:r w:rsidRPr="00AD5479">
        <w:t>– je to požiadavka najmä dopravcov, ktorí nejazdia často</w:t>
      </w:r>
      <w:r w:rsidRPr="00AD5479">
        <w:rPr>
          <w:rFonts w:cs="Arial"/>
        </w:rPr>
        <w:t xml:space="preserve"> na Slovensko a majú problémy s doručením </w:t>
      </w:r>
      <w:r w:rsidR="00C64483">
        <w:rPr>
          <w:rFonts w:cs="Arial"/>
        </w:rPr>
        <w:t>OBU</w:t>
      </w:r>
      <w:r w:rsidRPr="00AD5479">
        <w:rPr>
          <w:rFonts w:cs="Arial"/>
        </w:rPr>
        <w:t xml:space="preserve"> na Slovensko. Aj na Slovensku niektorí dopravcovia radšej prejdú s </w:t>
      </w:r>
      <w:r w:rsidR="00C64483">
        <w:rPr>
          <w:rFonts w:cs="Arial"/>
        </w:rPr>
        <w:t>OBU</w:t>
      </w:r>
      <w:r w:rsidRPr="00AD5479">
        <w:rPr>
          <w:rFonts w:cs="Arial"/>
        </w:rPr>
        <w:t xml:space="preserve"> jeden mýtny úsek, než aby ju vracali a neskôr opäť registrovali vozidlo. Riešením by mohlo byť zakúpenie </w:t>
      </w:r>
      <w:r w:rsidR="00C64483">
        <w:rPr>
          <w:rFonts w:cs="Arial"/>
        </w:rPr>
        <w:t>OBU</w:t>
      </w:r>
      <w:r w:rsidRPr="00AD5479">
        <w:rPr>
          <w:rFonts w:cs="Arial"/>
        </w:rPr>
        <w:t xml:space="preserve"> bez potreby vracať ju alebo vyššia kaucia na neobmedzenú dobu používania. </w:t>
      </w:r>
    </w:p>
    <w:p w:rsidR="00AD5479" w:rsidRPr="00AD5479" w:rsidRDefault="00C64483" w:rsidP="000A4510">
      <w:pPr>
        <w:numPr>
          <w:ilvl w:val="0"/>
          <w:numId w:val="49"/>
        </w:numPr>
        <w:rPr>
          <w:rFonts w:cs="Arial"/>
        </w:rPr>
      </w:pPr>
      <w:r>
        <w:rPr>
          <w:b/>
        </w:rPr>
        <w:t>OBU</w:t>
      </w:r>
      <w:r w:rsidR="00AD5479" w:rsidRPr="00AD5479">
        <w:rPr>
          <w:b/>
        </w:rPr>
        <w:t xml:space="preserve"> z vozidiel, ktoré jazdia len po cestách II. a III. triedy (spoplatnené nulovou sadzbou) by nemali byť považované po 6 mesiacoch za neaktívne</w:t>
      </w:r>
      <w:r w:rsidR="00AD5479" w:rsidRPr="00AD5479">
        <w:t xml:space="preserve"> –</w:t>
      </w:r>
      <w:r w:rsidR="00AD5479" w:rsidRPr="00AD5479">
        <w:rPr>
          <w:b/>
        </w:rPr>
        <w:t xml:space="preserve"> </w:t>
      </w:r>
      <w:r w:rsidR="00AD5479" w:rsidRPr="00AD5479">
        <w:t xml:space="preserve">dopravcovia musia minimálne raz za 6 mesiacov zbytočne prejsť po reálne spoplatnenom úseku, aby aktivovali </w:t>
      </w:r>
      <w:r>
        <w:t>OBU</w:t>
      </w:r>
      <w:r w:rsidR="00AD5479" w:rsidRPr="00AD5479">
        <w:t>, inak im hrozí pokuta.</w:t>
      </w:r>
    </w:p>
    <w:p w:rsidR="00AD5479" w:rsidRPr="00AD5479" w:rsidRDefault="00AD5479" w:rsidP="000A4510">
      <w:pPr>
        <w:numPr>
          <w:ilvl w:val="0"/>
          <w:numId w:val="49"/>
        </w:numPr>
        <w:rPr>
          <w:rFonts w:cs="Arial"/>
        </w:rPr>
      </w:pPr>
      <w:r w:rsidRPr="00AD5479">
        <w:rPr>
          <w:b/>
        </w:rPr>
        <w:t xml:space="preserve">Predĺžiť lehotu vrátenia </w:t>
      </w:r>
      <w:r w:rsidR="00C64483">
        <w:rPr>
          <w:b/>
        </w:rPr>
        <w:t>OBU</w:t>
      </w:r>
      <w:r w:rsidRPr="00AD5479">
        <w:rPr>
          <w:b/>
        </w:rPr>
        <w:t xml:space="preserve"> po odoslanej upomienke </w:t>
      </w:r>
      <w:r w:rsidRPr="00AD5479">
        <w:t xml:space="preserve">-  napr. u zahraničných dopravcov sa stáva, že po prevzatí upomienky na vrátenie </w:t>
      </w:r>
      <w:r w:rsidR="00C64483">
        <w:t>OBU</w:t>
      </w:r>
      <w:r w:rsidRPr="00AD5479">
        <w:t xml:space="preserve"> lehota na vrátenie už uplynula. Preto by bolo vhodné predĺžiť lehotu (možno až na 21 dní). </w:t>
      </w:r>
    </w:p>
    <w:p w:rsidR="00AD5479" w:rsidRPr="00AD5479" w:rsidRDefault="00AD5479" w:rsidP="000A4510">
      <w:pPr>
        <w:numPr>
          <w:ilvl w:val="0"/>
          <w:numId w:val="49"/>
        </w:numPr>
        <w:rPr>
          <w:rFonts w:cs="Arial"/>
        </w:rPr>
      </w:pPr>
      <w:r w:rsidRPr="00AD5479">
        <w:rPr>
          <w:b/>
        </w:rPr>
        <w:t>Oficiálna komunikácia by mohla využívať aj internet alebo mobil</w:t>
      </w:r>
      <w:r w:rsidRPr="00AD5479">
        <w:t xml:space="preserve"> – podľa dopravcov by to zrýchlilo vybavovanie. </w:t>
      </w:r>
    </w:p>
    <w:p w:rsidR="00AD5479" w:rsidRPr="00AD5479" w:rsidRDefault="00AD5479" w:rsidP="000A4510">
      <w:pPr>
        <w:numPr>
          <w:ilvl w:val="0"/>
          <w:numId w:val="49"/>
        </w:numPr>
        <w:rPr>
          <w:rFonts w:cs="Arial"/>
        </w:rPr>
      </w:pPr>
      <w:r w:rsidRPr="00AD5479">
        <w:rPr>
          <w:rFonts w:cs="Arial"/>
          <w:b/>
        </w:rPr>
        <w:t xml:space="preserve">Údržba vrátených </w:t>
      </w:r>
      <w:r w:rsidR="00C64483">
        <w:rPr>
          <w:rFonts w:cs="Arial"/>
          <w:b/>
        </w:rPr>
        <w:t>OBU</w:t>
      </w:r>
      <w:r w:rsidRPr="00AD5479">
        <w:rPr>
          <w:rFonts w:cs="Arial"/>
          <w:b/>
        </w:rPr>
        <w:t xml:space="preserve"> </w:t>
      </w:r>
      <w:r w:rsidRPr="00AD5479">
        <w:rPr>
          <w:rFonts w:cs="Arial"/>
        </w:rPr>
        <w:t xml:space="preserve">– respondenti sa domnievajú, že </w:t>
      </w:r>
      <w:r w:rsidR="00C64483">
        <w:rPr>
          <w:rFonts w:cs="Arial"/>
        </w:rPr>
        <w:t>OBU</w:t>
      </w:r>
      <w:r w:rsidRPr="00AD5479">
        <w:rPr>
          <w:rFonts w:cs="Arial"/>
        </w:rPr>
        <w:t xml:space="preserve"> po vrátení neprejdú údržbou. Ak prechádzajú, bolo by vhodné </w:t>
      </w:r>
      <w:r w:rsidR="00C64483">
        <w:rPr>
          <w:rFonts w:cs="Arial"/>
        </w:rPr>
        <w:t>OBU</w:t>
      </w:r>
      <w:r w:rsidRPr="00AD5479">
        <w:rPr>
          <w:rFonts w:cs="Arial"/>
        </w:rPr>
        <w:t xml:space="preserve"> viditeľne označiť, že prešla údržbou a je nepoškodená a plne funkčná.</w:t>
      </w:r>
      <w:r w:rsidRPr="00AD5479">
        <w:rPr>
          <w:b/>
        </w:rPr>
        <w:t xml:space="preserve"> </w:t>
      </w:r>
    </w:p>
    <w:p w:rsidR="00AD5479" w:rsidRPr="00AD5479" w:rsidRDefault="00AD5479" w:rsidP="000A4510">
      <w:pPr>
        <w:numPr>
          <w:ilvl w:val="0"/>
          <w:numId w:val="49"/>
        </w:numPr>
        <w:rPr>
          <w:rFonts w:cs="Arial"/>
        </w:rPr>
      </w:pPr>
      <w:r w:rsidRPr="00AD5479">
        <w:rPr>
          <w:rFonts w:cs="Arial"/>
          <w:b/>
        </w:rPr>
        <w:t>Zvýšenie počtu miest, kde by bolo možné dobíjať kredit</w:t>
      </w:r>
      <w:r w:rsidRPr="00AD5479">
        <w:rPr>
          <w:rFonts w:cs="Arial"/>
        </w:rPr>
        <w:t xml:space="preserve"> – najmä vodiči poukazujú na nedostatok týchto miest hlavne na východnom Slovensku.</w:t>
      </w:r>
    </w:p>
    <w:p w:rsidR="00AD5479" w:rsidRPr="00AD5479" w:rsidRDefault="00AD5479" w:rsidP="000A4510">
      <w:pPr>
        <w:numPr>
          <w:ilvl w:val="0"/>
          <w:numId w:val="49"/>
        </w:numPr>
        <w:rPr>
          <w:rFonts w:cs="Arial"/>
        </w:rPr>
      </w:pPr>
      <w:r w:rsidRPr="00AD5479">
        <w:rPr>
          <w:b/>
        </w:rPr>
        <w:t>Rozšírenie spôsobov platby</w:t>
      </w:r>
      <w:r w:rsidRPr="00AD5479">
        <w:t xml:space="preserve"> (pre režim predplateného mýta)</w:t>
      </w:r>
      <w:r w:rsidR="00C64483">
        <w:t xml:space="preserve"> -</w:t>
      </w:r>
      <w:r w:rsidRPr="00AD5479">
        <w:t xml:space="preserve"> vodiči podľa</w:t>
      </w:r>
      <w:r w:rsidRPr="00AD5479">
        <w:rPr>
          <w:rFonts w:cs="Arial"/>
        </w:rPr>
        <w:t xml:space="preserve"> skúseností zo zahraničia</w:t>
      </w:r>
      <w:r w:rsidRPr="00AD5479">
        <w:t xml:space="preserve"> žiadajú možnosť platby mobilným telefónom (telefón s technológiou </w:t>
      </w:r>
      <w:r w:rsidRPr="00AD5479">
        <w:rPr>
          <w:rFonts w:cs="Arial"/>
          <w:sz w:val="20"/>
          <w:szCs w:val="20"/>
        </w:rPr>
        <w:t>NFC).</w:t>
      </w:r>
    </w:p>
    <w:p w:rsidR="00AD5479" w:rsidRPr="00AD5479" w:rsidRDefault="00AD5479" w:rsidP="000A4510">
      <w:pPr>
        <w:numPr>
          <w:ilvl w:val="0"/>
          <w:numId w:val="49"/>
        </w:numPr>
        <w:rPr>
          <w:rFonts w:asciiTheme="minorHAnsi" w:hAnsiTheme="minorHAnsi"/>
          <w:kern w:val="28"/>
        </w:rPr>
      </w:pPr>
      <w:r w:rsidRPr="00AD5479">
        <w:rPr>
          <w:rFonts w:cs="Arial"/>
          <w:b/>
        </w:rPr>
        <w:t>Zlepšenie prístupu pracovníkov kontaktných miest</w:t>
      </w:r>
      <w:r w:rsidRPr="00AD5479">
        <w:rPr>
          <w:rFonts w:cs="Arial"/>
        </w:rPr>
        <w:t xml:space="preserve"> – značná časť vodičov má negatívny názor na ochotu a ústretovosť pracovníkov najmä čerpacích staníc, bolo by vhodné, aby títo pracovníci boli buď upozornení alebo motivovaní k lepšiemu prístupu k vodičom, ktorí si prídu dobiť kredit. </w:t>
      </w:r>
    </w:p>
    <w:p w:rsidR="00AD5479" w:rsidRPr="00AD5479" w:rsidRDefault="00AD5479" w:rsidP="000A4510">
      <w:pPr>
        <w:numPr>
          <w:ilvl w:val="0"/>
          <w:numId w:val="49"/>
        </w:numPr>
        <w:rPr>
          <w:rFonts w:asciiTheme="minorHAnsi" w:hAnsiTheme="minorHAnsi"/>
          <w:kern w:val="28"/>
        </w:rPr>
      </w:pPr>
      <w:r w:rsidRPr="00AD5479">
        <w:rPr>
          <w:rFonts w:asciiTheme="minorHAnsi" w:hAnsiTheme="minorHAnsi"/>
          <w:b/>
          <w:kern w:val="28"/>
        </w:rPr>
        <w:t>Načasovanie zmien</w:t>
      </w:r>
      <w:r w:rsidRPr="00AD5479">
        <w:rPr>
          <w:rFonts w:asciiTheme="minorHAnsi" w:hAnsiTheme="minorHAnsi"/>
          <w:kern w:val="28"/>
        </w:rPr>
        <w:t xml:space="preserve"> - v domácej legislatíve je pravidlom, že zákon vstupuje do platnosti od začiatku kalendárneho roka. Všetky legislatívne zmeny týkajúce sa mýtneho systému takisto mali platiť od 1.januára daného roka, napríklad zavedenie systému v roku 2010, alebo spoplatnenie intravilánov v roku 2014. Niektoré sa na začiatku roka stretli s veľkým odporom dopravcov, ktorí štrajkovali, blokovali cesty a obmedzovali ostatných vodičov. Táto situácia nakoniec vyústila k zrušeniu niektorých zmien, resp. k ústupkom dopravcom (2019/2020). </w:t>
      </w:r>
    </w:p>
    <w:p w:rsidR="00AD5479" w:rsidRPr="00AD5479" w:rsidRDefault="00AD5479" w:rsidP="007B6F9C">
      <w:pPr>
        <w:ind w:left="720"/>
        <w:rPr>
          <w:rFonts w:asciiTheme="minorHAnsi" w:hAnsiTheme="minorHAnsi"/>
          <w:kern w:val="28"/>
        </w:rPr>
      </w:pPr>
      <w:r>
        <w:rPr>
          <w:rFonts w:asciiTheme="minorHAnsi" w:hAnsiTheme="minorHAnsi"/>
          <w:kern w:val="28"/>
        </w:rPr>
        <w:t xml:space="preserve">V tomto kontexte je potrebné zdôrazniť, </w:t>
      </w:r>
      <w:r w:rsidRPr="00AD5479">
        <w:rPr>
          <w:rFonts w:asciiTheme="minorHAnsi" w:hAnsiTheme="minorHAnsi"/>
          <w:kern w:val="28"/>
        </w:rPr>
        <w:t xml:space="preserve">že v období koniec decembra </w:t>
      </w:r>
      <w:r>
        <w:rPr>
          <w:rFonts w:asciiTheme="minorHAnsi" w:hAnsiTheme="minorHAnsi"/>
          <w:kern w:val="28"/>
        </w:rPr>
        <w:t xml:space="preserve">až </w:t>
      </w:r>
      <w:r w:rsidRPr="00AD5479">
        <w:rPr>
          <w:rFonts w:asciiTheme="minorHAnsi" w:hAnsiTheme="minorHAnsi"/>
          <w:kern w:val="28"/>
        </w:rPr>
        <w:t xml:space="preserve">začiatok januára je nákladná doprava </w:t>
      </w:r>
      <w:r>
        <w:rPr>
          <w:rFonts w:asciiTheme="minorHAnsi" w:hAnsiTheme="minorHAnsi"/>
          <w:kern w:val="28"/>
        </w:rPr>
        <w:t xml:space="preserve">prevažne </w:t>
      </w:r>
      <w:r w:rsidRPr="00AD5479">
        <w:rPr>
          <w:rFonts w:asciiTheme="minorHAnsi" w:hAnsiTheme="minorHAnsi"/>
          <w:kern w:val="28"/>
        </w:rPr>
        <w:t>v</w:t>
      </w:r>
      <w:r>
        <w:rPr>
          <w:rFonts w:asciiTheme="minorHAnsi" w:hAnsiTheme="minorHAnsi"/>
          <w:kern w:val="28"/>
        </w:rPr>
        <w:t> </w:t>
      </w:r>
      <w:r w:rsidRPr="00AD5479">
        <w:rPr>
          <w:rFonts w:asciiTheme="minorHAnsi" w:hAnsiTheme="minorHAnsi"/>
          <w:kern w:val="28"/>
        </w:rPr>
        <w:t>útlme</w:t>
      </w:r>
      <w:r>
        <w:rPr>
          <w:rFonts w:asciiTheme="minorHAnsi" w:hAnsiTheme="minorHAnsi"/>
          <w:kern w:val="28"/>
        </w:rPr>
        <w:t xml:space="preserve"> a </w:t>
      </w:r>
      <w:r w:rsidRPr="00AD5479">
        <w:rPr>
          <w:rFonts w:asciiTheme="minorHAnsi" w:hAnsiTheme="minorHAnsi"/>
          <w:kern w:val="28"/>
        </w:rPr>
        <w:t>vozidlá nie sú veľmi vyťažené</w:t>
      </w:r>
      <w:r>
        <w:rPr>
          <w:rFonts w:asciiTheme="minorHAnsi" w:hAnsiTheme="minorHAnsi"/>
          <w:kern w:val="28"/>
        </w:rPr>
        <w:t xml:space="preserve">, čím </w:t>
      </w:r>
      <w:r w:rsidRPr="00AD5479">
        <w:rPr>
          <w:rFonts w:asciiTheme="minorHAnsi" w:hAnsiTheme="minorHAnsi"/>
          <w:kern w:val="28"/>
        </w:rPr>
        <w:t>je pre nich jednoduché štrajkovať a blokovať vozidlami cesty. Naopak v období od mája do októbra nákladná doprava vrcholí, vozidlá sú plne vyťažené a v prípade štrajku by dopravcom unikali zákazky. Preto by mal s</w:t>
      </w:r>
      <w:r>
        <w:rPr>
          <w:rFonts w:asciiTheme="minorHAnsi" w:hAnsiTheme="minorHAnsi"/>
          <w:kern w:val="28"/>
        </w:rPr>
        <w:t xml:space="preserve">právca systému </w:t>
      </w:r>
      <w:r w:rsidRPr="00AD5479">
        <w:rPr>
          <w:rFonts w:asciiTheme="minorHAnsi" w:hAnsiTheme="minorHAnsi"/>
          <w:kern w:val="28"/>
        </w:rPr>
        <w:t>zvažovať, kedy oznámi zmeny systému a kedy ich bude uvádzať do platnosti.</w:t>
      </w:r>
    </w:p>
    <w:p w:rsidR="00AD5479" w:rsidRPr="00AF48A1" w:rsidRDefault="00AD5479" w:rsidP="007B6F9C">
      <w:pPr>
        <w:pStyle w:val="Nadpis3"/>
      </w:pPr>
      <w:bookmarkStart w:id="496" w:name="_Toc454185908"/>
      <w:bookmarkStart w:id="497" w:name="_Toc36664433"/>
      <w:r w:rsidRPr="00AF48A1">
        <w:t>Technológia výberu mýta</w:t>
      </w:r>
      <w:bookmarkEnd w:id="496"/>
      <w:bookmarkEnd w:id="497"/>
    </w:p>
    <w:p w:rsidR="00AD5479" w:rsidRPr="00AF48A1" w:rsidRDefault="00AD5479" w:rsidP="007B6F9C">
      <w:r w:rsidRPr="00AF48A1">
        <w:t>Vodič</w:t>
      </w:r>
      <w:r>
        <w:t>i</w:t>
      </w:r>
      <w:r w:rsidRPr="00AF48A1">
        <w:t xml:space="preserve"> aj dopravco</w:t>
      </w:r>
      <w:r>
        <w:t>via</w:t>
      </w:r>
      <w:r w:rsidRPr="00AF48A1">
        <w:t xml:space="preserve"> </w:t>
      </w:r>
      <w:r>
        <w:t xml:space="preserve">sú nespokojní </w:t>
      </w:r>
      <w:r w:rsidRPr="00AF48A1">
        <w:t>takmer výhradne</w:t>
      </w:r>
      <w:r>
        <w:t xml:space="preserve"> s</w:t>
      </w:r>
      <w:r w:rsidRPr="00AF48A1">
        <w:t xml:space="preserve"> palubn</w:t>
      </w:r>
      <w:r>
        <w:t>ou</w:t>
      </w:r>
      <w:r w:rsidRPr="00AF48A1">
        <w:t xml:space="preserve"> jednotk</w:t>
      </w:r>
      <w:r>
        <w:t>ou (</w:t>
      </w:r>
      <w:r w:rsidRPr="00AF48A1">
        <w:t>veľkos</w:t>
      </w:r>
      <w:r>
        <w:t>ť</w:t>
      </w:r>
      <w:r w:rsidRPr="00AF48A1">
        <w:t>, hmotnos</w:t>
      </w:r>
      <w:r>
        <w:t>ť</w:t>
      </w:r>
      <w:r w:rsidRPr="00AF48A1">
        <w:t>, napájani</w:t>
      </w:r>
      <w:r>
        <w:t>e</w:t>
      </w:r>
      <w:r w:rsidRPr="00AF48A1">
        <w:t>, spôsob uchytenia,</w:t>
      </w:r>
      <w:r>
        <w:t xml:space="preserve">) a s jej činnosťou - </w:t>
      </w:r>
      <w:r w:rsidRPr="00AF48A1">
        <w:t xml:space="preserve"> chýbajú im informácie o kredite, resp. iné informácie. Takisto sa sťažujú na slabú svetelnú a zvukovú indikáciu stavu </w:t>
      </w:r>
      <w:r w:rsidR="007B6F9C">
        <w:t xml:space="preserve">OBU, čo zvyšuje ich nespokojnosť s </w:t>
      </w:r>
      <w:r w:rsidRPr="00AF48A1">
        <w:t xml:space="preserve"> </w:t>
      </w:r>
      <w:r>
        <w:t xml:space="preserve"> </w:t>
      </w:r>
      <w:r w:rsidRPr="00AF48A1">
        <w:t>mýtn</w:t>
      </w:r>
      <w:r>
        <w:t>ym</w:t>
      </w:r>
      <w:r w:rsidRPr="00AF48A1">
        <w:t xml:space="preserve"> systém</w:t>
      </w:r>
      <w:r>
        <w:t>om</w:t>
      </w:r>
      <w:r w:rsidRPr="00AF48A1">
        <w:t>.</w:t>
      </w:r>
    </w:p>
    <w:p w:rsidR="00AD5479" w:rsidRPr="00AF48A1" w:rsidRDefault="00AD5479" w:rsidP="007B6F9C">
      <w:r w:rsidRPr="00AF48A1">
        <w:t xml:space="preserve">Predmetom zlepšení </w:t>
      </w:r>
      <w:r>
        <w:t xml:space="preserve">preto môže byť </w:t>
      </w:r>
      <w:r w:rsidRPr="00AF48A1">
        <w:t xml:space="preserve">samotná </w:t>
      </w:r>
      <w:r>
        <w:t>činnosť</w:t>
      </w:r>
      <w:r w:rsidRPr="00AF48A1">
        <w:t xml:space="preserve"> </w:t>
      </w:r>
      <w:r w:rsidR="007B6F9C">
        <w:t>OBU</w:t>
      </w:r>
      <w:r w:rsidRPr="00AF48A1">
        <w:t>:</w:t>
      </w:r>
    </w:p>
    <w:p w:rsidR="00AD5479" w:rsidRPr="00AF48A1" w:rsidRDefault="00AD5479" w:rsidP="000A4510">
      <w:pPr>
        <w:numPr>
          <w:ilvl w:val="0"/>
          <w:numId w:val="50"/>
        </w:numPr>
        <w:rPr>
          <w:b/>
        </w:rPr>
      </w:pPr>
      <w:r w:rsidRPr="00AF48A1">
        <w:rPr>
          <w:b/>
        </w:rPr>
        <w:t>Zvýšiť minimálny zostatok kreditu</w:t>
      </w:r>
      <w:r w:rsidRPr="00AF48A1">
        <w:t xml:space="preserve"> – vodiči často uvádzajú, že keď </w:t>
      </w:r>
      <w:r w:rsidR="00C64483">
        <w:t>OBU</w:t>
      </w:r>
      <w:r w:rsidRPr="00AF48A1">
        <w:t xml:space="preserve"> signalizuje nízky stav kreditu, nie vždy stihnú dôjsť na zákaznícke miesto dobiť ho (najmä východné Slovensko).</w:t>
      </w:r>
    </w:p>
    <w:p w:rsidR="00AD5479" w:rsidRPr="00AF48A1" w:rsidRDefault="00AD5479" w:rsidP="000A4510">
      <w:pPr>
        <w:numPr>
          <w:ilvl w:val="0"/>
          <w:numId w:val="50"/>
        </w:numPr>
      </w:pPr>
      <w:r w:rsidRPr="00AF48A1">
        <w:rPr>
          <w:b/>
        </w:rPr>
        <w:t xml:space="preserve">Výraznejšia signalizácia stavu </w:t>
      </w:r>
      <w:r w:rsidR="00C64483">
        <w:rPr>
          <w:b/>
        </w:rPr>
        <w:t>OBU</w:t>
      </w:r>
      <w:r w:rsidRPr="00AF48A1">
        <w:rPr>
          <w:b/>
        </w:rPr>
        <w:t xml:space="preserve"> a najmä kreditu</w:t>
      </w:r>
      <w:r w:rsidRPr="00AF48A1">
        <w:t>. Pokiaľ vodiči pre hluk v kabíne nepočujú zvukovú signalizáciu, mala by byť možnosť zvýšiť jej hlasitosť. Takisto ak pre svetlo v kabíne (oslnenie slnkom) nie je vidieť svetelnú signalizáciu, je potrebné vodičom poskytnúť iné osvetlenie (zvýraznené, fluoreskujúce, ...).</w:t>
      </w:r>
    </w:p>
    <w:p w:rsidR="00AD5479" w:rsidRDefault="00AD5479" w:rsidP="000A4510">
      <w:pPr>
        <w:numPr>
          <w:ilvl w:val="0"/>
          <w:numId w:val="50"/>
        </w:numPr>
      </w:pPr>
      <w:r>
        <w:rPr>
          <w:b/>
        </w:rPr>
        <w:t>Možnosť p</w:t>
      </w:r>
      <w:r w:rsidRPr="00AF48A1">
        <w:rPr>
          <w:b/>
        </w:rPr>
        <w:t>oskytovani</w:t>
      </w:r>
      <w:r>
        <w:rPr>
          <w:b/>
        </w:rPr>
        <w:t>a</w:t>
      </w:r>
      <w:r w:rsidRPr="00AF48A1">
        <w:rPr>
          <w:b/>
        </w:rPr>
        <w:t xml:space="preserve"> ďalších informácií vodičovi</w:t>
      </w:r>
      <w:r w:rsidRPr="00AF48A1">
        <w:t>,</w:t>
      </w:r>
      <w:r w:rsidRPr="00AF48A1">
        <w:rPr>
          <w:b/>
        </w:rPr>
        <w:t xml:space="preserve"> </w:t>
      </w:r>
      <w:r w:rsidRPr="00AF48A1">
        <w:t>napr. stav kreditu, informácia o aktuálnej platbe, prípadne mapka s najbližším výjazdom z diaľnice v prípade nízkeho kreditu.</w:t>
      </w:r>
    </w:p>
    <w:p w:rsidR="00DB43A8" w:rsidRDefault="00DB43A8" w:rsidP="0087373C">
      <w:pPr>
        <w:pStyle w:val="Normaltext"/>
      </w:pPr>
    </w:p>
    <w:p w:rsidR="007F124F" w:rsidRPr="00D87A0B" w:rsidRDefault="00AE5B8A" w:rsidP="00D87A0B">
      <w:pPr>
        <w:pStyle w:val="Nadpis2"/>
      </w:pPr>
      <w:bookmarkStart w:id="498" w:name="_Toc36664434"/>
      <w:r w:rsidRPr="00D87A0B">
        <w:t xml:space="preserve">Dopady </w:t>
      </w:r>
      <w:r w:rsidR="007D681C">
        <w:t xml:space="preserve">navrhovaných </w:t>
      </w:r>
      <w:r w:rsidRPr="00D87A0B">
        <w:t xml:space="preserve">zmien </w:t>
      </w:r>
      <w:r w:rsidR="007D681C">
        <w:t>v mýtnom systéme</w:t>
      </w:r>
      <w:bookmarkEnd w:id="498"/>
    </w:p>
    <w:p w:rsidR="007F124F" w:rsidRDefault="00B75A62">
      <w:pPr>
        <w:pStyle w:val="Nadpis3"/>
      </w:pPr>
      <w:bookmarkStart w:id="499" w:name="_Toc36664435"/>
      <w:r>
        <w:t xml:space="preserve">Dopady zmien na </w:t>
      </w:r>
      <w:r w:rsidR="008125A7">
        <w:t xml:space="preserve">domácich </w:t>
      </w:r>
      <w:r>
        <w:t>autodopravcov</w:t>
      </w:r>
      <w:bookmarkEnd w:id="499"/>
    </w:p>
    <w:p w:rsidR="008125A7" w:rsidRPr="003B1A7B" w:rsidRDefault="008125A7" w:rsidP="008125A7">
      <w:r w:rsidRPr="003B1A7B">
        <w:t xml:space="preserve">Konkurenčná schopnosť slovenských dopravcov sa odvíja od výšky položiek tvoriacich náklady na jeden kilometer jazdy. Z nich </w:t>
      </w:r>
      <w:r>
        <w:t xml:space="preserve">len </w:t>
      </w:r>
      <w:r w:rsidRPr="003B1A7B">
        <w:t>niektoré sú</w:t>
      </w:r>
      <w:r>
        <w:t xml:space="preserve"> </w:t>
      </w:r>
      <w:r w:rsidRPr="008125A7">
        <w:t xml:space="preserve">ovplyvniteľné </w:t>
      </w:r>
      <w:r>
        <w:t xml:space="preserve">samotným </w:t>
      </w:r>
      <w:r w:rsidRPr="008125A7">
        <w:t>dopravcom</w:t>
      </w:r>
      <w:r>
        <w:t xml:space="preserve">. Ide o </w:t>
      </w:r>
      <w:r w:rsidRPr="003B1A7B">
        <w:t>mzdové náklady osádky vozidla</w:t>
      </w:r>
      <w:r>
        <w:t xml:space="preserve">, </w:t>
      </w:r>
      <w:r w:rsidRPr="003B1A7B">
        <w:t>náklady na havarijné poistenie</w:t>
      </w:r>
      <w:r>
        <w:t xml:space="preserve"> a </w:t>
      </w:r>
      <w:r w:rsidRPr="003B1A7B">
        <w:t>režijné náklady firmy</w:t>
      </w:r>
      <w:r>
        <w:t xml:space="preserve"> (odpisy, ...).</w:t>
      </w:r>
    </w:p>
    <w:p w:rsidR="008125A7" w:rsidRDefault="008125A7" w:rsidP="008125A7">
      <w:pPr>
        <w:spacing w:before="0" w:after="200"/>
      </w:pPr>
      <w:r>
        <w:t>O</w:t>
      </w:r>
      <w:r w:rsidRPr="003B1A7B">
        <w:t xml:space="preserve">statné </w:t>
      </w:r>
      <w:r>
        <w:t xml:space="preserve">náklady </w:t>
      </w:r>
      <w:r w:rsidRPr="003B1A7B">
        <w:t>dopravca neovplyvní</w:t>
      </w:r>
      <w:r>
        <w:t>, pretože</w:t>
      </w:r>
      <w:r w:rsidRPr="003B1A7B">
        <w:t> sú</w:t>
      </w:r>
      <w:r>
        <w:t xml:space="preserve"> určené trhovým prostredím alebo predpísané štátom. Trhové prostredie ovplyvňuje náklady na PHM,</w:t>
      </w:r>
      <w:r w:rsidRPr="008125A7">
        <w:t xml:space="preserve"> </w:t>
      </w:r>
      <w:r>
        <w:t>náklady na pneumatiky ťahača, prívesu,</w:t>
      </w:r>
      <w:r w:rsidRPr="008125A7">
        <w:t xml:space="preserve"> </w:t>
      </w:r>
      <w:r>
        <w:t>náklady na prevádzkovú údržbu vozidla a</w:t>
      </w:r>
      <w:r w:rsidRPr="008125A7">
        <w:t xml:space="preserve"> </w:t>
      </w:r>
      <w:r w:rsidRPr="003B1A7B">
        <w:t>náklady na odpisy</w:t>
      </w:r>
      <w:r>
        <w:t xml:space="preserve">. Štát ovplyvňuje náklady autodopravcov súvisiace so </w:t>
      </w:r>
      <w:r w:rsidRPr="003B1A7B">
        <w:t>zákonn</w:t>
      </w:r>
      <w:r>
        <w:t xml:space="preserve">ým </w:t>
      </w:r>
      <w:r w:rsidRPr="003B1A7B">
        <w:t>poisten</w:t>
      </w:r>
      <w:r>
        <w:t>ím</w:t>
      </w:r>
      <w:r w:rsidRPr="003B1A7B">
        <w:t xml:space="preserve"> vozidla</w:t>
      </w:r>
      <w:r>
        <w:t>, cestnou daňou vozidla, cestovnými náhradami za prejazdenú vzdialenosť, cestným mýtom a diaľničnými poplatkami a daňou z minerálnych olejov</w:t>
      </w:r>
      <w:r w:rsidR="00AE433B">
        <w:t xml:space="preserve">. </w:t>
      </w:r>
    </w:p>
    <w:p w:rsidR="008125A7" w:rsidRPr="003B1A7B" w:rsidRDefault="008125A7" w:rsidP="008125A7">
      <w:r>
        <w:t>Ako príklad</w:t>
      </w:r>
      <w:r w:rsidRPr="003B1A7B">
        <w:t xml:space="preserve"> skladb</w:t>
      </w:r>
      <w:r>
        <w:t>y</w:t>
      </w:r>
      <w:r w:rsidRPr="003B1A7B">
        <w:t xml:space="preserve"> nákladov riešiteľ</w:t>
      </w:r>
      <w:r>
        <w:t>ský kolektív</w:t>
      </w:r>
      <w:r w:rsidRPr="003B1A7B">
        <w:t xml:space="preserve"> použil náklady slovenského dopravcu, ktorý vykonáva  medzinárodnú cestnú nákladnú dopravu</w:t>
      </w:r>
      <w:r>
        <w:t>, českého dopravcu a poľského dopravcu</w:t>
      </w:r>
      <w:r w:rsidRPr="003B1A7B">
        <w:t xml:space="preserve">. </w:t>
      </w:r>
      <w:r w:rsidR="00B16D53">
        <w:t xml:space="preserve">Údaje za </w:t>
      </w:r>
      <w:r w:rsidR="008A029A">
        <w:t>Č</w:t>
      </w:r>
      <w:r w:rsidR="00B16D53">
        <w:t xml:space="preserve">esku republiku boli získané zo zdroja </w:t>
      </w:r>
      <w:r w:rsidR="008A029A">
        <w:t xml:space="preserve"> </w:t>
      </w:r>
      <w:r w:rsidR="008A029A" w:rsidRPr="00B87BD8">
        <w:rPr>
          <w:rFonts w:asciiTheme="minorHAnsi" w:hAnsiTheme="minorHAnsi" w:cstheme="minorHAnsi"/>
        </w:rPr>
        <w:t>[</w:t>
      </w:r>
      <w:r w:rsidR="008A029A">
        <w:rPr>
          <w:rFonts w:asciiTheme="minorHAnsi" w:hAnsiTheme="minorHAnsi" w:cstheme="minorHAnsi"/>
        </w:rPr>
        <w:t>58</w:t>
      </w:r>
      <w:r w:rsidR="008A029A" w:rsidRPr="00B87BD8">
        <w:rPr>
          <w:rFonts w:asciiTheme="minorHAnsi" w:hAnsiTheme="minorHAnsi" w:cstheme="minorHAnsi"/>
        </w:rPr>
        <w:t>]</w:t>
      </w:r>
      <w:r w:rsidR="008A029A">
        <w:rPr>
          <w:rFonts w:asciiTheme="minorHAnsi" w:hAnsiTheme="minorHAnsi" w:cstheme="minorHAnsi"/>
        </w:rPr>
        <w:t xml:space="preserve">, údaje za SR boli získané konzultáciami s autodopravcami. </w:t>
      </w:r>
    </w:p>
    <w:p w:rsidR="00AE433B" w:rsidRDefault="008125A7" w:rsidP="008A029A">
      <w:pPr>
        <w:spacing w:before="0" w:after="200"/>
      </w:pPr>
      <w:r w:rsidRPr="003B1A7B">
        <w:t>Významným parametrom, ktorý má priamu väzbu na rentabilitu dopravných firiem je počet ubehnutých kilometrov celkom za rok. Tento ukazovateľ je rozdielny v medzinárodnej a  vnútroštátnej cestnej nákladnej doprave</w:t>
      </w:r>
      <w:r w:rsidR="008A029A">
        <w:t xml:space="preserve">. </w:t>
      </w:r>
      <w:r w:rsidR="00AE433B">
        <w:t>V</w:t>
      </w:r>
      <w:r w:rsidRPr="008125A7">
        <w:t> medzinárodnej doprave</w:t>
      </w:r>
      <w:r w:rsidRPr="003B1A7B">
        <w:t xml:space="preserve"> majú dopravcovia ročný priebeh </w:t>
      </w:r>
      <w:r>
        <w:t>km</w:t>
      </w:r>
      <w:r w:rsidRPr="003B1A7B">
        <w:t xml:space="preserve"> v rozpätí 90 000 až 130 000 kilometrov. Tento výkon je závislý od prepravných relácií</w:t>
      </w:r>
      <w:r>
        <w:t>, ktoré ovplyvňujú jazdu</w:t>
      </w:r>
      <w:r w:rsidR="00AE433B">
        <w:t xml:space="preserve"> ako napríklad</w:t>
      </w:r>
      <w:r w:rsidRPr="003B1A7B">
        <w:t xml:space="preserve"> čakacie doby na hraničných priechodoch, technológ</w:t>
      </w:r>
      <w:r w:rsidR="00AE433B">
        <w:t>ie</w:t>
      </w:r>
      <w:r w:rsidRPr="003B1A7B">
        <w:t xml:space="preserve"> odbavenia, dĺžk</w:t>
      </w:r>
      <w:r w:rsidR="00AE433B">
        <w:t>a</w:t>
      </w:r>
      <w:r w:rsidRPr="003B1A7B">
        <w:t xml:space="preserve"> jednotlivých prepráv, poč</w:t>
      </w:r>
      <w:r>
        <w:t>e</w:t>
      </w:r>
      <w:r w:rsidRPr="003B1A7B">
        <w:t>t vodičov vo vozidle a ďalš</w:t>
      </w:r>
      <w:r>
        <w:t>ie</w:t>
      </w:r>
      <w:r w:rsidRPr="003B1A7B">
        <w:t xml:space="preserve"> vplyv</w:t>
      </w:r>
      <w:r>
        <w:t>y</w:t>
      </w:r>
      <w:r w:rsidRPr="003B1A7B">
        <w:t xml:space="preserve">. Za priemerný výkon sa pre potreby úlohy môže považovať 100 000 kilometrov za rok. </w:t>
      </w:r>
      <w:r w:rsidR="00AE433B">
        <w:t xml:space="preserve"> </w:t>
      </w:r>
    </w:p>
    <w:p w:rsidR="008125A7" w:rsidRPr="00AE433B" w:rsidRDefault="00AE433B" w:rsidP="008A029A">
      <w:r>
        <w:t>V</w:t>
      </w:r>
      <w:r w:rsidR="008125A7" w:rsidRPr="00AE433B">
        <w:t>o vnútroštátnej doprave je priemerný výkon od 25 000 do 35 000 kilometrov za rok</w:t>
      </w:r>
      <w:r>
        <w:t>, ktorý je ovplyvnený</w:t>
      </w:r>
      <w:r w:rsidR="008125A7" w:rsidRPr="00AE433B">
        <w:t xml:space="preserve"> priemern</w:t>
      </w:r>
      <w:r>
        <w:t>ou</w:t>
      </w:r>
      <w:r w:rsidR="008125A7" w:rsidRPr="00AE433B">
        <w:t xml:space="preserve"> prepravn</w:t>
      </w:r>
      <w:r>
        <w:t>ou</w:t>
      </w:r>
      <w:r w:rsidR="008125A7" w:rsidRPr="00AE433B">
        <w:t xml:space="preserve"> vzdialenosť</w:t>
      </w:r>
      <w:r>
        <w:t>ou</w:t>
      </w:r>
      <w:r w:rsidR="008125A7" w:rsidRPr="00AE433B">
        <w:t>, náročnosť</w:t>
      </w:r>
      <w:r>
        <w:t>ou</w:t>
      </w:r>
      <w:r w:rsidR="008125A7" w:rsidRPr="00AE433B">
        <w:t xml:space="preserve"> manipulácie s tovarom a logistick</w:t>
      </w:r>
      <w:r>
        <w:t xml:space="preserve">ým využitím. </w:t>
      </w:r>
      <w:r w:rsidR="008125A7" w:rsidRPr="00AE433B">
        <w:t xml:space="preserve">     </w:t>
      </w:r>
    </w:p>
    <w:p w:rsidR="00AE433B" w:rsidRDefault="00AE433B" w:rsidP="00AE433B">
      <w:r w:rsidRPr="003B1A7B">
        <w:t xml:space="preserve">Zavedením </w:t>
      </w:r>
      <w:r>
        <w:t xml:space="preserve">mýta </w:t>
      </w:r>
      <w:r w:rsidRPr="003B1A7B">
        <w:t>v</w:t>
      </w:r>
      <w:r>
        <w:t> krajinách EÚ aj na Slovensku</w:t>
      </w:r>
      <w:r w:rsidRPr="00AE433B">
        <w:t xml:space="preserve"> neklesla</w:t>
      </w:r>
      <w:r>
        <w:t xml:space="preserve"> konkurencieschopnosť dopravcov, pretože mýto platí pre všetkých dopravcov rovnako. Rovnako d</w:t>
      </w:r>
      <w:r w:rsidRPr="00AE433B">
        <w:t>ane z minerálnych olejov (v cene PHM 394€/1000l nafty) platia pre všetkých dopravcov, ktorí čerpajú PHM na Slovensku, teda aj pre zahraničných</w:t>
      </w:r>
      <w:r>
        <w:t xml:space="preserve"> autodopravcov</w:t>
      </w:r>
      <w:r w:rsidRPr="00AE433B">
        <w:t>.</w:t>
      </w:r>
      <w:r>
        <w:t xml:space="preserve"> Konkurencieschopnosť klesá povinnými platbami, ktoré nariaďuje štát a ktoré sa v jednotlivých štátoch môžu líšiť. Ide o:</w:t>
      </w:r>
    </w:p>
    <w:p w:rsidR="00AE433B" w:rsidRDefault="00AE433B" w:rsidP="000A4510">
      <w:pPr>
        <w:pStyle w:val="Odsekzoznamu"/>
        <w:numPr>
          <w:ilvl w:val="0"/>
          <w:numId w:val="51"/>
        </w:numPr>
        <w:ind w:left="714" w:hanging="357"/>
        <w:contextualSpacing w:val="0"/>
      </w:pPr>
      <w:r w:rsidRPr="003B1A7B">
        <w:t>náklady na zákonné poistenie vozidla</w:t>
      </w:r>
      <w:r>
        <w:t xml:space="preserve">, </w:t>
      </w:r>
    </w:p>
    <w:p w:rsidR="00AE433B" w:rsidRDefault="00AE433B" w:rsidP="000A4510">
      <w:pPr>
        <w:pStyle w:val="Odsekzoznamu"/>
        <w:numPr>
          <w:ilvl w:val="0"/>
          <w:numId w:val="51"/>
        </w:numPr>
        <w:ind w:left="714" w:hanging="357"/>
        <w:contextualSpacing w:val="0"/>
      </w:pPr>
      <w:r w:rsidRPr="003B1A7B">
        <w:t>náklady na cestnú daň vozidla</w:t>
      </w:r>
      <w:r>
        <w:t>,</w:t>
      </w:r>
    </w:p>
    <w:p w:rsidR="00AE433B" w:rsidRDefault="00AE433B" w:rsidP="000A4510">
      <w:pPr>
        <w:pStyle w:val="Odsekzoznamu"/>
        <w:numPr>
          <w:ilvl w:val="0"/>
          <w:numId w:val="51"/>
        </w:numPr>
        <w:ind w:left="714" w:hanging="357"/>
        <w:contextualSpacing w:val="0"/>
      </w:pPr>
      <w:r w:rsidRPr="003B1A7B">
        <w:t>náklady na cestovné náhrady/km</w:t>
      </w:r>
      <w:r>
        <w:t>.</w:t>
      </w:r>
    </w:p>
    <w:p w:rsidR="00AE433B" w:rsidRDefault="00AE433B" w:rsidP="00AE433B">
      <w:r w:rsidRPr="003B1A7B">
        <w:t xml:space="preserve">V medzinárodnej cestnej nákladnej doprave sa vo veľkej miere používajú </w:t>
      </w:r>
      <w:r>
        <w:t>návesové</w:t>
      </w:r>
      <w:r w:rsidRPr="003B1A7B">
        <w:t xml:space="preserve"> súpravy, ktoré sú vybavené modernými ťahačmi návesov a vyhovujú prísnym podmienkam pre limity emisných škodlivín v rozsahu EURO I. až  </w:t>
      </w:r>
      <w:r>
        <w:t>VI, resp. EEV, u ktorých rastú sadzby mýta úmerne s vyššou produkciou emisií</w:t>
      </w:r>
      <w:r w:rsidRPr="003B1A7B">
        <w:t xml:space="preserve">. </w:t>
      </w:r>
      <w:r>
        <w:t>Vozidlá s ekologickejšími motormi majú n</w:t>
      </w:r>
      <w:r w:rsidRPr="003B1A7B">
        <w:t>ižši</w:t>
      </w:r>
      <w:r>
        <w:t>e</w:t>
      </w:r>
      <w:r w:rsidRPr="003B1A7B">
        <w:t xml:space="preserve"> náklad</w:t>
      </w:r>
      <w:r>
        <w:t>y</w:t>
      </w:r>
      <w:r w:rsidRPr="003B1A7B">
        <w:t xml:space="preserve"> </w:t>
      </w:r>
      <w:r>
        <w:t xml:space="preserve">na mýto a majú lepšiu </w:t>
      </w:r>
      <w:r w:rsidRPr="003B1A7B">
        <w:t>možnosť uplatniť sa na zahraničných dopravných trhoch</w:t>
      </w:r>
      <w:r>
        <w:t xml:space="preserve">. </w:t>
      </w:r>
      <w:r w:rsidRPr="00AE433B">
        <w:t>Emisnú triedu vozidla ovplyvní len dopravca pri kúpe vozidla.</w:t>
      </w:r>
    </w:p>
    <w:p w:rsidR="00AE19F9" w:rsidRPr="003B05F3" w:rsidRDefault="00AE19F9" w:rsidP="00AE19F9">
      <w:pPr>
        <w:rPr>
          <w:b/>
        </w:rPr>
      </w:pPr>
      <w:r>
        <w:t xml:space="preserve">V nasledujúcej tabuľke </w:t>
      </w:r>
      <w:r w:rsidR="0039458A">
        <w:t>(</w:t>
      </w:r>
      <w:r w:rsidR="0039458A">
        <w:fldChar w:fldCharType="begin"/>
      </w:r>
      <w:r w:rsidR="0039458A">
        <w:instrText xml:space="preserve"> REF _Ref36636316 \h </w:instrText>
      </w:r>
      <w:r w:rsidR="0039458A">
        <w:fldChar w:fldCharType="separate"/>
      </w:r>
      <w:r w:rsidR="0039458A">
        <w:t xml:space="preserve">Tab. </w:t>
      </w:r>
      <w:r w:rsidR="0039458A">
        <w:rPr>
          <w:noProof/>
        </w:rPr>
        <w:t>4</w:t>
      </w:r>
      <w:r w:rsidR="0039458A">
        <w:noBreakHyphen/>
      </w:r>
      <w:r w:rsidR="0039458A">
        <w:rPr>
          <w:noProof/>
        </w:rPr>
        <w:t>3</w:t>
      </w:r>
      <w:r w:rsidR="0039458A">
        <w:fldChar w:fldCharType="end"/>
      </w:r>
      <w:r w:rsidR="0039458A">
        <w:t xml:space="preserve">) </w:t>
      </w:r>
      <w:r>
        <w:t xml:space="preserve">je uvedená komparácia nákladových položiek </w:t>
      </w:r>
      <w:r w:rsidR="00932B79">
        <w:t xml:space="preserve">slovenských a českých </w:t>
      </w:r>
      <w:r>
        <w:t>autodopravcov na kilometer jazdy návesovej súpravy</w:t>
      </w:r>
      <w:r w:rsidR="00932B79">
        <w:t xml:space="preserve">. </w:t>
      </w:r>
    </w:p>
    <w:p w:rsidR="00AE19F9" w:rsidRPr="003B1A7B" w:rsidRDefault="00AE19F9" w:rsidP="00AE19F9">
      <w:bookmarkStart w:id="500" w:name="_Ref36636316"/>
      <w:bookmarkStart w:id="501" w:name="_Toc36664504"/>
      <w:r>
        <w:t xml:space="preserve">Tab.  </w:t>
      </w:r>
      <w:r w:rsidR="00C40D3F">
        <w:fldChar w:fldCharType="begin"/>
      </w:r>
      <w:r w:rsidR="00C40D3F">
        <w:instrText xml:space="preserve"> STYLEREF 1 \s </w:instrText>
      </w:r>
      <w:r w:rsidR="00C40D3F">
        <w:fldChar w:fldCharType="separate"/>
      </w:r>
      <w:r>
        <w:rPr>
          <w:noProof/>
        </w:rPr>
        <w:t>4</w:t>
      </w:r>
      <w:r w:rsidR="00C40D3F">
        <w:rPr>
          <w:noProof/>
        </w:rPr>
        <w:fldChar w:fldCharType="end"/>
      </w:r>
      <w:r>
        <w:noBreakHyphen/>
      </w:r>
      <w:r w:rsidR="00C40D3F">
        <w:fldChar w:fldCharType="begin"/>
      </w:r>
      <w:r w:rsidR="00C40D3F">
        <w:instrText xml:space="preserve"> SEQ Tab._ \* ARABIC \s 1 </w:instrText>
      </w:r>
      <w:r w:rsidR="00C40D3F">
        <w:fldChar w:fldCharType="separate"/>
      </w:r>
      <w:r>
        <w:rPr>
          <w:noProof/>
        </w:rPr>
        <w:t>3</w:t>
      </w:r>
      <w:r w:rsidR="00C40D3F">
        <w:rPr>
          <w:noProof/>
        </w:rPr>
        <w:fldChar w:fldCharType="end"/>
      </w:r>
      <w:bookmarkEnd w:id="500"/>
      <w:r>
        <w:t xml:space="preserve"> Porovnanie nákladových položiek na kilometer jazdy návesovej súpravy na Slovensku a v Česku.</w:t>
      </w:r>
      <w:bookmarkEnd w:id="501"/>
    </w:p>
    <w:tbl>
      <w:tblPr>
        <w:tblStyle w:val="tabulkaVUD"/>
        <w:tblW w:w="5000" w:type="pct"/>
        <w:tblCellMar>
          <w:left w:w="57" w:type="dxa"/>
          <w:right w:w="57" w:type="dxa"/>
        </w:tblCellMar>
        <w:tblLook w:val="04A0" w:firstRow="1" w:lastRow="0" w:firstColumn="1" w:lastColumn="0" w:noHBand="0" w:noVBand="1"/>
      </w:tblPr>
      <w:tblGrid>
        <w:gridCol w:w="4690"/>
        <w:gridCol w:w="1326"/>
        <w:gridCol w:w="1000"/>
        <w:gridCol w:w="1570"/>
        <w:gridCol w:w="883"/>
      </w:tblGrid>
      <w:tr w:rsidR="00AE19F9" w:rsidRPr="00AE19F9" w:rsidTr="00AE19F9">
        <w:trPr>
          <w:cnfStyle w:val="100000000000" w:firstRow="1" w:lastRow="0" w:firstColumn="0" w:lastColumn="0" w:oddVBand="0" w:evenVBand="0" w:oddHBand="0" w:evenHBand="0" w:firstRowFirstColumn="0" w:firstRowLastColumn="0" w:lastRowFirstColumn="0" w:lastRowLastColumn="0"/>
          <w:trHeight w:val="549"/>
        </w:trPr>
        <w:tc>
          <w:tcPr>
            <w:tcW w:w="2477" w:type="pct"/>
            <w:vMerge w:val="restart"/>
            <w:hideMark/>
          </w:tcPr>
          <w:p w:rsidR="00AE19F9" w:rsidRPr="00AE19F9" w:rsidRDefault="00AE19F9" w:rsidP="00AE19F9">
            <w:pPr>
              <w:pStyle w:val="zahltab"/>
              <w:spacing w:before="0" w:after="0"/>
            </w:pPr>
            <w:r w:rsidRPr="00AE19F9">
              <w:t xml:space="preserve">Nákladová  položka </w:t>
            </w:r>
            <w:r>
              <w:t>dopravcov</w:t>
            </w:r>
            <w:r w:rsidRPr="00AE19F9">
              <w:t xml:space="preserve"> (2018)  </w:t>
            </w:r>
          </w:p>
        </w:tc>
        <w:tc>
          <w:tcPr>
            <w:tcW w:w="1228" w:type="pct"/>
            <w:gridSpan w:val="2"/>
            <w:noWrap/>
            <w:hideMark/>
          </w:tcPr>
          <w:p w:rsidR="00AE19F9" w:rsidRPr="00AE19F9" w:rsidRDefault="00AE19F9" w:rsidP="00AE19F9">
            <w:pPr>
              <w:pStyle w:val="zahltab"/>
              <w:spacing w:before="0" w:after="0"/>
            </w:pPr>
            <w:r w:rsidRPr="00AE19F9">
              <w:t>SR</w:t>
            </w:r>
          </w:p>
        </w:tc>
        <w:tc>
          <w:tcPr>
            <w:tcW w:w="1295" w:type="pct"/>
            <w:gridSpan w:val="2"/>
            <w:noWrap/>
            <w:hideMark/>
          </w:tcPr>
          <w:p w:rsidR="00AE19F9" w:rsidRPr="00AE19F9" w:rsidRDefault="00AE19F9" w:rsidP="00AE19F9">
            <w:pPr>
              <w:pStyle w:val="zahltab"/>
              <w:spacing w:before="0" w:after="0"/>
            </w:pPr>
            <w:r w:rsidRPr="00AE19F9">
              <w:t>ČR</w:t>
            </w:r>
          </w:p>
        </w:tc>
      </w:tr>
      <w:tr w:rsidR="00AE19F9" w:rsidRPr="00AE19F9" w:rsidTr="00AE19F9">
        <w:trPr>
          <w:trHeight w:val="360"/>
        </w:trPr>
        <w:tc>
          <w:tcPr>
            <w:tcW w:w="2477" w:type="pct"/>
            <w:vMerge/>
            <w:hideMark/>
          </w:tcPr>
          <w:p w:rsidR="00AE19F9" w:rsidRPr="00AE19F9" w:rsidRDefault="00AE19F9" w:rsidP="00AE19F9">
            <w:pPr>
              <w:pStyle w:val="zahltab"/>
              <w:spacing w:before="0" w:after="0"/>
            </w:pPr>
          </w:p>
        </w:tc>
        <w:tc>
          <w:tcPr>
            <w:tcW w:w="700" w:type="pct"/>
            <w:shd w:val="clear" w:color="auto" w:fill="7F7F7F" w:themeFill="text1" w:themeFillTint="80"/>
            <w:hideMark/>
          </w:tcPr>
          <w:p w:rsidR="00AE19F9" w:rsidRDefault="00AE19F9" w:rsidP="00AE19F9">
            <w:pPr>
              <w:pStyle w:val="zahltab"/>
              <w:spacing w:before="0" w:after="0"/>
            </w:pPr>
            <w:r>
              <w:t xml:space="preserve">Náklady </w:t>
            </w:r>
          </w:p>
          <w:p w:rsidR="00AE19F9" w:rsidRPr="00AE19F9" w:rsidRDefault="00AE19F9" w:rsidP="00AE19F9">
            <w:pPr>
              <w:pStyle w:val="zahltab"/>
              <w:spacing w:before="0" w:after="0"/>
            </w:pPr>
            <w:r>
              <w:t>(</w:t>
            </w:r>
            <w:r w:rsidRPr="00AE19F9">
              <w:t>€</w:t>
            </w:r>
            <w:r>
              <w:t>/</w:t>
            </w:r>
            <w:r w:rsidRPr="00AE19F9">
              <w:t>km</w:t>
            </w:r>
            <w:r>
              <w:t>)</w:t>
            </w:r>
          </w:p>
        </w:tc>
        <w:tc>
          <w:tcPr>
            <w:tcW w:w="528" w:type="pct"/>
            <w:shd w:val="clear" w:color="auto" w:fill="7F7F7F" w:themeFill="text1" w:themeFillTint="80"/>
            <w:hideMark/>
          </w:tcPr>
          <w:p w:rsidR="00AE19F9" w:rsidRPr="00AE19F9" w:rsidRDefault="00AE19F9" w:rsidP="00AE19F9">
            <w:pPr>
              <w:pStyle w:val="zahltab"/>
              <w:spacing w:before="0" w:after="0"/>
            </w:pPr>
            <w:r>
              <w:t>% p</w:t>
            </w:r>
            <w:r w:rsidRPr="00AE19F9">
              <w:t>odiel</w:t>
            </w:r>
          </w:p>
        </w:tc>
        <w:tc>
          <w:tcPr>
            <w:tcW w:w="829" w:type="pct"/>
            <w:shd w:val="clear" w:color="auto" w:fill="7F7F7F" w:themeFill="text1" w:themeFillTint="80"/>
            <w:noWrap/>
            <w:hideMark/>
          </w:tcPr>
          <w:p w:rsidR="00AE19F9" w:rsidRDefault="00AE19F9" w:rsidP="00AE19F9">
            <w:pPr>
              <w:pStyle w:val="zahltab"/>
              <w:spacing w:before="0" w:after="0"/>
            </w:pPr>
            <w:r>
              <w:t xml:space="preserve">Náklady </w:t>
            </w:r>
          </w:p>
          <w:p w:rsidR="00AE19F9" w:rsidRPr="00AE19F9" w:rsidRDefault="00AE19F9" w:rsidP="00AE19F9">
            <w:pPr>
              <w:pStyle w:val="zahltab"/>
              <w:spacing w:before="0" w:after="0"/>
            </w:pPr>
            <w:r>
              <w:t>(</w:t>
            </w:r>
            <w:r w:rsidRPr="00AE19F9">
              <w:t>€</w:t>
            </w:r>
            <w:r>
              <w:t>/</w:t>
            </w:r>
            <w:r w:rsidRPr="00AE19F9">
              <w:t>km</w:t>
            </w:r>
            <w:r>
              <w:t>)</w:t>
            </w:r>
          </w:p>
        </w:tc>
        <w:tc>
          <w:tcPr>
            <w:tcW w:w="466" w:type="pct"/>
            <w:shd w:val="clear" w:color="auto" w:fill="7F7F7F" w:themeFill="text1" w:themeFillTint="80"/>
            <w:noWrap/>
            <w:hideMark/>
          </w:tcPr>
          <w:p w:rsidR="00AE19F9" w:rsidRPr="00AE19F9" w:rsidRDefault="00AE19F9" w:rsidP="00AE19F9">
            <w:pPr>
              <w:pStyle w:val="zahltab"/>
              <w:spacing w:before="0" w:after="0"/>
            </w:pPr>
            <w:r>
              <w:t>% p</w:t>
            </w:r>
            <w:r w:rsidRPr="00AE19F9">
              <w:t>odiel</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PHM</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0,394</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42,42%</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0,27</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28,88%</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pneumatiky ťahača, prívesu</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0,033</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3,52%</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0,032</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3,43%</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prevádzkovú údržbu vozidla</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0,035</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3,81%</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0,023</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2,49%</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mzdové náklady osádky vozidla</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0,203</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21,82%</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0,155</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16,63%</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odpisy</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0,1</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10,72%</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0,213</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22,85%</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zákonné, havarijné poistenie + CMR + liečebné nákl.</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0,017</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2,44%</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0,025</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2,71%</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cestnú daň vozidla</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0,018</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1,93%</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0,015</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1,58%</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 xml:space="preserve">režijné náklady firmy </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0,05</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5,38%</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0,1</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10,71%</w:t>
            </w:r>
          </w:p>
        </w:tc>
      </w:tr>
      <w:tr w:rsidR="00AE19F9" w:rsidRPr="00AE19F9" w:rsidTr="00AE19F9">
        <w:trPr>
          <w:trHeight w:val="340"/>
        </w:trPr>
        <w:tc>
          <w:tcPr>
            <w:tcW w:w="2477" w:type="pct"/>
            <w:hideMark/>
          </w:tcPr>
          <w:p w:rsidR="00AE19F9" w:rsidRPr="00AE19F9" w:rsidRDefault="00AE19F9" w:rsidP="00AE19F9">
            <w:pPr>
              <w:spacing w:before="0" w:after="0" w:line="240" w:lineRule="auto"/>
              <w:jc w:val="left"/>
              <w:rPr>
                <w:rFonts w:asciiTheme="minorHAnsi" w:hAnsiTheme="minorHAnsi" w:cstheme="minorHAnsi"/>
                <w:b/>
                <w:bCs/>
                <w:color w:val="000000"/>
                <w:sz w:val="18"/>
                <w:szCs w:val="18"/>
                <w:lang w:eastAsia="sk-SK"/>
              </w:rPr>
            </w:pPr>
            <w:r w:rsidRPr="00AE19F9">
              <w:rPr>
                <w:rFonts w:asciiTheme="minorHAnsi" w:hAnsiTheme="minorHAnsi" w:cstheme="minorHAnsi"/>
                <w:b/>
                <w:bCs/>
                <w:color w:val="000000"/>
                <w:sz w:val="18"/>
                <w:szCs w:val="18"/>
                <w:lang w:eastAsia="sk-SK"/>
              </w:rPr>
              <w:t>náklady na cestovné náhrady</w:t>
            </w:r>
          </w:p>
        </w:tc>
        <w:tc>
          <w:tcPr>
            <w:tcW w:w="700"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0,074</w:t>
            </w:r>
          </w:p>
        </w:tc>
        <w:tc>
          <w:tcPr>
            <w:tcW w:w="528" w:type="pct"/>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7,96%</w:t>
            </w:r>
          </w:p>
        </w:tc>
        <w:tc>
          <w:tcPr>
            <w:tcW w:w="829"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0,1</w:t>
            </w:r>
          </w:p>
        </w:tc>
        <w:tc>
          <w:tcPr>
            <w:tcW w:w="466" w:type="pct"/>
            <w:noWrap/>
            <w:hideMark/>
          </w:tcPr>
          <w:p w:rsidR="00AE19F9" w:rsidRPr="00AE19F9" w:rsidRDefault="00AE19F9" w:rsidP="00AE19F9">
            <w:pPr>
              <w:spacing w:before="0" w:after="0" w:line="240" w:lineRule="auto"/>
              <w:jc w:val="right"/>
              <w:rPr>
                <w:rFonts w:asciiTheme="minorHAnsi" w:hAnsiTheme="minorHAnsi" w:cstheme="minorHAnsi"/>
                <w:color w:val="000000"/>
                <w:sz w:val="18"/>
                <w:szCs w:val="18"/>
                <w:lang w:eastAsia="sk-SK"/>
              </w:rPr>
            </w:pPr>
            <w:r w:rsidRPr="00AE19F9">
              <w:rPr>
                <w:rFonts w:asciiTheme="minorHAnsi" w:hAnsiTheme="minorHAnsi" w:cstheme="minorHAnsi"/>
                <w:color w:val="000000"/>
                <w:sz w:val="18"/>
                <w:szCs w:val="18"/>
                <w:lang w:eastAsia="sk-SK"/>
              </w:rPr>
              <w:t>10,71%</w:t>
            </w:r>
          </w:p>
        </w:tc>
      </w:tr>
      <w:tr w:rsidR="00AE19F9" w:rsidRPr="00AE19F9" w:rsidTr="00AE19F9">
        <w:trPr>
          <w:trHeight w:val="340"/>
        </w:trPr>
        <w:tc>
          <w:tcPr>
            <w:tcW w:w="2477" w:type="pct"/>
            <w:shd w:val="clear" w:color="auto" w:fill="7F7F7F" w:themeFill="text1" w:themeFillTint="80"/>
            <w:hideMark/>
          </w:tcPr>
          <w:p w:rsidR="00AE19F9" w:rsidRPr="00AE19F9" w:rsidRDefault="00AE19F9" w:rsidP="00AE19F9">
            <w:pPr>
              <w:spacing w:before="0" w:after="0" w:line="240" w:lineRule="auto"/>
              <w:jc w:val="right"/>
              <w:rPr>
                <w:rFonts w:asciiTheme="minorHAnsi" w:hAnsiTheme="minorHAnsi" w:cstheme="minorHAnsi"/>
                <w:b/>
                <w:bCs/>
                <w:color w:val="FFFFFF" w:themeColor="background1"/>
                <w:sz w:val="18"/>
                <w:szCs w:val="18"/>
                <w:lang w:eastAsia="sk-SK"/>
              </w:rPr>
            </w:pPr>
            <w:r w:rsidRPr="00AE19F9">
              <w:rPr>
                <w:rFonts w:asciiTheme="minorHAnsi" w:hAnsiTheme="minorHAnsi" w:cstheme="minorHAnsi"/>
                <w:b/>
                <w:bCs/>
                <w:color w:val="FFFFFF" w:themeColor="background1"/>
                <w:sz w:val="18"/>
                <w:szCs w:val="18"/>
                <w:lang w:eastAsia="sk-SK"/>
              </w:rPr>
              <w:t>Celkové náklady bez mýta</w:t>
            </w:r>
          </w:p>
        </w:tc>
        <w:tc>
          <w:tcPr>
            <w:tcW w:w="700" w:type="pct"/>
            <w:shd w:val="clear" w:color="auto" w:fill="7F7F7F" w:themeFill="text1" w:themeFillTint="80"/>
            <w:hideMark/>
          </w:tcPr>
          <w:p w:rsidR="00AE19F9" w:rsidRPr="00AE19F9" w:rsidRDefault="00AE19F9" w:rsidP="00AE19F9">
            <w:pPr>
              <w:spacing w:before="0" w:after="0" w:line="240" w:lineRule="auto"/>
              <w:jc w:val="right"/>
              <w:rPr>
                <w:rFonts w:asciiTheme="minorHAnsi" w:hAnsiTheme="minorHAnsi" w:cstheme="minorHAnsi"/>
                <w:color w:val="FFFFFF" w:themeColor="background1"/>
                <w:sz w:val="18"/>
                <w:szCs w:val="18"/>
                <w:lang w:eastAsia="sk-SK"/>
              </w:rPr>
            </w:pPr>
            <w:r w:rsidRPr="00AE19F9">
              <w:rPr>
                <w:rFonts w:asciiTheme="minorHAnsi" w:hAnsiTheme="minorHAnsi" w:cstheme="minorHAnsi"/>
                <w:color w:val="FFFFFF" w:themeColor="background1"/>
                <w:sz w:val="18"/>
                <w:szCs w:val="18"/>
                <w:lang w:eastAsia="sk-SK"/>
              </w:rPr>
              <w:t>0,929</w:t>
            </w:r>
          </w:p>
        </w:tc>
        <w:tc>
          <w:tcPr>
            <w:tcW w:w="528" w:type="pct"/>
            <w:shd w:val="clear" w:color="auto" w:fill="7F7F7F" w:themeFill="text1" w:themeFillTint="80"/>
            <w:hideMark/>
          </w:tcPr>
          <w:p w:rsidR="00AE19F9" w:rsidRPr="00AE19F9" w:rsidRDefault="00AE19F9" w:rsidP="00AE19F9">
            <w:pPr>
              <w:spacing w:before="0" w:after="0" w:line="240" w:lineRule="auto"/>
              <w:jc w:val="right"/>
              <w:rPr>
                <w:rFonts w:asciiTheme="minorHAnsi" w:hAnsiTheme="minorHAnsi" w:cstheme="minorHAnsi"/>
                <w:color w:val="FFFFFF" w:themeColor="background1"/>
                <w:sz w:val="18"/>
                <w:szCs w:val="18"/>
                <w:lang w:eastAsia="sk-SK"/>
              </w:rPr>
            </w:pPr>
            <w:r w:rsidRPr="00AE19F9">
              <w:rPr>
                <w:rFonts w:asciiTheme="minorHAnsi" w:hAnsiTheme="minorHAnsi" w:cstheme="minorHAnsi"/>
                <w:color w:val="FFFFFF" w:themeColor="background1"/>
                <w:sz w:val="18"/>
                <w:szCs w:val="18"/>
                <w:lang w:eastAsia="sk-SK"/>
              </w:rPr>
              <w:t>100,00%</w:t>
            </w:r>
          </w:p>
        </w:tc>
        <w:tc>
          <w:tcPr>
            <w:tcW w:w="829" w:type="pct"/>
            <w:shd w:val="clear" w:color="auto" w:fill="7F7F7F" w:themeFill="text1" w:themeFillTint="80"/>
            <w:noWrap/>
            <w:hideMark/>
          </w:tcPr>
          <w:p w:rsidR="00AE19F9" w:rsidRPr="00AE19F9" w:rsidRDefault="00AE19F9" w:rsidP="00AE19F9">
            <w:pPr>
              <w:spacing w:before="0" w:after="0" w:line="240" w:lineRule="auto"/>
              <w:jc w:val="right"/>
              <w:rPr>
                <w:rFonts w:asciiTheme="minorHAnsi" w:hAnsiTheme="minorHAnsi" w:cstheme="minorHAnsi"/>
                <w:color w:val="FFFFFF" w:themeColor="background1"/>
                <w:sz w:val="18"/>
                <w:szCs w:val="18"/>
                <w:lang w:eastAsia="sk-SK"/>
              </w:rPr>
            </w:pPr>
            <w:r w:rsidRPr="00AE19F9">
              <w:rPr>
                <w:rFonts w:asciiTheme="minorHAnsi" w:hAnsiTheme="minorHAnsi" w:cstheme="minorHAnsi"/>
                <w:color w:val="FFFFFF" w:themeColor="background1"/>
                <w:sz w:val="18"/>
                <w:szCs w:val="18"/>
                <w:lang w:eastAsia="sk-SK"/>
              </w:rPr>
              <w:t>0,933</w:t>
            </w:r>
          </w:p>
        </w:tc>
        <w:tc>
          <w:tcPr>
            <w:tcW w:w="466" w:type="pct"/>
            <w:shd w:val="clear" w:color="auto" w:fill="7F7F7F" w:themeFill="text1" w:themeFillTint="80"/>
            <w:noWrap/>
            <w:hideMark/>
          </w:tcPr>
          <w:p w:rsidR="00AE19F9" w:rsidRPr="00AE19F9" w:rsidRDefault="00AE19F9" w:rsidP="00AE19F9">
            <w:pPr>
              <w:spacing w:before="0" w:after="0" w:line="240" w:lineRule="auto"/>
              <w:jc w:val="right"/>
              <w:rPr>
                <w:rFonts w:asciiTheme="minorHAnsi" w:hAnsiTheme="minorHAnsi" w:cstheme="minorHAnsi"/>
                <w:color w:val="FFFFFF" w:themeColor="background1"/>
                <w:sz w:val="18"/>
                <w:szCs w:val="18"/>
                <w:lang w:eastAsia="sk-SK"/>
              </w:rPr>
            </w:pPr>
            <w:r w:rsidRPr="00AE19F9">
              <w:rPr>
                <w:rFonts w:asciiTheme="minorHAnsi" w:hAnsiTheme="minorHAnsi" w:cstheme="minorHAnsi"/>
                <w:color w:val="FFFFFF" w:themeColor="background1"/>
                <w:sz w:val="18"/>
                <w:szCs w:val="18"/>
                <w:lang w:eastAsia="sk-SK"/>
              </w:rPr>
              <w:t>100%</w:t>
            </w:r>
          </w:p>
        </w:tc>
      </w:tr>
    </w:tbl>
    <w:p w:rsidR="0039458A" w:rsidRDefault="00185531" w:rsidP="00867744">
      <w:r>
        <w:t xml:space="preserve">Z tabuľky vyplýva, </w:t>
      </w:r>
      <w:r w:rsidRPr="003B1A7B">
        <w:t>že rozdiel v nákladoch tvor</w:t>
      </w:r>
      <w:r>
        <w:t>ia</w:t>
      </w:r>
      <w:r w:rsidRPr="003B1A7B">
        <w:t xml:space="preserve"> </w:t>
      </w:r>
      <w:r>
        <w:t xml:space="preserve">predovšetkým </w:t>
      </w:r>
      <w:r w:rsidRPr="00185531">
        <w:t>podiely nákladov na PHM</w:t>
      </w:r>
      <w:r>
        <w:rPr>
          <w:b/>
        </w:rPr>
        <w:t xml:space="preserve"> </w:t>
      </w:r>
      <w:r>
        <w:t>v neprospech slovenského dopravcu, mzdové náklady v neprospech slovenského dopravcu a náklady na odpisy v prospech slovenského dopravcu</w:t>
      </w:r>
      <w:r w:rsidR="0039458A" w:rsidRPr="0039458A">
        <w:t xml:space="preserve">. </w:t>
      </w:r>
      <w:r w:rsidR="0039458A">
        <w:t xml:space="preserve">Vyšší podiel nákladov českého autodopravcu predstavujú tiež režijné náklady firmy a náklady na cestovné náhrady.  </w:t>
      </w:r>
      <w:r w:rsidR="0039458A" w:rsidRPr="00C916C3">
        <w:t>Celkové náklady na</w:t>
      </w:r>
      <w:r w:rsidR="0039458A">
        <w:t xml:space="preserve"> kilometer jazdy sú približne rovnaké, s rozdielom 0,004€ v neprospech českého dopravcu. </w:t>
      </w:r>
    </w:p>
    <w:p w:rsidR="00C62510" w:rsidRDefault="0039458A" w:rsidP="00EB403C">
      <w:r w:rsidRPr="0039458A">
        <w:t>Náklady na mýto neboli zahrnuté do kalkulácie, pretože je pre všetkých dopravcov na území konkrétneho štátu rovnaké.</w:t>
      </w:r>
      <w:r>
        <w:t xml:space="preserve"> Pre ilustráciu podielu nákladov na mýto a ostatných nákladov autodopravcov sú v nasledujúcom grafe </w:t>
      </w:r>
      <w:r w:rsidR="00C62510">
        <w:t>(</w:t>
      </w:r>
      <w:r w:rsidR="00C40D3F">
        <w:fldChar w:fldCharType="begin"/>
      </w:r>
      <w:r w:rsidR="00C40D3F">
        <w:instrText xml:space="preserve"> REF _Ref36638105 \h  \* MERGEFORMAT </w:instrText>
      </w:r>
      <w:r w:rsidR="00C40D3F">
        <w:fldChar w:fldCharType="separate"/>
      </w:r>
      <w:r w:rsidR="00C62510">
        <w:t>Obr. 4</w:t>
      </w:r>
      <w:r w:rsidR="00C62510">
        <w:noBreakHyphen/>
        <w:t>6</w:t>
      </w:r>
      <w:r w:rsidR="00C40D3F">
        <w:fldChar w:fldCharType="end"/>
      </w:r>
      <w:r w:rsidR="00C62510">
        <w:t xml:space="preserve">) </w:t>
      </w:r>
      <w:r>
        <w:t>porovnané celkové náklady autodopravcov podľa tabuľky (</w:t>
      </w:r>
      <w:r w:rsidR="00C40D3F">
        <w:fldChar w:fldCharType="begin"/>
      </w:r>
      <w:r w:rsidR="00C40D3F">
        <w:instrText xml:space="preserve"> REF _Ref36636316 \h  \* MERGEFORMAT </w:instrText>
      </w:r>
      <w:r w:rsidR="00C40D3F">
        <w:fldChar w:fldCharType="separate"/>
      </w:r>
      <w:r>
        <w:t>Tab. 4</w:t>
      </w:r>
      <w:r>
        <w:noBreakHyphen/>
        <w:t>3</w:t>
      </w:r>
      <w:r w:rsidR="00C40D3F">
        <w:fldChar w:fldCharType="end"/>
      </w:r>
      <w:r>
        <w:t>) s vypočítanou sadzbou mýta za prejazd 1km siete priemerným povinným vozidlom v SR a ČR na úrovni 0,154 €/vkm (</w:t>
      </w:r>
      <w:r w:rsidR="00EB403C">
        <w:fldChar w:fldCharType="begin"/>
      </w:r>
      <w:r w:rsidR="00EB403C">
        <w:instrText xml:space="preserve"> REF _Ref21711215 \h </w:instrText>
      </w:r>
      <w:r w:rsidR="00EB403C">
        <w:fldChar w:fldCharType="separate"/>
      </w:r>
      <w:r w:rsidR="00EB403C">
        <w:t xml:space="preserve">Tab.  </w:t>
      </w:r>
      <w:r w:rsidR="00EB403C">
        <w:rPr>
          <w:noProof/>
        </w:rPr>
        <w:t>2</w:t>
      </w:r>
      <w:r w:rsidR="00EB403C">
        <w:noBreakHyphen/>
      </w:r>
      <w:r w:rsidR="00EB403C">
        <w:rPr>
          <w:noProof/>
        </w:rPr>
        <w:t>9</w:t>
      </w:r>
      <w:r w:rsidR="00EB403C">
        <w:fldChar w:fldCharType="end"/>
      </w:r>
      <w:r>
        <w:t>).</w:t>
      </w:r>
      <w:r w:rsidR="00D61B89">
        <w:t xml:space="preserve"> </w:t>
      </w:r>
    </w:p>
    <w:p w:rsidR="0039458A" w:rsidRDefault="00D61B89" w:rsidP="00EB403C">
      <w:r>
        <w:t xml:space="preserve">Aj napriek tomu, že sadzby  za užívanie vymedzených úsekov ciest pre návesové súpravy </w:t>
      </w:r>
      <w:r w:rsidR="00C62510">
        <w:t xml:space="preserve">(emisná trieda EURO IV.) boli k 31.12.2018 </w:t>
      </w:r>
      <w:r>
        <w:t xml:space="preserve">v SR a ČR </w:t>
      </w:r>
      <w:r w:rsidR="00C62510">
        <w:t>vyššie, resp. nižšie ako vypočítaná priemerná sadzba (SR – diaľnice, RC a súbežné cesty 1. triedy 0,214 €/vkm, nesúbežné cesty I. triedy 0,167 €/vkm; ČR</w:t>
      </w:r>
      <w:r>
        <w:t xml:space="preserve"> </w:t>
      </w:r>
      <w:r w:rsidR="00C62510">
        <w:t xml:space="preserve"> - diaľnice 0,274€/vkm,cesty I. triedy 0,13 €/vkm), </w:t>
      </w:r>
      <w:r w:rsidR="00C62510" w:rsidRPr="00886D07">
        <w:rPr>
          <w:b/>
        </w:rPr>
        <w:t xml:space="preserve">podiel nákladov na mýto </w:t>
      </w:r>
      <w:r w:rsidR="00B16D53" w:rsidRPr="00886D07">
        <w:rPr>
          <w:b/>
        </w:rPr>
        <w:t>predstavuje</w:t>
      </w:r>
      <w:r w:rsidR="008A029A" w:rsidRPr="00886D07">
        <w:rPr>
          <w:b/>
        </w:rPr>
        <w:t xml:space="preserve"> </w:t>
      </w:r>
      <w:r w:rsidR="00886D07">
        <w:rPr>
          <w:b/>
        </w:rPr>
        <w:t>v priemere</w:t>
      </w:r>
      <w:r w:rsidR="008A029A" w:rsidRPr="00886D07">
        <w:rPr>
          <w:b/>
        </w:rPr>
        <w:t xml:space="preserve"> 14,22% </w:t>
      </w:r>
      <w:r w:rsidR="00C62510" w:rsidRPr="00886D07">
        <w:rPr>
          <w:b/>
        </w:rPr>
        <w:t>celkových povinných nákladov autodopravcov</w:t>
      </w:r>
      <w:r w:rsidR="00886D07" w:rsidRPr="00886D07">
        <w:rPr>
          <w:b/>
        </w:rPr>
        <w:t>, pričom </w:t>
      </w:r>
      <w:r w:rsidR="00886D07">
        <w:rPr>
          <w:b/>
        </w:rPr>
        <w:t xml:space="preserve">možno konštatovať, že </w:t>
      </w:r>
      <w:r w:rsidR="00886D07" w:rsidRPr="00886D07">
        <w:rPr>
          <w:b/>
        </w:rPr>
        <w:t>nepresiahne viac ako 23%</w:t>
      </w:r>
      <w:r w:rsidR="00886D07" w:rsidRPr="00867744">
        <w:t xml:space="preserve"> </w:t>
      </w:r>
      <w:r w:rsidR="00C62510">
        <w:t>Z uvedeného vyplýva, že zvýšenie mýtnych sadzieb o 0,001 € až 0,007</w:t>
      </w:r>
      <w:r w:rsidR="00F710D9">
        <w:t xml:space="preserve">€, ktoré bolo nadobudnutím účinnosti Nariadenia vlády SR č. </w:t>
      </w:r>
      <w:r w:rsidR="00F710D9" w:rsidRPr="00C62510">
        <w:t xml:space="preserve">394/2018 Z. z </w:t>
      </w:r>
      <w:r w:rsidR="00C62510">
        <w:t>realizované v roku 2019</w:t>
      </w:r>
      <w:r w:rsidR="00F710D9">
        <w:t xml:space="preserve"> a platné v súčasnosti,</w:t>
      </w:r>
      <w:r w:rsidR="00C62510">
        <w:t xml:space="preserve"> predstavuj</w:t>
      </w:r>
      <w:r w:rsidR="00F710D9">
        <w:t>e</w:t>
      </w:r>
      <w:r w:rsidR="00C62510">
        <w:t xml:space="preserve"> len malý vplyv na výšku celkových nákladov autodopravcov. </w:t>
      </w:r>
      <w:r w:rsidR="00F710D9">
        <w:t xml:space="preserve"> </w:t>
      </w:r>
    </w:p>
    <w:p w:rsidR="00D61B89" w:rsidRPr="00D61B89" w:rsidRDefault="00D61B89" w:rsidP="0039458A">
      <w:pPr>
        <w:rPr>
          <w:sz w:val="2"/>
          <w:szCs w:val="2"/>
        </w:rPr>
      </w:pPr>
    </w:p>
    <w:p w:rsidR="00D61B89" w:rsidRDefault="00D61B89" w:rsidP="00D61B89">
      <w:pPr>
        <w:keepNext/>
      </w:pPr>
      <w:r w:rsidRPr="00D61B89">
        <w:rPr>
          <w:b/>
          <w:noProof/>
          <w:lang w:eastAsia="sk-SK"/>
        </w:rPr>
        <w:drawing>
          <wp:inline distT="0" distB="0" distL="0" distR="0">
            <wp:extent cx="5940000" cy="2743200"/>
            <wp:effectExtent l="19050" t="0" r="22650" b="0"/>
            <wp:docPr id="63"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39458A" w:rsidRDefault="00D61B89" w:rsidP="00F83E46">
      <w:pPr>
        <w:pStyle w:val="Popis"/>
        <w:rPr>
          <w:b/>
        </w:rPr>
      </w:pPr>
      <w:bookmarkStart w:id="502" w:name="_Ref36638105"/>
      <w:bookmarkStart w:id="503" w:name="_Toc36664560"/>
      <w:r>
        <w:t xml:space="preserve">Obr. </w:t>
      </w:r>
      <w:r w:rsidR="00C40D3F">
        <w:fldChar w:fldCharType="begin"/>
      </w:r>
      <w:r w:rsidR="00C40D3F">
        <w:instrText xml:space="preserve"> STYLEREF 1 \s </w:instrText>
      </w:r>
      <w:r w:rsidR="00C40D3F">
        <w:fldChar w:fldCharType="separate"/>
      </w:r>
      <w:r>
        <w:rPr>
          <w:noProof/>
        </w:rPr>
        <w:t>4</w:t>
      </w:r>
      <w:r w:rsidR="00C40D3F">
        <w:rPr>
          <w:noProof/>
        </w:rPr>
        <w:fldChar w:fldCharType="end"/>
      </w:r>
      <w:r>
        <w:noBreakHyphen/>
      </w:r>
      <w:r w:rsidR="00C40D3F">
        <w:fldChar w:fldCharType="begin"/>
      </w:r>
      <w:r w:rsidR="00C40D3F">
        <w:instrText xml:space="preserve"> SEQ Obr. \* ARABIC \s 1 </w:instrText>
      </w:r>
      <w:r w:rsidR="00C40D3F">
        <w:fldChar w:fldCharType="separate"/>
      </w:r>
      <w:r>
        <w:rPr>
          <w:noProof/>
        </w:rPr>
        <w:t>6</w:t>
      </w:r>
      <w:r w:rsidR="00C40D3F">
        <w:rPr>
          <w:noProof/>
        </w:rPr>
        <w:fldChar w:fldCharType="end"/>
      </w:r>
      <w:bookmarkEnd w:id="502"/>
      <w:r>
        <w:t xml:space="preserve"> Porovnanie podielu nákladov na mýto k celkovým nákladom autodopravcov</w:t>
      </w:r>
      <w:r w:rsidR="00F83E46">
        <w:t xml:space="preserve"> SR a ČR</w:t>
      </w:r>
      <w:bookmarkEnd w:id="503"/>
    </w:p>
    <w:p w:rsidR="00F83E46" w:rsidRDefault="00F83E46" w:rsidP="00F83E46">
      <w:r>
        <w:t>Pre objektivitu boli ďalej porovnané položky nákladov určených štátmi pre dopravcov v Poľsku, Česku a Slovensku. Ide o náklady na zákonné poistenie vozidla, náklady na cestnú daň vozidla a náklady na cestovné náhrady, ktoré musia dopravcovia rešpektovať. Ostatné náklady môžu dopravcovia ovplyvniť (réžia,..), alebo sú rovnaké pre všetkých dopravcov prechádzajúcich danou krajinou (mýto). Porovnanie týchto nákladov je uvedené v nasledujúcom grafe (</w:t>
      </w:r>
      <w:r>
        <w:fldChar w:fldCharType="begin"/>
      </w:r>
      <w:r>
        <w:instrText xml:space="preserve"> REF _Ref36639535 \h </w:instrText>
      </w:r>
      <w:r>
        <w:fldChar w:fldCharType="separate"/>
      </w:r>
      <w:r>
        <w:t xml:space="preserve">Obr. </w:t>
      </w:r>
      <w:r>
        <w:rPr>
          <w:noProof/>
        </w:rPr>
        <w:t>4</w:t>
      </w:r>
      <w:r>
        <w:noBreakHyphen/>
      </w:r>
      <w:r>
        <w:rPr>
          <w:noProof/>
        </w:rPr>
        <w:t>7</w:t>
      </w:r>
      <w:r>
        <w:fldChar w:fldCharType="end"/>
      </w:r>
      <w:r>
        <w:t xml:space="preserve">). </w:t>
      </w:r>
    </w:p>
    <w:p w:rsidR="00F83E46" w:rsidRDefault="00F83E46" w:rsidP="00F83E46">
      <w:r>
        <w:t xml:space="preserve">Z grafu vyplýva, že slovenskí dopravcovia sú vo výhodnej pozícii voči českým dopravcom, ale v nevýhodnej pozícii voči poľským dopravcom. </w:t>
      </w:r>
    </w:p>
    <w:p w:rsidR="00AE19F9" w:rsidRDefault="00F83E46" w:rsidP="008125A7">
      <w:pPr>
        <w:spacing w:before="0" w:after="200"/>
      </w:pPr>
      <w:r w:rsidRPr="00F83E46">
        <w:rPr>
          <w:noProof/>
          <w:lang w:eastAsia="sk-SK"/>
        </w:rPr>
        <w:drawing>
          <wp:inline distT="0" distB="0" distL="0" distR="0">
            <wp:extent cx="5949301" cy="2658140"/>
            <wp:effectExtent l="19050" t="0" r="13349" b="8860"/>
            <wp:docPr id="64"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F83E46" w:rsidRDefault="00F83E46" w:rsidP="00F83E46">
      <w:pPr>
        <w:pStyle w:val="Popis"/>
        <w:rPr>
          <w:b/>
        </w:rPr>
      </w:pPr>
      <w:bookmarkStart w:id="504" w:name="_Ref36639535"/>
      <w:bookmarkStart w:id="505" w:name="_Toc36664561"/>
      <w:r>
        <w:t xml:space="preserve">Obr. </w:t>
      </w:r>
      <w:r w:rsidR="00C40D3F">
        <w:fldChar w:fldCharType="begin"/>
      </w:r>
      <w:r w:rsidR="00C40D3F">
        <w:instrText xml:space="preserve"> STYLEREF 1 \s </w:instrText>
      </w:r>
      <w:r w:rsidR="00C40D3F">
        <w:fldChar w:fldCharType="separate"/>
      </w:r>
      <w:r>
        <w:rPr>
          <w:noProof/>
        </w:rPr>
        <w:t>4</w:t>
      </w:r>
      <w:r w:rsidR="00C40D3F">
        <w:rPr>
          <w:noProof/>
        </w:rPr>
        <w:fldChar w:fldCharType="end"/>
      </w:r>
      <w:r>
        <w:noBreakHyphen/>
      </w:r>
      <w:r w:rsidR="00C40D3F">
        <w:fldChar w:fldCharType="begin"/>
      </w:r>
      <w:r w:rsidR="00C40D3F">
        <w:instrText xml:space="preserve"> SEQ Obr. \* ARABIC \s 1 </w:instrText>
      </w:r>
      <w:r w:rsidR="00C40D3F">
        <w:fldChar w:fldCharType="separate"/>
      </w:r>
      <w:r>
        <w:rPr>
          <w:noProof/>
        </w:rPr>
        <w:t>7</w:t>
      </w:r>
      <w:r w:rsidR="00C40D3F">
        <w:rPr>
          <w:noProof/>
        </w:rPr>
        <w:fldChar w:fldCharType="end"/>
      </w:r>
      <w:bookmarkEnd w:id="504"/>
      <w:r>
        <w:t xml:space="preserve"> </w:t>
      </w:r>
      <w:r w:rsidRPr="00F83E46">
        <w:t>Porovnanie vybraných nákladových položiek na kilometer jazdy slovenskej, česk</w:t>
      </w:r>
      <w:r>
        <w:t>ej a poľskej návesovej súpravy</w:t>
      </w:r>
      <w:bookmarkEnd w:id="505"/>
    </w:p>
    <w:p w:rsidR="007F124F" w:rsidRPr="007D681C" w:rsidRDefault="00AE5B8A">
      <w:pPr>
        <w:pStyle w:val="Nadpis3"/>
      </w:pPr>
      <w:bookmarkStart w:id="506" w:name="_Toc36664436"/>
      <w:r w:rsidRPr="007D681C">
        <w:t>Dopady zmien na domácnosti/spotrebiteľské ceny</w:t>
      </w:r>
      <w:bookmarkEnd w:id="506"/>
    </w:p>
    <w:p w:rsidR="00C83499" w:rsidRPr="00B16D53" w:rsidRDefault="00C83499" w:rsidP="00C83499">
      <w:pPr>
        <w:pStyle w:val="Odsekzoznamu"/>
        <w:ind w:left="0"/>
      </w:pPr>
      <w:r w:rsidRPr="00B16D53">
        <w:t xml:space="preserve">Pri rozhodovaní o spoplatnení </w:t>
      </w:r>
      <w:r w:rsidR="008A029A">
        <w:t>ďalších</w:t>
      </w:r>
      <w:r w:rsidR="00B16D53" w:rsidRPr="00B16D53">
        <w:t xml:space="preserve"> </w:t>
      </w:r>
      <w:r w:rsidRPr="00B16D53">
        <w:t>úsekov ciest je potrebné zvažovať tiež ekonomické dopady na ceny spotrebných tovarov súvisiacich s dopravou. Pred zavedením mýta Výskumný ústav dopravný, a.s. predikoval nárast cien vybraných druhov tovarov na zanedbateľnej úrovni v rozpätí  0,05% - 1,7% pri 100% využití spoplatnených ciest, ktorý sa potvrdil. V prvom roku prevádzky systému pri spoplatnení 1948,2 km ciest bol reálny dopad na ceny vybraných tovarov na úrovni cca 0,05% - 1,05%, pričom  vozidlá jazdili po spoplatnených úsekoch len čiastočne. Išlo napríklad o tieto dopady mýta na ceny spotrebných tovarov:</w:t>
      </w:r>
    </w:p>
    <w:p w:rsidR="00C83499" w:rsidRPr="00B16D53" w:rsidRDefault="00C83499" w:rsidP="000A4510">
      <w:pPr>
        <w:pStyle w:val="Odsekzoznamu"/>
        <w:numPr>
          <w:ilvl w:val="0"/>
          <w:numId w:val="43"/>
        </w:numPr>
        <w:ind w:left="1134"/>
      </w:pPr>
      <w:r w:rsidRPr="00B16D53">
        <w:t>ceny potravín vzrástli o 0,02% – 0,05% (mliečne a mäsové výrobky),</w:t>
      </w:r>
    </w:p>
    <w:p w:rsidR="00C83499" w:rsidRPr="00B16D53" w:rsidRDefault="00C83499" w:rsidP="000A4510">
      <w:pPr>
        <w:pStyle w:val="Odsekzoznamu"/>
        <w:numPr>
          <w:ilvl w:val="0"/>
          <w:numId w:val="43"/>
        </w:numPr>
        <w:ind w:left="1134"/>
      </w:pPr>
      <w:r w:rsidRPr="00B16D53">
        <w:t xml:space="preserve">celkový dopad mýta na domácnosti vo výške  0,70% – 0,76%, </w:t>
      </w:r>
    </w:p>
    <w:p w:rsidR="00C83499" w:rsidRPr="00B16D53" w:rsidRDefault="00C83499" w:rsidP="000A4510">
      <w:pPr>
        <w:pStyle w:val="Odsekzoznamu"/>
        <w:numPr>
          <w:ilvl w:val="0"/>
          <w:numId w:val="43"/>
        </w:numPr>
        <w:ind w:left="1134"/>
      </w:pPr>
      <w:r w:rsidRPr="00B16D53">
        <w:t>ceny dreva a guľatiny vzrástli o 0,6% - 1,05%,</w:t>
      </w:r>
    </w:p>
    <w:p w:rsidR="00C83499" w:rsidRPr="00B16D53" w:rsidRDefault="00C83499" w:rsidP="000A4510">
      <w:pPr>
        <w:pStyle w:val="Odsekzoznamu"/>
        <w:numPr>
          <w:ilvl w:val="0"/>
          <w:numId w:val="43"/>
        </w:numPr>
        <w:spacing w:before="0"/>
        <w:ind w:left="1134" w:hanging="357"/>
        <w:contextualSpacing w:val="0"/>
      </w:pPr>
      <w:r w:rsidRPr="00B16D53">
        <w:t>ceny stavebnín vzrástli o 0,3% - 1%.</w:t>
      </w:r>
    </w:p>
    <w:p w:rsidR="00C83499" w:rsidRDefault="00C83499" w:rsidP="00C83499">
      <w:pPr>
        <w:pStyle w:val="Odsekzoznamu"/>
        <w:ind w:left="0"/>
        <w:contextualSpacing w:val="0"/>
      </w:pPr>
      <w:r w:rsidRPr="00B16D53">
        <w:t>Hoci predstavitelia ÚNAS informovali</w:t>
      </w:r>
      <w:r w:rsidRPr="0064156E">
        <w:t>, že je mýto likvidačné, v skutočnosti po prepočtoch nákladov sa zvýšili náklady na kalkuláciu ceny jedného km pre prepravcu max. o 15,4%, v oblastiach s menšou hustotou spoplatnených komunikácií (východné Slovensko) sa náklady dokonca znížili z dôvodu zníženia dane z minerálnych olejov a zrušenia diaľničnej nálepky. Celkový dopad na ceny potom predstavoval rádovo desatiny percenta až 1 percento.</w:t>
      </w:r>
    </w:p>
    <w:p w:rsidR="00C83499" w:rsidRDefault="00C83499" w:rsidP="00C83499">
      <w:pPr>
        <w:pStyle w:val="Odsekzoznamu"/>
        <w:ind w:left="0"/>
        <w:contextualSpacing w:val="0"/>
      </w:pPr>
      <w:r w:rsidRPr="0064156E">
        <w:t xml:space="preserve">Spoplatnenie </w:t>
      </w:r>
      <w:r w:rsidR="00662B32">
        <w:t xml:space="preserve">nenulovou sadzbou </w:t>
      </w:r>
      <w:r w:rsidRPr="0064156E">
        <w:t xml:space="preserve">ďalších </w:t>
      </w:r>
      <w:r w:rsidR="00662B32">
        <w:t xml:space="preserve">v súčasnosti nespoplatnených úsekov </w:t>
      </w:r>
      <w:r w:rsidRPr="0064156E">
        <w:t xml:space="preserve">ciest predstavuje </w:t>
      </w:r>
      <w:r w:rsidR="00662B32">
        <w:t xml:space="preserve">viac ako </w:t>
      </w:r>
      <w:r w:rsidRPr="0064156E">
        <w:t>87%ný nárast spoplatnenej dĺžky, ktorý by ale pre lokálne zásobovacie vozidlá a autobusy znamenal takmer 100%ný p</w:t>
      </w:r>
      <w:r>
        <w:t>rejazd po spoplatnených úsekoch</w:t>
      </w:r>
      <w:r w:rsidRPr="0064156E">
        <w:t>. Vplyvom toho by vzrástli ceny potravín o 1,2% - 2,4%. U ostatného tovaru, najmä u tovaru s veľkou hmotnosťou a nižšou cenou (napr.</w:t>
      </w:r>
      <w:r>
        <w:t> </w:t>
      </w:r>
      <w:r w:rsidRPr="0064156E">
        <w:t xml:space="preserve">guľatina) by išlo o cca 3,6%ný nárast, celkový dopad na domácnosti by </w:t>
      </w:r>
      <w:r>
        <w:t xml:space="preserve">mohol </w:t>
      </w:r>
      <w:r w:rsidRPr="0064156E">
        <w:t>predstavova</w:t>
      </w:r>
      <w:r>
        <w:t xml:space="preserve">ť </w:t>
      </w:r>
      <w:r w:rsidRPr="0064156E">
        <w:t>1,8 - 3%.</w:t>
      </w:r>
    </w:p>
    <w:p w:rsidR="0087373C" w:rsidRDefault="0087373C" w:rsidP="0087373C">
      <w:pPr>
        <w:pStyle w:val="Nadpis1"/>
      </w:pPr>
      <w:bookmarkStart w:id="507" w:name="_Toc36664437"/>
      <w:r w:rsidRPr="0087373C">
        <w:t xml:space="preserve">Právne aspekty </w:t>
      </w:r>
      <w:r>
        <w:t xml:space="preserve">časovej </w:t>
      </w:r>
      <w:r w:rsidRPr="0087373C">
        <w:t xml:space="preserve">vykonateľnosti </w:t>
      </w:r>
      <w:r>
        <w:t xml:space="preserve">opatrení </w:t>
      </w:r>
      <w:r w:rsidRPr="0087373C">
        <w:t xml:space="preserve">na zvýšenie efektívnosti </w:t>
      </w:r>
      <w:r w:rsidR="008F403D">
        <w:t>EMS</w:t>
      </w:r>
      <w:bookmarkEnd w:id="507"/>
    </w:p>
    <w:p w:rsidR="00684175" w:rsidRDefault="00684175" w:rsidP="00684175">
      <w:pPr>
        <w:pStyle w:val="Normaltext"/>
        <w:spacing w:line="276" w:lineRule="auto"/>
      </w:pPr>
      <w:r w:rsidRPr="00684175">
        <w:t xml:space="preserve">V predchádzajúcich kapitolách boli identifikované základné možnosti zvýšenia výnosnosti elektronického mýtneho systému v SR. </w:t>
      </w:r>
      <w:r>
        <w:t xml:space="preserve">V ďalšom texte sú rozpracované návrhy legislatívnych zmien, ktoré je potrebné v kontexte navrhovaných zmien prijať s cieľom zlepšiť celkovú efektívnosti systému. Legislatívne zmeny sú navrhované pre rok 2020. </w:t>
      </w:r>
    </w:p>
    <w:p w:rsidR="00684175" w:rsidRDefault="00684175" w:rsidP="00684175">
      <w:pPr>
        <w:pStyle w:val="Normaltext"/>
        <w:spacing w:line="276" w:lineRule="auto"/>
      </w:pPr>
      <w:r>
        <w:t xml:space="preserve">Z uvádzaných opatrení súvisiacich so zvýšením výnosnosti ETC v SR si vyžadujú zmenu legislatívy tieto opatrenia: </w:t>
      </w:r>
    </w:p>
    <w:p w:rsidR="00684175" w:rsidRPr="00684175" w:rsidRDefault="00684175" w:rsidP="000A4510">
      <w:pPr>
        <w:pStyle w:val="Normaltext"/>
        <w:numPr>
          <w:ilvl w:val="0"/>
          <w:numId w:val="52"/>
        </w:numPr>
        <w:spacing w:line="276" w:lineRule="auto"/>
      </w:pPr>
      <w:r w:rsidRPr="00684175">
        <w:t>Zvýšenie dĺžky spoplatnených úsekov ciest nenulovou sadzbou</w:t>
      </w:r>
    </w:p>
    <w:p w:rsidR="00684175" w:rsidRPr="00684175" w:rsidRDefault="00684175" w:rsidP="000A4510">
      <w:pPr>
        <w:pStyle w:val="Normaltext"/>
        <w:numPr>
          <w:ilvl w:val="0"/>
          <w:numId w:val="52"/>
        </w:numPr>
        <w:spacing w:line="276" w:lineRule="auto"/>
      </w:pPr>
      <w:r w:rsidRPr="00684175">
        <w:t>Zvýšenie a úprava sadzieb mýta</w:t>
      </w:r>
    </w:p>
    <w:p w:rsidR="00684175" w:rsidRPr="00684175" w:rsidRDefault="00684175" w:rsidP="00684175">
      <w:pPr>
        <w:pStyle w:val="Nadpis2"/>
      </w:pPr>
      <w:bookmarkStart w:id="508" w:name="_Toc36664438"/>
      <w:r w:rsidRPr="00684175">
        <w:t>Zvýšenie dĺžky spoplatnených úsekov ciest nenulovou sadzbou</w:t>
      </w:r>
      <w:bookmarkEnd w:id="508"/>
    </w:p>
    <w:p w:rsidR="00A513AF" w:rsidRDefault="00684175" w:rsidP="00684175">
      <w:pPr>
        <w:pStyle w:val="Normaltext"/>
        <w:spacing w:line="276" w:lineRule="auto"/>
      </w:pPr>
      <w:r>
        <w:t xml:space="preserve">Dĺžku spoplatnených úsekov ciest </w:t>
      </w:r>
      <w:r w:rsidR="00343465">
        <w:t xml:space="preserve">v súčasnosti </w:t>
      </w:r>
      <w:r>
        <w:t xml:space="preserve">upravuje vyhláška MDV SR č. </w:t>
      </w:r>
      <w:r w:rsidRPr="00684175">
        <w:t>422/2019 Z.</w:t>
      </w:r>
      <w:r w:rsidR="00EC7783">
        <w:t> </w:t>
      </w:r>
      <w:r w:rsidRPr="00684175">
        <w:t>z.</w:t>
      </w:r>
      <w:r>
        <w:t xml:space="preserve">, </w:t>
      </w:r>
      <w:r w:rsidRPr="00684175">
        <w:t>ktorou sa mení vyhláška Ministerstva dopravy, výstavby a regionálneho rozvoja Slovenskej republiky č. 475/2013 Z. z., ktorou  vymedzujú úseky diaľnic, rýchlostných ciest, ciest I. triedy, ciest II. triedy a ciest III. triedy  s výberom mýta v znení neskorších predpisov</w:t>
      </w:r>
      <w:r w:rsidR="00343465">
        <w:t xml:space="preserve"> a ktorá je</w:t>
      </w:r>
      <w:r>
        <w:t> účinn</w:t>
      </w:r>
      <w:r w:rsidR="00343465">
        <w:t>á</w:t>
      </w:r>
      <w:r>
        <w:t xml:space="preserve"> od 1.1.2020. </w:t>
      </w:r>
      <w:r w:rsidR="00A513AF">
        <w:t xml:space="preserve">Vymedzenie úsekov ciest s výberom mýta stanovuje vyhláška v zmysle </w:t>
      </w:r>
      <w:hyperlink r:id="rId124" w:anchor="paragraf-35.odsek-2.pismeno-a" w:tooltip="Odkaz na predpis alebo ustanovenie" w:history="1">
        <w:r w:rsidR="00A513AF">
          <w:t>§</w:t>
        </w:r>
        <w:r w:rsidR="00A513AF" w:rsidRPr="00A513AF">
          <w:t>35 ods. 2 písm. a) zákona č. 474/2013 Z. z</w:t>
        </w:r>
      </w:hyperlink>
      <w:r w:rsidR="00A513AF">
        <w:t xml:space="preserve">. Ich zoznam je uvedený v prílohe č. 1 vyhlášky. </w:t>
      </w:r>
    </w:p>
    <w:p w:rsidR="00343465" w:rsidRPr="00684175" w:rsidRDefault="00343465" w:rsidP="00684175">
      <w:pPr>
        <w:pStyle w:val="Normaltext"/>
        <w:spacing w:line="276" w:lineRule="auto"/>
      </w:pPr>
      <w:r>
        <w:t xml:space="preserve">Oproti predchádzajúcemu predpisu </w:t>
      </w:r>
      <w:r w:rsidR="00A513AF">
        <w:t xml:space="preserve">(Vyhláška MDVRR SR č. </w:t>
      </w:r>
      <w:r w:rsidR="00A513AF" w:rsidRPr="00A513AF">
        <w:t>297/2017 Z.z</w:t>
      </w:r>
      <w:r w:rsidR="00A513AF">
        <w:t>)</w:t>
      </w:r>
      <w:r w:rsidR="00A513AF" w:rsidRPr="00A513AF">
        <w:t>.</w:t>
      </w:r>
      <w:r w:rsidR="00A513AF">
        <w:t xml:space="preserve"> </w:t>
      </w:r>
      <w:r>
        <w:t xml:space="preserve">došlo </w:t>
      </w:r>
      <w:r w:rsidR="00A513AF">
        <w:t xml:space="preserve">vo vymedzení úsekov ciest s výberom mýta k nasledovným zmenám: </w:t>
      </w:r>
      <w:r>
        <w:t xml:space="preserve"> </w:t>
      </w:r>
    </w:p>
    <w:p w:rsidR="00A513AF" w:rsidRDefault="00A513AF" w:rsidP="000A4510">
      <w:pPr>
        <w:pStyle w:val="Normaltext"/>
        <w:numPr>
          <w:ilvl w:val="0"/>
          <w:numId w:val="53"/>
        </w:numPr>
      </w:pPr>
      <w:r>
        <w:t>diaľnice a rýchlostné cesty: 750,456 km, nárast o 14,858 km</w:t>
      </w:r>
    </w:p>
    <w:p w:rsidR="00A513AF" w:rsidRDefault="00A513AF" w:rsidP="000A4510">
      <w:pPr>
        <w:pStyle w:val="Normaltext"/>
        <w:numPr>
          <w:ilvl w:val="0"/>
          <w:numId w:val="53"/>
        </w:numPr>
      </w:pPr>
      <w:r>
        <w:t>cesty I. triedy súbežné s diaľnicami a rýchlostnými cestami: 430,766 km, nárast o 10,227 km</w:t>
      </w:r>
    </w:p>
    <w:p w:rsidR="00EB403C" w:rsidRDefault="00A513AF" w:rsidP="000A4510">
      <w:pPr>
        <w:pStyle w:val="Normaltext"/>
        <w:numPr>
          <w:ilvl w:val="0"/>
          <w:numId w:val="53"/>
        </w:numPr>
      </w:pPr>
      <w:r>
        <w:t>Cesty I. triedy nesúbežné s diaľnicami a rýchlostnými cestami:1197,024 km, pokles o 13,096 km</w:t>
      </w:r>
    </w:p>
    <w:p w:rsidR="009761BC" w:rsidRDefault="00A513AF" w:rsidP="000A4510">
      <w:pPr>
        <w:pStyle w:val="Normaltext"/>
        <w:numPr>
          <w:ilvl w:val="0"/>
          <w:numId w:val="53"/>
        </w:numPr>
      </w:pPr>
      <w:r>
        <w:t>Cesty I. triedy ostatné:2075,667 km, nárast o 1,042 km.</w:t>
      </w:r>
    </w:p>
    <w:p w:rsidR="00F03CB9" w:rsidRDefault="00F03CB9" w:rsidP="00EB403C">
      <w:r>
        <w:t xml:space="preserve">V zmysle Nariadenie vlády č. </w:t>
      </w:r>
      <w:r w:rsidRPr="00F03CB9">
        <w:t>394/2018 Z. z</w:t>
      </w:r>
      <w:r>
        <w:t xml:space="preserve"> sa za užívanie vymedzených úsekov diaľnic, rýchlostných ciest a ciest I. triedy súbežných a nesúbežných s diaľnicami a rýchlostnými cestami platí mýto s nenulovou sadzbou a za užívanie vymedzených úsekov ostatných ciest I. triedy mýto s nulovou sadzbou. </w:t>
      </w:r>
    </w:p>
    <w:p w:rsidR="00EC7783" w:rsidRDefault="00EC7783" w:rsidP="00EB403C">
      <w:r>
        <w:t xml:space="preserve">Zatiaľ čo zvýšenie dĺžky vymedzených úsekov diaľnic a rýchlostných ciest je závislé od skutočného odovzdania nových úsekov do užívania, zo spoplatnenia existujúcich </w:t>
      </w:r>
      <w:r w:rsidRPr="00ED44E6">
        <w:t xml:space="preserve">úsekov </w:t>
      </w:r>
      <w:r>
        <w:t>diaľnic a rýchlostných ciest nenulovou sadzbou sú stále vylúčené úseky prechádzajúce intravilánom miest Bratislava a Banská Bystrica</w:t>
      </w:r>
      <w:r w:rsidRPr="00EC7783">
        <w:t xml:space="preserve"> </w:t>
      </w:r>
      <w:r w:rsidRPr="0093547F">
        <w:t>v celkovej dĺžke 32,931 km</w:t>
      </w:r>
      <w:r>
        <w:t>. Ich spoplatnenie by mohlo zvýšiť ročný príjem z mýta o 12,51 mil. €. V prípade rozhodnutia o spoplatnení týchto úsekov diaľnic a rýchlost</w:t>
      </w:r>
      <w:r w:rsidR="00873377">
        <w:t xml:space="preserve">ných ciest, poprípade ich časti, bude </w:t>
      </w:r>
      <w:r>
        <w:t>z legislatívneho hľadiská potrebné vydať novú vyhlášku MDV SR, ktorou sa z</w:t>
      </w:r>
      <w:r w:rsidRPr="00684175">
        <w:t>mení</w:t>
      </w:r>
      <w:r>
        <w:t xml:space="preserve"> </w:t>
      </w:r>
      <w:r w:rsidR="00873377">
        <w:t xml:space="preserve">Vyhláška MDVRR SR </w:t>
      </w:r>
      <w:r w:rsidR="00873377" w:rsidRPr="00873377">
        <w:t>č. 475/2013 Z. z.</w:t>
      </w:r>
      <w:r w:rsidR="00873377">
        <w:t xml:space="preserve"> Úprave bude podliehať príloha č. 1, bod.1. Vymedzené úseky diaľnic a rýchlostných ciest. Prehľad intravilánových úsekov diaľnic a rýchlostných ciest </w:t>
      </w:r>
      <w:r w:rsidR="00873377" w:rsidRPr="00873377">
        <w:t xml:space="preserve"> spoplatnených nulovou sadzbou je uvedený v tabuľke (</w:t>
      </w:r>
      <w:r w:rsidR="00EB403C">
        <w:fldChar w:fldCharType="begin"/>
      </w:r>
      <w:r w:rsidR="00EB403C">
        <w:instrText xml:space="preserve"> REF _Ref23231989 \h </w:instrText>
      </w:r>
      <w:r w:rsidR="00EB403C">
        <w:fldChar w:fldCharType="separate"/>
      </w:r>
      <w:r w:rsidR="00EB403C">
        <w:t xml:space="preserve">Tab.  </w:t>
      </w:r>
      <w:r w:rsidR="00EB403C">
        <w:rPr>
          <w:noProof/>
        </w:rPr>
        <w:t>4</w:t>
      </w:r>
      <w:r w:rsidR="00EB403C">
        <w:noBreakHyphen/>
      </w:r>
      <w:r w:rsidR="00EB403C">
        <w:rPr>
          <w:noProof/>
        </w:rPr>
        <w:t>1</w:t>
      </w:r>
      <w:r w:rsidR="00EB403C">
        <w:fldChar w:fldCharType="end"/>
      </w:r>
      <w:r w:rsidR="00873377">
        <w:t xml:space="preserve">). Z časového hľadiska môžu byť tieto zmeny účinné relatívne rýchlo, pričom ich zavedeniu </w:t>
      </w:r>
      <w:r w:rsidR="00CE54BB">
        <w:t xml:space="preserve">môžu brániť vznesené pripomienky </w:t>
      </w:r>
      <w:r w:rsidR="0007309C">
        <w:t xml:space="preserve">zo strany Únie autodopravcov Slovenska, pokiaľ ich zaradenie do pripomienkového konania vyplýva z osobitného predpisu alebo ak tak určí vláda. </w:t>
      </w:r>
      <w:r w:rsidR="00873377">
        <w:t xml:space="preserve"> </w:t>
      </w:r>
    </w:p>
    <w:p w:rsidR="00F03CB9" w:rsidRDefault="00873377" w:rsidP="00F03CB9">
      <w:pPr>
        <w:pStyle w:val="Normaltext"/>
        <w:spacing w:line="276" w:lineRule="auto"/>
      </w:pPr>
      <w:r>
        <w:t xml:space="preserve">Spoplatnenie intravilánových úsekov ciest I. triedy v celkovej dĺžke </w:t>
      </w:r>
      <w:r w:rsidRPr="00FF079B">
        <w:t>1111,642</w:t>
      </w:r>
      <w:r>
        <w:t xml:space="preserve"> km predpokladá zvýšenie ročných výnosov mýtneho systému o 35,13 mil.€. </w:t>
      </w:r>
      <w:r w:rsidR="00CE54BB">
        <w:t xml:space="preserve">Spoplatnenie ostatných úsekov ciest I. triedy nachádzajúcich sa mimo intravilánu miest a obcí nenulovou sadzbou v celkovej dĺžke 552,355 km  môže zvýšiť príjem z mýta o ďalších 8,42 mil.€. </w:t>
      </w:r>
      <w:r>
        <w:t xml:space="preserve">V prípade rozhodnutia správcu mýta o spoplatnení </w:t>
      </w:r>
      <w:r w:rsidR="00CE54BB">
        <w:t>týchto úsekov, alebo ich časti, bude z legislatívneho hľadiska potrebná právna úprava</w:t>
      </w:r>
      <w:r w:rsidR="00C614FB">
        <w:t xml:space="preserve"> vyhlášky</w:t>
      </w:r>
      <w:r w:rsidR="00CE54BB">
        <w:t xml:space="preserve"> v rovnakej forme </w:t>
      </w:r>
      <w:r w:rsidR="0007309C">
        <w:t>a</w:t>
      </w:r>
      <w:r w:rsidR="003B7E26">
        <w:t>ko aj</w:t>
      </w:r>
      <w:r w:rsidR="0007309C">
        <w:t xml:space="preserve"> časovej realizovateľnosti </w:t>
      </w:r>
      <w:r w:rsidR="00CE54BB">
        <w:t xml:space="preserve">ako pri spoplatnení intravilánových úsekov diaľnic a rýchlostných ciest nenulovou sadzbou, pričom zmeny sa dotknú </w:t>
      </w:r>
      <w:r w:rsidR="003B7E26">
        <w:t xml:space="preserve">všetkých ostatných bodov </w:t>
      </w:r>
      <w:r w:rsidR="00CE54BB">
        <w:t xml:space="preserve">prílohy č. 1 </w:t>
      </w:r>
      <w:r w:rsidR="003B7E26">
        <w:t xml:space="preserve">Vyhlášky č. </w:t>
      </w:r>
      <w:r w:rsidR="003B7E26" w:rsidRPr="00873377">
        <w:t>475/2013 Z. z.</w:t>
      </w:r>
    </w:p>
    <w:p w:rsidR="007305B3" w:rsidRDefault="007305B3" w:rsidP="00684175">
      <w:pPr>
        <w:pStyle w:val="Nadpis2"/>
      </w:pPr>
      <w:bookmarkStart w:id="509" w:name="_Toc36664439"/>
      <w:r>
        <w:t>Zvýšenie a úprava sadzieb mýta</w:t>
      </w:r>
      <w:bookmarkEnd w:id="509"/>
    </w:p>
    <w:p w:rsidR="004C5C64" w:rsidRDefault="0007309C" w:rsidP="007305B3">
      <w:pPr>
        <w:pStyle w:val="Normaltext"/>
        <w:spacing w:line="276" w:lineRule="auto"/>
      </w:pPr>
      <w:r>
        <w:t>V kapitole 4.2.2 Zvýšenie mýtnych sadzieb bolo navrhnutých niekoľko možností zvýšenia mýtnych sadzieb</w:t>
      </w:r>
      <w:r w:rsidR="004C5C64">
        <w:t xml:space="preserve"> s odhadovaným nárastom tržieb o </w:t>
      </w:r>
      <w:r w:rsidR="004C5C64" w:rsidRPr="004C5C64">
        <w:t>17,57 mil. € až 22,2 mil. €</w:t>
      </w:r>
      <w:r w:rsidR="005E716D">
        <w:t xml:space="preserve">. </w:t>
      </w:r>
      <w:r w:rsidR="00B11E44">
        <w:t xml:space="preserve">Vzhľadom na to, že zvýšenie mýtnych sadzieb podlieha schváleniu zo strany Európskej komisie a riešiteľský kolektív nemal k dispozícií predchádzajúce kalkulácie mýtnych sadzieb so stanoviskom EK, navrhované možností vychádzajú prioritne z porovnania mýtnych sadzieb, ich štruktúry a rozdelenia </w:t>
      </w:r>
      <w:r w:rsidR="008D2185">
        <w:t xml:space="preserve">zavedených v zahraničí. </w:t>
      </w:r>
      <w:r w:rsidR="00B11E44">
        <w:t xml:space="preserve">    </w:t>
      </w:r>
    </w:p>
    <w:p w:rsidR="005E716D" w:rsidRDefault="005E716D" w:rsidP="005E716D">
      <w:pPr>
        <w:pStyle w:val="Normaltext"/>
        <w:spacing w:line="276" w:lineRule="auto"/>
      </w:pPr>
      <w:r w:rsidRPr="00B11E44">
        <w:t>Sadzby mýta za jednotlivé kategórie vypočítava správca systému ETC - NDS, a.s. a následne ich predkladá na odsúhlasenie Európskej komisii. Zvýšené sadzby sú posudzované veľmi prísne, aby nešlo o znevýhodňovanie zahraničných vodičov, znížené sadzby sú akceptované. Výška sadzieb mýta sa upravuje spravidla každoročne, k 1. januáru nasledujúceho bežného kalendárneho roka a zaokrúhľuje sa na tri desatinné miesta, na základe harmonizovaného indexu spotrebiteľských cien v medziročnom porovnaní k septembru predchádzajúceho roka zverejňovaným Štatistickým úradom Slovenskej republiky.</w:t>
      </w:r>
    </w:p>
    <w:p w:rsidR="00E82D7E" w:rsidRDefault="008D2185" w:rsidP="00E82D7E">
      <w:r>
        <w:t xml:space="preserve">V zmysle Smernice Európskeho parlamentu a Rady </w:t>
      </w:r>
      <w:r w:rsidRPr="003156F3">
        <w:t>2011/76/EÚ</w:t>
      </w:r>
      <w:r w:rsidRPr="0007309C">
        <w:t xml:space="preserve"> </w:t>
      </w:r>
      <w:r>
        <w:t>z 27. septembra 2011, ktorou sa mení a dopĺňa smernica 1999/62/ES o poplatkoch za používanie určitej dopravnej infraštruktúry ťažkými nákladnými vozidlami musia byť pri návrhu zmien mýtnych sadzieb splnené povinnosti týkajúce sa výpočtu nákladov na infraštruktúru, prevádzku, správu a výber mýta</w:t>
      </w:r>
      <w:r w:rsidR="00E82D7E">
        <w:t xml:space="preserve">, </w:t>
      </w:r>
      <w:r>
        <w:t xml:space="preserve"> výpočtu jednotkových hodnôt a percenta celkových nákladov pokrytých príjmami z</w:t>
      </w:r>
      <w:r w:rsidR="00E82D7E">
        <w:t> </w:t>
      </w:r>
      <w:r>
        <w:t>mýtneho</w:t>
      </w:r>
      <w:r w:rsidR="00E82D7E">
        <w:t xml:space="preserve"> vrátane podielu </w:t>
      </w:r>
      <w:r w:rsidR="00E82D7E" w:rsidRPr="00E82D7E">
        <w:t>nákladnej dopravy, koeficientov rovnocennosti a korekčného mechanizmu</w:t>
      </w:r>
      <w:r w:rsidR="00E82D7E">
        <w:t xml:space="preserve">. Najmenej 6 mesiacov pred implementáciou nového mýtneho režimu v podobe poplatku za infraštruktúru členské štáty zašlú Komisii požadované podklady. Komisia následne rozhodne, či sú povinnosti </w:t>
      </w:r>
      <w:r w:rsidR="00E82D7E" w:rsidRPr="00300ED8">
        <w:t>podľa článkov 7b, 7c, 7j alebo článku 9 ods. 2 splnené (2011/76/EÚ, článok 7h) splnené.</w:t>
      </w:r>
      <w:r w:rsidR="00510335">
        <w:t xml:space="preserve"> Z časového hľadiska je prijatie zmien poplatkov za užívanie vymedzených úsekov ciest </w:t>
      </w:r>
      <w:r w:rsidR="00BD435B">
        <w:t>omnoho náročnejšie</w:t>
      </w:r>
      <w:r w:rsidR="00510335">
        <w:t xml:space="preserve"> ako v prípade legislatívnych zmien rezortných právnych predpisov – vyhlášok upravujúcich napr. </w:t>
      </w:r>
      <w:r w:rsidR="00C614FB">
        <w:t>sieť</w:t>
      </w:r>
      <w:r w:rsidR="00510335">
        <w:t xml:space="preserve"> vymedzených úsekov ciest. </w:t>
      </w:r>
    </w:p>
    <w:p w:rsidR="004C5C64" w:rsidRDefault="00E82D7E" w:rsidP="004C5C64">
      <w:r>
        <w:t>Po vydaní súhlasného stanoviska Európskej komisie k navrhovaným zmenám mýtnych sadzieb môže vláda pristúpiť k vydaniu nového nariadenia vlády, ktorým zmení pôvo</w:t>
      </w:r>
      <w:r w:rsidR="00510335">
        <w:t>dné nariadenie vlády SR č. </w:t>
      </w:r>
      <w:r>
        <w:t>497/2013 Z. z. upravujúce</w:t>
      </w:r>
      <w:r w:rsidRPr="00E82D7E">
        <w:t xml:space="preserve"> spôsob výpočtu mýta, výšk</w:t>
      </w:r>
      <w:r>
        <w:t>u</w:t>
      </w:r>
      <w:r w:rsidRPr="00E82D7E">
        <w:t xml:space="preserve"> sadzby mýta a systém zliav zo sadzieb mýta za užívanie vymedzených úsekov  pozemných komunikácií v znení neskorších predpisov</w:t>
      </w:r>
      <w:r>
        <w:t xml:space="preserve">. V súčasnosti je platné Nariadenie vlády SR č. </w:t>
      </w:r>
      <w:r w:rsidRPr="00E82D7E">
        <w:t>394/2018 Z. z.</w:t>
      </w:r>
    </w:p>
    <w:p w:rsidR="004C5C64" w:rsidRPr="00E82D7E" w:rsidRDefault="004C5C64" w:rsidP="004C5C64">
      <w:r w:rsidRPr="00E82D7E">
        <w:t xml:space="preserve">Pri úpravách sadzieb mýta je potrebné brať do úvahy, že mýto je aj pomerne účinný nástroj na ovplyvňovanie premávky, pretože v čase nedostatku diaľnic a rýchlostných ciest čiastočne dokáže vyššími sadzbami odkloniť premávku z kritických úsekov napr. v okolí obcí.  V období zníženého výkonu ekonomiky alebo v kríze, keď dopravcovia maximálne šetria, najmä diaľková nákladná doprava citlivejšie posudzuje výšku poplatkov pri rozhodovaní o trase a môže sa stať, že niekoľkocentové rozdiely v mýtnych sadzbách môžu odkloniť premávku z jednej krajiny do druhej. V prípade Slovenska je podiel tranzitnej dopravy cca 42%. Ak by vozidlové prúdy prešli na iné trasy, výnosy z mýta by sa dokonca znížili. </w:t>
      </w:r>
    </w:p>
    <w:p w:rsidR="004C5C64" w:rsidRPr="00E82D7E" w:rsidRDefault="004C5C64" w:rsidP="004C5C64">
      <w:r w:rsidRPr="00E82D7E">
        <w:t>Z uvedeného vyplýva, že zvyšovať príjmy z mýta len vyššími sadzbami je riskantné najmä v čase ochladzovania ekonomiky a ak sú pre tranzitnú dopravu k dispozícii iné - lacnejšie trasy, bez váhania budú využité. Preto je potrebné uvažovať o mýtnych sadzbách aj ako o parametri, ktorý môže zvýšiť tranzitnú dopravu a teda aj celkové príjmy prístupom „menej znamená viac“. Napríklad tranzitná doprava využívajúca Slovensko pre severo - južný ťah, môže po zvýšení sadzieb mýta ľahko prejsť na české diaľnice, ktoré by sadzbami mohli konkurovať.</w:t>
      </w:r>
    </w:p>
    <w:p w:rsidR="0007309C" w:rsidRPr="00E82D7E" w:rsidRDefault="004C5C64" w:rsidP="004C5C64">
      <w:pPr>
        <w:pStyle w:val="Normaltext"/>
        <w:spacing w:line="276" w:lineRule="auto"/>
      </w:pPr>
      <w:r w:rsidRPr="00E82D7E">
        <w:t>Vyrovnanejšie sadzby sú výhodné pre dopravcov, spotrebiteľov a pre stabilizáciu cien tovarov a ekonomiky. Na druhej strane, nárast výnosov z mýta je v tomto dôsledku odkázaný len na prirodzený vývoj intenzít na spoplatnených cestách.</w:t>
      </w:r>
    </w:p>
    <w:p w:rsidR="00684175" w:rsidRDefault="00684175" w:rsidP="007305B3">
      <w:pPr>
        <w:pStyle w:val="Normaltext"/>
        <w:spacing w:line="276" w:lineRule="auto"/>
      </w:pPr>
    </w:p>
    <w:p w:rsidR="00684175" w:rsidRDefault="00684175" w:rsidP="007305B3">
      <w:pPr>
        <w:pStyle w:val="Normaltext"/>
        <w:spacing w:line="276" w:lineRule="auto"/>
      </w:pPr>
    </w:p>
    <w:p w:rsidR="00684175" w:rsidRDefault="00684175"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07309C" w:rsidRDefault="0007309C" w:rsidP="007305B3">
      <w:pPr>
        <w:pStyle w:val="Normaltext"/>
        <w:spacing w:line="276" w:lineRule="auto"/>
      </w:pPr>
    </w:p>
    <w:p w:rsidR="008F2EAD" w:rsidRDefault="008F2EAD" w:rsidP="007305B3">
      <w:pPr>
        <w:pStyle w:val="Normaltext"/>
        <w:spacing w:line="276" w:lineRule="auto"/>
      </w:pPr>
    </w:p>
    <w:p w:rsidR="008F2EAD" w:rsidRDefault="008F2EAD" w:rsidP="007305B3">
      <w:pPr>
        <w:pStyle w:val="Normaltext"/>
        <w:spacing w:line="276" w:lineRule="auto"/>
      </w:pPr>
    </w:p>
    <w:p w:rsidR="008F2EAD" w:rsidRDefault="008F2EAD" w:rsidP="007305B3">
      <w:pPr>
        <w:pStyle w:val="Normaltext"/>
        <w:spacing w:line="276" w:lineRule="auto"/>
      </w:pPr>
    </w:p>
    <w:p w:rsidR="008F2EAD" w:rsidRDefault="008F2EAD" w:rsidP="007305B3">
      <w:pPr>
        <w:pStyle w:val="Normaltext"/>
        <w:spacing w:line="276" w:lineRule="auto"/>
      </w:pPr>
    </w:p>
    <w:p w:rsidR="008F2EAD" w:rsidRDefault="008F2EAD" w:rsidP="007305B3">
      <w:pPr>
        <w:pStyle w:val="Normaltext"/>
        <w:spacing w:line="276" w:lineRule="auto"/>
      </w:pPr>
    </w:p>
    <w:p w:rsidR="0087373C" w:rsidRDefault="0087373C" w:rsidP="0087373C">
      <w:pPr>
        <w:pStyle w:val="Nadpis1"/>
      </w:pPr>
      <w:bookmarkStart w:id="510" w:name="_Toc36664440"/>
      <w:r>
        <w:t>Závery a</w:t>
      </w:r>
      <w:r w:rsidR="00B44909">
        <w:t> </w:t>
      </w:r>
      <w:r>
        <w:t>odporúčania</w:t>
      </w:r>
      <w:bookmarkEnd w:id="510"/>
    </w:p>
    <w:p w:rsidR="00C23DB6" w:rsidRDefault="00177107" w:rsidP="00177107">
      <w:pPr>
        <w:pStyle w:val="Normaltext"/>
        <w:spacing w:line="276" w:lineRule="auto"/>
      </w:pPr>
      <w:r>
        <w:t xml:space="preserve">Primárnym cieľom analytickej štúdie bolo porovnanie systémov elektronického výberu mýta v SR a zahraničí s dôrazom na komparáciu ich efektívnosti.  V tomto kontexte boli podrobne analyzované jednotlivé charakteristické premenné systému ETC v Slovenskej republike,  Nemecku, Rakúsku, Českej republike a Poľsku, a to sieť vymedzených úsekov ciest, dopravné výkony povinných vozidiel na vymedzených úsekoch ciest, výnosy a náklady systému počas prvých desiatich rokov prevádzky systému. </w:t>
      </w:r>
    </w:p>
    <w:p w:rsidR="00C23DB6" w:rsidRDefault="00177107" w:rsidP="00177107">
      <w:pPr>
        <w:pStyle w:val="Normaltext"/>
        <w:spacing w:line="276" w:lineRule="auto"/>
      </w:pPr>
      <w:r>
        <w:t xml:space="preserve">Pri analýze týchto charakteristík systémov ETC bolo </w:t>
      </w:r>
      <w:r w:rsidR="00465CB4">
        <w:t xml:space="preserve">problematické získať reprezentatívne údaje o skutočných nákladoch systému, nakoľko tieto informácie štátne orgány, resp. správcovia systému a prevádzkovatelia systému štandardne nezverejňujú (na rozdiel od ostatných charakteristík systému), nakoľko podliehajú obchodnému tajomstvu alebo iným dôvodom utajenia. </w:t>
      </w:r>
      <w:r w:rsidR="00DB5A88">
        <w:t xml:space="preserve">Uvádzané údaje o nákladoch systémov vykazovali vysokú mieru neurčitosti vo vzťahu k nákladovej štruktúre vyčíslených výdavkov na mýtny systém. Významné disproporcie boli zistené </w:t>
      </w:r>
      <w:r w:rsidR="00C23DB6">
        <w:t xml:space="preserve">aj </w:t>
      </w:r>
      <w:r w:rsidR="00DB5A88">
        <w:t xml:space="preserve">v údajoch uvádzaných správcom systému a jeho prevádzkovateľom, a to predovšetkým pri zahraničných systémoch ETC. </w:t>
      </w:r>
      <w:r w:rsidR="00C23DB6">
        <w:t>Na rozdiel od Slovenskej republiky, kde boli v rámci vyčíslených nákladov uvažované celkové náklady súvisiace s vybudovaním a prevádzkou systému, vrátane nákladov na znalca, OBU, enforcement, palivové karty, vývoj a inovácie a pod., boli v prípade zahraničných systémov ETC v rámci komparatívnej analýzy efektívnosti uvažované náklady, ktoré nepokrývali rovnakú nákladovú štruktúru, ale len jej významnú časť. Z toho dôvodu možno v prípade Slovenska hovoriť o znevýhodnení v rámci komparácie efektívnosti systémov ETC., ktoré však nebolo z dôvodu nedostupnosti konzistentnej údajovej bázy o</w:t>
      </w:r>
      <w:r w:rsidR="00A14ADF">
        <w:t xml:space="preserve"> jednotlivých </w:t>
      </w:r>
      <w:r w:rsidR="00C23DB6">
        <w:t xml:space="preserve">položkách nákladov systémov ETC odvrátiteľné.  </w:t>
      </w:r>
    </w:p>
    <w:p w:rsidR="00D149EB" w:rsidRDefault="00A14ADF" w:rsidP="00177107">
      <w:pPr>
        <w:pStyle w:val="Normaltext"/>
        <w:spacing w:line="276" w:lineRule="auto"/>
      </w:pPr>
      <w:r>
        <w:t xml:space="preserve">Komparatívna analýza indikátorov efektívnosti bola zameraná na porovnanie nákladovej výnosnosti a nákladovej efektívnosti systémov posudzovaných systémov ETC, pri ktorom bola zistená najnižšia efektívnosť slovenského mýtneho systému a najvyššia rakúskeho, resp. nemeckého systému ETC vyplývajúca z pomeru uvádzaných nákladov a výnosov systému. Vzhľadom na špecifiká konfigurácie každého zo systémov ETC, ktoré ovplyvňujú celkovú úroveň efektívnosti, boli okrem základných indikátorov efektívnosti porovnávané aj odvodené výnosové a nákladové indikátory efektívnosti. V tomto význame slovenský systém ETC dosiahol najnižšie kilometrické výnosy </w:t>
      </w:r>
      <w:r w:rsidR="00D149EB">
        <w:t xml:space="preserve">a v poradí druhé najnižšie vozokilometrické výnosy ovplyvnené </w:t>
      </w:r>
      <w:r w:rsidR="008442C9">
        <w:t xml:space="preserve">predovšetkým </w:t>
      </w:r>
      <w:r w:rsidR="00D149EB">
        <w:t>intenzitou povinných vozidiel na sieti (mýtne sadzby v SR sú zväčša porovnateľné so sadzbami ostatných štátov, najmä Nemecka a Českej republiky), ktorá je v Slovenskej republike jednoznačne najnižšia. Z hľadiska kilometrických nákladov vykazuje systém ETC v SR najnižšie náklady na vybudovanie</w:t>
      </w:r>
      <w:r w:rsidR="00180C82">
        <w:t xml:space="preserve"> a prevádzku</w:t>
      </w:r>
      <w:r w:rsidR="00D149EB">
        <w:t xml:space="preserve"> 1 km siete v porovnaní s ostatnými štátmi</w:t>
      </w:r>
      <w:r w:rsidR="00180C82">
        <w:t>, avšak</w:t>
      </w:r>
      <w:r w:rsidR="00D149EB">
        <w:t xml:space="preserve"> najvyššie vozokilometrické náklady </w:t>
      </w:r>
      <w:r w:rsidR="00180C82">
        <w:t xml:space="preserve">spôsobené </w:t>
      </w:r>
      <w:r w:rsidR="008442C9">
        <w:t xml:space="preserve">opäť </w:t>
      </w:r>
      <w:r w:rsidR="00180C82">
        <w:t xml:space="preserve">nízkym objemom dopravy na vymedzených úsekoch ciest. Na základe týchto zistení možno konštatovať, že hlavným problémom slovenského systému ETC je nízka výnosnosť systému zapríčinená nízkou intenzitou povinných vozidiel na sieti. </w:t>
      </w:r>
    </w:p>
    <w:p w:rsidR="008442C9" w:rsidRDefault="00BF5851" w:rsidP="00177107">
      <w:pPr>
        <w:pStyle w:val="Normaltext"/>
        <w:spacing w:line="276" w:lineRule="auto"/>
      </w:pPr>
      <w:r>
        <w:t xml:space="preserve">Riešiteľský kolektív v tomto význame hľadal </w:t>
      </w:r>
      <w:r w:rsidR="008442C9">
        <w:t xml:space="preserve">aj ďalšie </w:t>
      </w:r>
      <w:r>
        <w:t xml:space="preserve">príčiny nízkej výnosnosti systému </w:t>
      </w:r>
      <w:r w:rsidR="008442C9">
        <w:t>a dôvody, prečo nebola dosiahnutá taká úroveň výnosov z mýta, aká bola pôvodne prognózovaná. Hlavnými dôvodmi bolo nedodržanie plánu výstavby a odovzdania nových úsekov diaľnic a rýchlostných ciest (plán bol splnený len na 56%)</w:t>
      </w:r>
      <w:r w:rsidR="00C642BD">
        <w:t xml:space="preserve"> a aj napriek tomu, že štát síce čiastočne nahradil chýbajúce úseky diaľnic a rýchlostných ciest úsekmi ciest I. triedy, chýbajúce intenzity povinných vozidiel sa nahradiť nepodarilo. Za deväťročné obdobie prevádzky boli skutočné dopravné výkony vozidiel o 1,97 mld. vzkm nižšie ako sa pôvodne predpokladalo so stratou približne 302,44 mil.€. Výnosnosť systému ovplyvnilo aj rapídne  zníženie mýtnych sadzieb oproti vypočítaným ekonomickým sadzbám. Z legislatívneho hľadiska ovplyvnili výnosnosť systému zmeny v dĺžke </w:t>
      </w:r>
      <w:r w:rsidR="00237743">
        <w:t xml:space="preserve">vymedzených úsekov ciest  a zmeny v ich spoplatnení nenulovou, resp. nulovou </w:t>
      </w:r>
      <w:r w:rsidR="00C642BD">
        <w:t>sadzbou, ktoré boli mnohokrát menené, aj niekoľkokrát za rok</w:t>
      </w:r>
      <w:r w:rsidR="00237743">
        <w:t xml:space="preserve">. Zo </w:t>
      </w:r>
      <w:r w:rsidR="00C642BD">
        <w:t xml:space="preserve">spoplatnenia </w:t>
      </w:r>
      <w:r w:rsidR="00237743">
        <w:t xml:space="preserve">nenulovou sadzbou </w:t>
      </w:r>
      <w:r w:rsidR="00C642BD">
        <w:t>boli až po súčasnosť</w:t>
      </w:r>
      <w:r w:rsidR="00237743">
        <w:t xml:space="preserve"> (okrem troch mesiacov v roku 2014)</w:t>
      </w:r>
      <w:r w:rsidR="00C642BD">
        <w:t xml:space="preserve"> vyňaté intravilánové úseky </w:t>
      </w:r>
      <w:r w:rsidR="00237743">
        <w:t>diaľnic</w:t>
      </w:r>
      <w:r w:rsidR="00C642BD">
        <w:t xml:space="preserve">, rýchlostných ciest a ciest I. triedy v celkovej dĺžke </w:t>
      </w:r>
      <w:r w:rsidR="00237743">
        <w:t xml:space="preserve">1144,57 km. Vplyv na celkovú efektívnosť systému má tiež skutočnosť, že na úsekoch spoplatnených nenulovou sadzbou, vrátane mimointravilánových úsekov ciest I. triedy, ciest II. a III. triedy je systém prevádzkovaný s určitou výškou nákladov, avšak bez </w:t>
      </w:r>
      <w:r w:rsidR="009F2554">
        <w:t xml:space="preserve">generovania akéhokoľvek príjmu. </w:t>
      </w:r>
    </w:p>
    <w:p w:rsidR="00C614FB" w:rsidRDefault="00237743" w:rsidP="00C614FB">
      <w:pPr>
        <w:pStyle w:val="Normaltext"/>
        <w:spacing w:before="240" w:line="276" w:lineRule="auto"/>
      </w:pPr>
      <w:r>
        <w:t xml:space="preserve">V záujme zvýšenia efektívnosti systému ETC v SR riešiteľský kolektív </w:t>
      </w:r>
      <w:r w:rsidR="009F2554">
        <w:t xml:space="preserve">navrhol a vyčíslil niekoľko </w:t>
      </w:r>
      <w:r>
        <w:t xml:space="preserve">možností </w:t>
      </w:r>
      <w:r w:rsidR="009F2554">
        <w:t>zvýšenia príjmov</w:t>
      </w:r>
      <w:r>
        <w:t xml:space="preserve"> z mýta. Spoplatnením intravilánových úsekov diaľnic a rýchlostných ciest v meste Bratislava a Banská Bystrica by mohli tržby z mýta narásť približne o 12,5 mil. € oproti roku 2018</w:t>
      </w:r>
      <w:r w:rsidR="009F2554">
        <w:t xml:space="preserve"> a </w:t>
      </w:r>
      <w:r>
        <w:t xml:space="preserve">spoplatnenie </w:t>
      </w:r>
      <w:r w:rsidR="009F2554">
        <w:t xml:space="preserve">ostatných úsekov ciest I. triedy nenulovou sadzbou by ročne zvýšilo príjmy o 43,56 mil. €. Z hľadiska navrhovaných úprav mýtnych sadzieb bol vyčíslený ročný zisk na úrovni 17,57mil.€ až 22,2 mil. €, pričom tento odhad je založený </w:t>
      </w:r>
      <w:r w:rsidR="006C734C">
        <w:t xml:space="preserve">primárne </w:t>
      </w:r>
      <w:r w:rsidR="009F2554">
        <w:t xml:space="preserve">na porovnaní štruktúry mýtnych sadzieb v SR so zahraničím.  Jednoznačným prínosom zvýšenia efektívnosti slovenského ETC je dobudovanie siete diaľnic a rýchlostných ciest a súčasné odvrátenie hrozby v podobe presmerovania vozidlových prúdov medzinárodnej tranzitnej dopravy mimo SR v dôsledku </w:t>
      </w:r>
      <w:r w:rsidR="006168AC">
        <w:t>nízkej</w:t>
      </w:r>
      <w:r w:rsidR="006C734C">
        <w:t xml:space="preserve"> atraktivity cestnej siete. </w:t>
      </w:r>
    </w:p>
    <w:p w:rsidR="00A14ADF" w:rsidRDefault="006C734C" w:rsidP="00C614FB">
      <w:pPr>
        <w:pStyle w:val="Normaltext"/>
        <w:spacing w:before="240" w:line="276" w:lineRule="auto"/>
      </w:pPr>
      <w:r w:rsidRPr="0024645C">
        <w:t>P</w:t>
      </w:r>
      <w:r>
        <w:t xml:space="preserve">o uplatnení všetkých identifikovaných možností zvýšenia výnosnosti systému (okrem nárastu intenzít v dôsledku dobudovania siete diaľnic a rýchlostných ciest) by celkové ročné výnosy systému mohli </w:t>
      </w:r>
      <w:r w:rsidRPr="006C734C">
        <w:t>v roku 2020 vzrásť o 85,76 mil.</w:t>
      </w:r>
      <w:r w:rsidR="00C614FB">
        <w:t> </w:t>
      </w:r>
      <w:r w:rsidRPr="006C734C">
        <w:t>€ až 90,4 mil.</w:t>
      </w:r>
      <w:r w:rsidR="00C614FB">
        <w:t> </w:t>
      </w:r>
      <w:r w:rsidRPr="006C734C">
        <w:t xml:space="preserve">€, čo v porovnaní s tržbami z roku 2018 predstavuje nárast o 40,18% - 42,35%. </w:t>
      </w:r>
      <w:r>
        <w:t xml:space="preserve">Dopady navrhovaných zmien na autodopravcov a domácnosti predpokladá riešiteľský kolektív na nízkej úrovni, avšak </w:t>
      </w:r>
      <w:r w:rsidR="00C614FB">
        <w:t>p</w:t>
      </w:r>
      <w:r w:rsidR="00C614FB" w:rsidRPr="006C734C">
        <w:t xml:space="preserve">red uplatnením akejkoľvek zmeny v systéme </w:t>
      </w:r>
      <w:r w:rsidR="00C614FB">
        <w:t>je</w:t>
      </w:r>
      <w:r w:rsidR="00C614FB" w:rsidRPr="006C734C">
        <w:t xml:space="preserve"> odporúča</w:t>
      </w:r>
      <w:r w:rsidR="00C614FB">
        <w:t>ná</w:t>
      </w:r>
      <w:r w:rsidR="00C614FB" w:rsidRPr="006C734C">
        <w:t xml:space="preserve"> </w:t>
      </w:r>
      <w:r>
        <w:t xml:space="preserve">podrobná </w:t>
      </w:r>
      <w:r w:rsidR="00C614FB">
        <w:t xml:space="preserve">finančná </w:t>
      </w:r>
      <w:r>
        <w:t xml:space="preserve">analýza </w:t>
      </w:r>
      <w:r w:rsidR="00C614FB" w:rsidRPr="006C734C">
        <w:t>každého z opatrení vrátane zváženia všetkých rizík súvisiacich s</w:t>
      </w:r>
      <w:r w:rsidR="00C614FB">
        <w:t xml:space="preserve"> možnými </w:t>
      </w:r>
      <w:r w:rsidR="00C614FB" w:rsidRPr="006C734C">
        <w:t>negatívnymi dopadmi</w:t>
      </w:r>
      <w:r w:rsidR="00C614FB">
        <w:t xml:space="preserve">, </w:t>
      </w:r>
      <w:r>
        <w:t xml:space="preserve">poprípade prijatie </w:t>
      </w:r>
      <w:r w:rsidR="00C614FB">
        <w:t xml:space="preserve">iných </w:t>
      </w:r>
      <w:r>
        <w:t xml:space="preserve">kompenzačných </w:t>
      </w:r>
      <w:r w:rsidR="00C614FB">
        <w:t xml:space="preserve">riešení.  </w:t>
      </w:r>
      <w:r>
        <w:t xml:space="preserve"> </w:t>
      </w:r>
    </w:p>
    <w:p w:rsidR="00B44909" w:rsidRPr="00B44909" w:rsidRDefault="00B44909" w:rsidP="00B44909">
      <w:pPr>
        <w:pStyle w:val="Normaltext"/>
      </w:pPr>
    </w:p>
    <w:p w:rsidR="00E54BDF" w:rsidRPr="00E54BDF" w:rsidRDefault="00E54BDF" w:rsidP="00E54BDF">
      <w:pPr>
        <w:pStyle w:val="Normaltext"/>
        <w:spacing w:before="240" w:line="276" w:lineRule="auto"/>
      </w:pPr>
      <w:r w:rsidRPr="00E54BDF">
        <w:tab/>
      </w:r>
    </w:p>
    <w:p w:rsidR="00A80CD7" w:rsidRDefault="00A80CD7" w:rsidP="0025522E">
      <w:pPr>
        <w:sectPr w:rsidR="00A80CD7" w:rsidSect="00135588">
          <w:headerReference w:type="default" r:id="rId125"/>
          <w:footerReference w:type="default" r:id="rId126"/>
          <w:pgSz w:w="11907" w:h="16840" w:code="9"/>
          <w:pgMar w:top="1985" w:right="1134" w:bottom="1440" w:left="1418" w:header="567" w:footer="204" w:gutter="0"/>
          <w:cols w:space="240"/>
          <w:docGrid w:linePitch="299"/>
        </w:sectPr>
      </w:pPr>
    </w:p>
    <w:p w:rsidR="0025522E" w:rsidRDefault="00B3173A" w:rsidP="00B3173A">
      <w:pPr>
        <w:pStyle w:val="Nadpis1"/>
        <w:numPr>
          <w:ilvl w:val="0"/>
          <w:numId w:val="0"/>
        </w:numPr>
      </w:pPr>
      <w:bookmarkStart w:id="511" w:name="_Toc36664441"/>
      <w:r>
        <w:t>Použité zdroje</w:t>
      </w:r>
      <w:bookmarkEnd w:id="511"/>
    </w:p>
    <w:tbl>
      <w:tblPr>
        <w:tblStyle w:val="Mriekatabuky"/>
        <w:tblW w:w="9571" w:type="dxa"/>
        <w:tblBorders>
          <w:top w:val="single" w:sz="4" w:space="0" w:color="EEECE1" w:themeColor="background2"/>
          <w:left w:val="single" w:sz="4" w:space="0" w:color="EEECE1" w:themeColor="background2"/>
          <w:bottom w:val="single" w:sz="4" w:space="0" w:color="EEECE1" w:themeColor="background2"/>
          <w:right w:val="single" w:sz="4" w:space="0" w:color="EEECE1" w:themeColor="background2"/>
          <w:insideH w:val="single" w:sz="4" w:space="0" w:color="EEECE1" w:themeColor="background2"/>
          <w:insideV w:val="single" w:sz="4" w:space="0" w:color="EEECE1" w:themeColor="background2"/>
        </w:tblBorders>
        <w:tblLayout w:type="fixed"/>
        <w:tblLook w:val="04A0" w:firstRow="1" w:lastRow="0" w:firstColumn="1" w:lastColumn="0" w:noHBand="0" w:noVBand="1"/>
      </w:tblPr>
      <w:tblGrid>
        <w:gridCol w:w="675"/>
        <w:gridCol w:w="8896"/>
      </w:tblGrid>
      <w:tr w:rsidR="00F371E1" w:rsidRPr="00B87BD8" w:rsidTr="00FF200E">
        <w:trPr>
          <w:cnfStyle w:val="100000000000" w:firstRow="1" w:lastRow="0" w:firstColumn="0" w:lastColumn="0" w:oddVBand="0" w:evenVBand="0" w:oddHBand="0" w:evenHBand="0" w:firstRowFirstColumn="0" w:firstRowLastColumn="0" w:lastRowFirstColumn="0" w:lastRowLastColumn="0"/>
        </w:trPr>
        <w:tc>
          <w:tcPr>
            <w:tcW w:w="675" w:type="dxa"/>
          </w:tcPr>
          <w:p w:rsidR="00F371E1" w:rsidRPr="00B87BD8" w:rsidRDefault="00F371E1" w:rsidP="00FF200E">
            <w:pPr>
              <w:pStyle w:val="Normaltext"/>
              <w:spacing w:before="60" w:after="60"/>
              <w:jc w:val="center"/>
              <w:rPr>
                <w:rFonts w:asciiTheme="minorHAnsi" w:hAnsiTheme="minorHAnsi" w:cstheme="minorHAnsi"/>
                <w:color w:val="auto"/>
              </w:rPr>
            </w:pPr>
            <w:r w:rsidRPr="00B87BD8">
              <w:rPr>
                <w:rFonts w:asciiTheme="minorHAnsi" w:hAnsiTheme="minorHAnsi" w:cstheme="minorHAnsi"/>
                <w:color w:val="auto"/>
              </w:rPr>
              <w:t>[1]</w:t>
            </w:r>
          </w:p>
        </w:tc>
        <w:tc>
          <w:tcPr>
            <w:tcW w:w="8896" w:type="dxa"/>
          </w:tcPr>
          <w:p w:rsidR="00F371E1" w:rsidRPr="00B87BD8" w:rsidRDefault="00F371E1" w:rsidP="00FF200E">
            <w:pPr>
              <w:spacing w:before="60" w:after="60"/>
              <w:rPr>
                <w:rFonts w:asciiTheme="minorHAnsi" w:hAnsiTheme="minorHAnsi" w:cstheme="minorHAnsi"/>
                <w:color w:val="auto"/>
              </w:rPr>
            </w:pPr>
            <w:r w:rsidRPr="00F371E1">
              <w:rPr>
                <w:rFonts w:asciiTheme="minorHAnsi" w:hAnsiTheme="minorHAnsi" w:cstheme="minorHAnsi"/>
                <w:color w:val="auto"/>
              </w:rPr>
              <w:t xml:space="preserve">SkyToll: Portál elektronického systému výberu mýta v Slovenskej republike. Na jednom mieste všetko o spoplatnení vozidiel nad 3,5 tony. On-line. Dostupné na: </w:t>
            </w:r>
            <w:hyperlink r:id="rId127" w:history="1">
              <w:r w:rsidRPr="00F371E1">
                <w:rPr>
                  <w:rFonts w:asciiTheme="minorHAnsi" w:hAnsiTheme="minorHAnsi" w:cstheme="minorHAnsi"/>
                  <w:color w:val="auto"/>
                </w:rPr>
                <w:t>www.emyto.sk</w:t>
              </w:r>
            </w:hyperlink>
          </w:p>
        </w:tc>
      </w:tr>
      <w:tr w:rsidR="00F371E1" w:rsidRPr="00B87BD8" w:rsidTr="00FF200E">
        <w:tc>
          <w:tcPr>
            <w:tcW w:w="675" w:type="dxa"/>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[2]</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lang w:val="en-US"/>
              </w:rPr>
              <w:t xml:space="preserve">Skytoll: </w:t>
            </w:r>
            <w:r w:rsidRPr="00B87BD8">
              <w:rPr>
                <w:rFonts w:asciiTheme="minorHAnsi" w:hAnsiTheme="minorHAnsi" w:cstheme="minorHAnsi"/>
              </w:rPr>
              <w:t>Prehľad rozšírení siete vymedzených úsekov ciest  za roky  2010 - 2018</w:t>
            </w:r>
          </w:p>
        </w:tc>
      </w:tr>
      <w:tr w:rsidR="00F371E1" w:rsidRPr="00B87BD8" w:rsidTr="00FF200E">
        <w:tc>
          <w:tcPr>
            <w:tcW w:w="675" w:type="dxa"/>
          </w:tcPr>
          <w:p w:rsidR="00F371E1" w:rsidRPr="00B87BD8" w:rsidRDefault="00F371E1" w:rsidP="00FF200E">
            <w:pPr>
              <w:pStyle w:val="Normaltext"/>
              <w:tabs>
                <w:tab w:val="center" w:pos="229"/>
              </w:tabs>
              <w:spacing w:before="60" w:after="60"/>
              <w:rPr>
                <w:rFonts w:asciiTheme="minorHAnsi" w:hAnsiTheme="minorHAnsi" w:cstheme="minorHAnsi"/>
                <w:lang w:val="en-US"/>
              </w:rPr>
            </w:pPr>
            <w:r w:rsidRPr="00B87BD8">
              <w:rPr>
                <w:rFonts w:asciiTheme="minorHAnsi" w:hAnsiTheme="minorHAnsi" w:cstheme="minorHAnsi"/>
              </w:rPr>
              <w:tab/>
            </w:r>
            <w:r w:rsidRPr="00B87BD8">
              <w:rPr>
                <w:rFonts w:asciiTheme="minorHAnsi" w:hAnsiTheme="minorHAnsi" w:cstheme="minorHAnsi"/>
                <w:lang w:val="en-US"/>
              </w:rPr>
              <w:t>[3]</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lang w:val="en-US"/>
              </w:rPr>
              <w:t xml:space="preserve">Skytoll: </w:t>
            </w:r>
            <w:r w:rsidRPr="00B87BD8">
              <w:rPr>
                <w:rFonts w:asciiTheme="minorHAnsi" w:hAnsiTheme="minorHAnsi" w:cstheme="minorHAnsi"/>
              </w:rPr>
              <w:t>Výnosy a náklady EMS za roky  2010 - 2018</w:t>
            </w:r>
          </w:p>
        </w:tc>
      </w:tr>
      <w:tr w:rsidR="00F371E1" w:rsidRPr="00B87BD8" w:rsidTr="00FF200E">
        <w:tc>
          <w:tcPr>
            <w:tcW w:w="675" w:type="dxa"/>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Slovenská správa ciest: Výsledky celoštátneho sčítania dopravy 2015. </w:t>
            </w:r>
          </w:p>
        </w:tc>
      </w:tr>
      <w:tr w:rsidR="00F371E1" w:rsidRPr="00B87BD8" w:rsidTr="00FF200E">
        <w:tc>
          <w:tcPr>
            <w:tcW w:w="675" w:type="dxa"/>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Národná diaľničná spoločnosť: Výročná správa NDS. Ročníky 2010 – 2018.</w:t>
            </w:r>
          </w:p>
        </w:tc>
      </w:tr>
      <w:tr w:rsidR="00F371E1" w:rsidRPr="00B87BD8" w:rsidTr="00FF200E">
        <w:tc>
          <w:tcPr>
            <w:tcW w:w="675" w:type="dxa"/>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[6]</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Národná diaľničná spoločnosť: Podnikateľský plán NDS. Ročníky 2010 – 2018.</w:t>
            </w:r>
          </w:p>
        </w:tc>
      </w:tr>
      <w:tr w:rsidR="00F371E1" w:rsidRPr="00B87BD8" w:rsidTr="00FF200E">
        <w:tc>
          <w:tcPr>
            <w:tcW w:w="675" w:type="dxa"/>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[7]</w:t>
            </w:r>
          </w:p>
        </w:tc>
        <w:tc>
          <w:tcPr>
            <w:tcW w:w="8896" w:type="dxa"/>
          </w:tcPr>
          <w:p w:rsidR="00F371E1" w:rsidRPr="00B87BD8" w:rsidRDefault="00F371E1" w:rsidP="00FF200E">
            <w:pPr>
              <w:spacing w:before="60" w:after="60"/>
              <w:rPr>
                <w:rFonts w:asciiTheme="minorHAnsi" w:hAnsiTheme="minorHAnsi" w:cstheme="minorHAnsi"/>
              </w:rPr>
            </w:pPr>
            <w:r w:rsidRPr="009B2509">
              <w:rPr>
                <w:rFonts w:asciiTheme="minorHAnsi" w:hAnsiTheme="minorHAnsi" w:cstheme="minorHAnsi"/>
              </w:rPr>
              <w:t xml:space="preserve">Skytoll: </w:t>
            </w:r>
            <w:r>
              <w:rPr>
                <w:rFonts w:asciiTheme="minorHAnsi" w:hAnsiTheme="minorHAnsi" w:cstheme="minorHAnsi"/>
              </w:rPr>
              <w:t>Kumulatívne ročné dopravné výkony</w:t>
            </w:r>
            <w:r w:rsidRPr="00B87BD8">
              <w:rPr>
                <w:rFonts w:asciiTheme="minorHAnsi" w:hAnsiTheme="minorHAnsi" w:cstheme="minorHAnsi"/>
              </w:rPr>
              <w:t xml:space="preserve"> </w:t>
            </w:r>
            <w:r>
              <w:rPr>
                <w:rFonts w:asciiTheme="minorHAnsi" w:hAnsiTheme="minorHAnsi" w:cstheme="minorHAnsi"/>
              </w:rPr>
              <w:t>na sieti za roky</w:t>
            </w:r>
            <w:r w:rsidRPr="00B87BD8">
              <w:rPr>
                <w:rFonts w:asciiTheme="minorHAnsi" w:hAnsiTheme="minorHAnsi" w:cstheme="minorHAnsi"/>
              </w:rPr>
              <w:t xml:space="preserve"> 2010 - 2018</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[8]</w:t>
            </w:r>
          </w:p>
        </w:tc>
        <w:tc>
          <w:tcPr>
            <w:tcW w:w="8896" w:type="dxa"/>
          </w:tcPr>
          <w:p w:rsidR="00F371E1" w:rsidRPr="00B87BD8" w:rsidRDefault="00F371E1" w:rsidP="00FF200E">
            <w:pPr>
              <w:spacing w:before="60" w:after="60"/>
              <w:rPr>
                <w:rFonts w:asciiTheme="minorHAnsi" w:hAnsiTheme="minorHAnsi" w:cstheme="minorHAnsi"/>
              </w:rPr>
            </w:pPr>
            <w:r>
              <w:rPr>
                <w:rFonts w:asciiTheme="minorHAnsi" w:hAnsiTheme="minorHAnsi" w:cstheme="minorHAnsi"/>
              </w:rPr>
              <w:t xml:space="preserve">Najvyšší kontrolný úrad SR: </w:t>
            </w:r>
            <w:r w:rsidRPr="006C28CF">
              <w:rPr>
                <w:rFonts w:asciiTheme="minorHAnsi" w:hAnsiTheme="minorHAnsi" w:cstheme="minorHAnsi"/>
                <w:i/>
              </w:rPr>
              <w:t xml:space="preserve">Súhrnná správa </w:t>
            </w:r>
            <w:r w:rsidRPr="006C28CF">
              <w:rPr>
                <w:i/>
              </w:rPr>
              <w:t>o výsledku kontroly poplatkov za používanie cestnej infraštruktúry, efektívnosti a účinnosti výnosov z príjmov elektronického mýtneho systému a diaľničných nálepiek, zmluvných vzťahov realizovaných v rokoch 2010-2013</w:t>
            </w:r>
            <w:r>
              <w:t>. On-line. Dostupné na:</w:t>
            </w:r>
            <w:r>
              <w:rPr>
                <w:rFonts w:asciiTheme="minorHAnsi" w:hAnsiTheme="minorHAnsi" w:cstheme="minorHAnsi"/>
              </w:rPr>
              <w:t xml:space="preserve"> </w:t>
            </w:r>
            <w:hyperlink r:id="rId128" w:history="1">
              <w:r>
                <w:rPr>
                  <w:rStyle w:val="Hypertextovprepojenie"/>
                </w:rPr>
                <w:t>https://www.nku.gov.sk/documents/10157/4ba7dab0-0a54-4f25-af8b-82a39b130cd5</w:t>
              </w:r>
            </w:hyperlink>
            <w:r>
              <w:rPr>
                <w:rFonts w:asciiTheme="minorHAnsi" w:hAnsiTheme="minorHAnsi" w:cstheme="minorHAnsi"/>
              </w:rPr>
              <w:t xml:space="preserve">   </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[9]</w:t>
            </w:r>
          </w:p>
        </w:tc>
        <w:tc>
          <w:tcPr>
            <w:tcW w:w="8896" w:type="dxa"/>
          </w:tcPr>
          <w:p w:rsidR="00F371E1" w:rsidRPr="00B87BD8" w:rsidRDefault="00F371E1" w:rsidP="00FF200E">
            <w:pPr>
              <w:spacing w:before="60" w:after="60"/>
              <w:rPr>
                <w:rFonts w:asciiTheme="minorHAnsi" w:hAnsiTheme="minorHAnsi" w:cstheme="minorHAnsi"/>
              </w:rPr>
            </w:pPr>
            <w:r>
              <w:rPr>
                <w:rFonts w:asciiTheme="minorHAnsi" w:hAnsiTheme="minorHAnsi" w:cstheme="minorHAnsi"/>
              </w:rPr>
              <w:t xml:space="preserve">Slovenská správa ciest: </w:t>
            </w:r>
            <w:r>
              <w:t xml:space="preserve">DĹŽKY SPOPLATNENÝCH ÚSEKOV CK NA ÚZEMÍ SR SO STAVOM SIETE CESTNÝCH KOMUNIKÁCIÍ KU DŇU: 01.01.2019. Bratislava. 2019. On-line. Dostupné na: </w:t>
            </w:r>
            <w:hyperlink r:id="rId129" w:history="1">
              <w:r>
                <w:rPr>
                  <w:rStyle w:val="Hypertextovprepojenie"/>
                </w:rPr>
                <w:t>https://www.cdb.sk/files/documents/cestna-databanka/vystupy-cdb/2019/spoplatnenie_k_01_01_2019.pdf</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[10]</w:t>
            </w:r>
          </w:p>
        </w:tc>
        <w:tc>
          <w:tcPr>
            <w:tcW w:w="8896" w:type="dxa"/>
          </w:tcPr>
          <w:p w:rsidR="00F371E1" w:rsidRPr="00B87BD8" w:rsidRDefault="00F371E1" w:rsidP="00FF200E">
            <w:pPr>
              <w:spacing w:before="60" w:after="60"/>
              <w:rPr>
                <w:rFonts w:asciiTheme="minorHAnsi" w:hAnsiTheme="minorHAnsi" w:cstheme="minorHAnsi"/>
              </w:rPr>
            </w:pPr>
            <w:r>
              <w:rPr>
                <w:rFonts w:asciiTheme="minorHAnsi" w:hAnsiTheme="minorHAnsi" w:cstheme="minorHAnsi"/>
              </w:rPr>
              <w:t xml:space="preserve">NDS,a.s:Sieť diaľnic a rýchlostných ciest na Slovensku. On-line. Dostupné na: </w:t>
            </w:r>
            <w:hyperlink r:id="rId130" w:history="1">
              <w:r>
                <w:rPr>
                  <w:rStyle w:val="Hypertextovprepojenie"/>
                </w:rPr>
                <w:t>https://www.ndsas.sk/uploads/media/8f09b287eb284a5efe37a627fb821de7bedb027a.pdf</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[11]</w:t>
            </w:r>
          </w:p>
        </w:tc>
        <w:tc>
          <w:tcPr>
            <w:tcW w:w="8896" w:type="dxa"/>
          </w:tcPr>
          <w:p w:rsidR="00F371E1" w:rsidRPr="00B87BD8" w:rsidRDefault="00F371E1" w:rsidP="00FF200E">
            <w:pPr>
              <w:spacing w:before="60" w:after="60"/>
              <w:rPr>
                <w:rFonts w:asciiTheme="minorHAnsi" w:hAnsiTheme="minorHAnsi" w:cstheme="minorHAnsi"/>
              </w:rPr>
            </w:pPr>
            <w:r>
              <w:rPr>
                <w:lang w:val="en-US"/>
              </w:rPr>
              <w:t xml:space="preserve">ASECAP: Position on tolling enforcement. Júl 2019. On-line. Dostupné na: </w:t>
            </w:r>
            <w:r w:rsidRPr="002C4C0E">
              <w:rPr>
                <w:lang w:val="en-US"/>
              </w:rPr>
              <w:t>T</w:t>
            </w:r>
            <w:hyperlink r:id="rId131" w:history="1">
              <w:r>
                <w:rPr>
                  <w:rStyle w:val="Hypertextovprepojenie"/>
                </w:rPr>
                <w:t>http://www.asecap.com/official-positions.html</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[12]</w:t>
            </w:r>
          </w:p>
        </w:tc>
        <w:tc>
          <w:tcPr>
            <w:tcW w:w="8896" w:type="dxa"/>
          </w:tcPr>
          <w:p w:rsidR="00F371E1" w:rsidRPr="00B87BD8" w:rsidRDefault="00F371E1" w:rsidP="00FF200E">
            <w:pPr>
              <w:spacing w:before="60" w:after="60"/>
              <w:rPr>
                <w:rFonts w:asciiTheme="minorHAnsi" w:hAnsiTheme="minorHAnsi" w:cstheme="minorHAnsi"/>
              </w:rPr>
            </w:pPr>
            <w:r>
              <w:rPr>
                <w:rFonts w:asciiTheme="minorHAnsi" w:hAnsiTheme="minorHAnsi" w:cstheme="minorHAnsi"/>
              </w:rPr>
              <w:t xml:space="preserve">NDS: </w:t>
            </w:r>
            <w:r>
              <w:t>Dokumentácia</w:t>
            </w:r>
            <w:r w:rsidRPr="003F5B17">
              <w:t xml:space="preserve"> pre výberové konanie na službu elektronického výberu mýta</w:t>
            </w:r>
            <w:r>
              <w:t xml:space="preserve">. </w:t>
            </w:r>
            <w:r w:rsidRPr="004F4E3A">
              <w:t>B1_Priloha_2_2_dopravne_data</w:t>
            </w:r>
          </w:p>
        </w:tc>
      </w:tr>
      <w:tr w:rsidR="00F371E1" w:rsidRPr="00B87BD8" w:rsidTr="00FF200E">
        <w:trPr>
          <w:trHeight w:val="434"/>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[13]</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Toll Collect: Mapa spoplatnených úsekov ciest od 1.7.2018. Dostupné na: </w:t>
            </w:r>
            <w:hyperlink r:id="rId132" w:history="1">
              <w:r w:rsidRPr="00B87BD8">
                <w:rPr>
                  <w:rStyle w:val="Hypertextovprepojenie"/>
                  <w:rFonts w:asciiTheme="minorHAnsi" w:hAnsiTheme="minorHAnsi" w:cstheme="minorHAnsi"/>
                </w:rPr>
                <w:t>https://www.toll-collect.de/static/media/tc/informationen_tc/nutzer/karte_mautstreckennetz/karte_strecken_d.pdf</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[14]</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Toll Collect: Mapa spoplatnených úsekov ciest od 1.7.2015. Dostupné na: </w:t>
            </w:r>
            <w:hyperlink r:id="rId133" w:history="1">
              <w:r w:rsidRPr="00B87BD8">
                <w:rPr>
                  <w:rStyle w:val="Hypertextovprepojenie"/>
                  <w:rFonts w:asciiTheme="minorHAnsi" w:hAnsiTheme="minorHAnsi" w:cstheme="minorHAnsi"/>
                </w:rPr>
                <w:t>https://maut-in.de/images/karten/karte_strecken_d.pdf</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[15]</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ASECAP: Statistical Bulletin. Ročníky 2005 – 2019. Dostupné na: </w:t>
            </w:r>
            <w:hyperlink r:id="rId134" w:history="1">
              <w:r w:rsidRPr="00B87BD8">
                <w:rPr>
                  <w:rStyle w:val="Hypertextovprepojenie"/>
                  <w:rFonts w:asciiTheme="minorHAnsi" w:hAnsiTheme="minorHAnsi" w:cstheme="minorHAnsi"/>
                </w:rPr>
                <w:t>http://asecap.com/publications.html</w:t>
              </w:r>
            </w:hyperlink>
            <w:r w:rsidRPr="00B87BD8">
              <w:rPr>
                <w:rFonts w:asciiTheme="minorHAnsi" w:hAnsiTheme="minorHAnsi" w:cstheme="minorHAnsi"/>
              </w:rPr>
              <w:t xml:space="preserve"> </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rPr>
              <w:t>[16]</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ASECAP: National Reports. Ročníky 2011 – 2019. Dostupné na: </w:t>
            </w:r>
            <w:hyperlink r:id="rId135" w:history="1">
              <w:r w:rsidRPr="00B87BD8">
                <w:rPr>
                  <w:rStyle w:val="Hypertextovprepojenie"/>
                  <w:rFonts w:asciiTheme="minorHAnsi" w:hAnsiTheme="minorHAnsi" w:cstheme="minorHAnsi"/>
                </w:rPr>
                <w:t>http://asecap.com/member-s-national-reports.html</w:t>
              </w:r>
            </w:hyperlink>
            <w:r w:rsidRPr="00B87BD8">
              <w:rPr>
                <w:rFonts w:asciiTheme="minorHAnsi" w:hAnsiTheme="minorHAnsi" w:cstheme="minorHAnsi"/>
              </w:rPr>
              <w:t xml:space="preserve"> </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[17]</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Doll, C., Mejia-Dorantes, L., Vassallo, J. M. (2016): Economic impact of introducing road charging for Heavy Goods Vehicles. Report to Transport and Environment (T&amp;E). Fraunhofer-Institute for Systems and Innovation Research ISI, Karlsruhe and Universidad Politécnica de Madrid (UPM). Dostupné na: </w:t>
            </w:r>
            <w:hyperlink r:id="rId136" w:history="1">
              <w:r w:rsidRPr="00B87BD8">
                <w:rPr>
                  <w:rStyle w:val="Hypertextovprepojenie"/>
                  <w:rFonts w:asciiTheme="minorHAnsi" w:hAnsiTheme="minorHAnsi" w:cstheme="minorHAnsi"/>
                </w:rPr>
                <w:t>https://www.transportenvironment.org/sites/te/files/publications/2017_04_road_tolls_report.pdf</w:t>
              </w:r>
            </w:hyperlink>
            <w:r w:rsidRPr="00B87BD8">
              <w:rPr>
                <w:rFonts w:asciiTheme="minorHAnsi" w:hAnsiTheme="minorHAnsi" w:cstheme="minorHAnsi"/>
              </w:rPr>
              <w:t xml:space="preserve">  </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[18]</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Federálny úrad pre nákladnú dopravu/ Bundesamt für Güterverkehr: Ročné štatistiky mýta. Ročníky 2007 – 2018. Dostupné na: </w:t>
            </w:r>
          </w:p>
          <w:p w:rsidR="00F371E1" w:rsidRPr="00B87BD8" w:rsidRDefault="00C40D3F" w:rsidP="00FF200E">
            <w:pPr>
              <w:spacing w:before="60" w:after="60"/>
              <w:rPr>
                <w:rFonts w:asciiTheme="minorHAnsi" w:hAnsiTheme="minorHAnsi" w:cstheme="minorHAnsi"/>
              </w:rPr>
            </w:pPr>
            <w:hyperlink r:id="rId137" w:history="1">
              <w:r w:rsidR="00F371E1" w:rsidRPr="00B87BD8">
                <w:rPr>
                  <w:rStyle w:val="Hypertextovprepojenie"/>
                  <w:rFonts w:asciiTheme="minorHAnsi" w:hAnsiTheme="minorHAnsi" w:cstheme="minorHAnsi"/>
                </w:rPr>
                <w:t>https://www.bag.bund.de/DE/Navigation/Verkehrsaufgaben/Statistik/Mautstatistik/Archiv/archiv_node.html</w:t>
              </w:r>
            </w:hyperlink>
          </w:p>
        </w:tc>
      </w:tr>
      <w:tr w:rsidR="00F371E1" w:rsidRPr="00B87BD8" w:rsidTr="00FF200E">
        <w:trPr>
          <w:trHeight w:val="352"/>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[19]</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Skytoll, a.s.: Náklady systému ETC v Nemecku. Roky 2009 – 2017.</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[20]</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Knorr/Heinemann/Eisenkopf: GERMANY’S AUTOBAHN TOLL FOR HEAVY GOODS VEHICLES</w:t>
            </w:r>
          </w:p>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AFTER FOUR YEARS: EXPERIENCES AND PERSPECTIVES. Dostupné na: </w:t>
            </w:r>
            <w:hyperlink r:id="rId138" w:history="1">
              <w:r w:rsidRPr="00B87BD8">
                <w:rPr>
                  <w:rStyle w:val="Hypertextovprepojenie"/>
                  <w:rFonts w:asciiTheme="minorHAnsi" w:hAnsiTheme="minorHAnsi" w:cstheme="minorHAnsi"/>
                </w:rPr>
                <w:t>https://editorialexpress.com/cgi-bin/conference/download.cgi?db_name=serc2009&amp;paper_id=49</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[21]</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ASFINAG: TOLLING REGULATIONS FOR THE MOTORWAYS AND EXPRESSWAYS OF AUSTRIA. GZ: 325.009/1-I/K2-2003 last amendment 323.540/0051-I/K2/2018. Valid from 05.07.2018 . Version 52</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[22]</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Kummer, S.- Dieplinger, M. – Dobrovnik, M: Endbericht::Flächendeckende Schwerverkehrs-Maut in Österreich. Institut f ür Transportwirtschaft und Logistik. Wien, 24.02.2015. Dostupné na: </w:t>
            </w:r>
            <w:hyperlink r:id="rId139" w:history="1">
              <w:r w:rsidRPr="00B87BD8">
                <w:rPr>
                  <w:rFonts w:asciiTheme="minorHAnsi" w:eastAsiaTheme="minorHAnsi" w:hAnsiTheme="minorHAnsi" w:cstheme="minorHAnsi"/>
                  <w:u w:val="single"/>
                </w:rPr>
                <w:t>https://www.wko.at/branchen/stmk/transport-verkehr/gueterbefoerderungsgewerbe/Endbericht_FlaechendeckendeMaut_final.pdf</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[23]</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ASFINAG: Guaranted Euro Medium Term Note Programme. Ročníky 2012 , 2013, 2014, 2015, 2017, 2019. Dostupné na: </w:t>
            </w:r>
            <w:hyperlink r:id="rId140" w:history="1">
              <w:r w:rsidRPr="00B87BD8">
                <w:rPr>
                  <w:rFonts w:asciiTheme="minorHAnsi" w:eastAsiaTheme="minorHAnsi" w:hAnsiTheme="minorHAnsi" w:cstheme="minorHAnsi"/>
                  <w:u w:val="single"/>
                </w:rPr>
                <w:t>https://www.asfinag.at/about-us/investor-relations/documentation/</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[24]</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ASFINAG: Výročné správy. Ročníky 2013-2018. Dostupné na: </w:t>
            </w:r>
            <w:hyperlink r:id="rId141" w:history="1">
              <w:r w:rsidRPr="00B87BD8">
                <w:rPr>
                  <w:rStyle w:val="Hypertextovprepojenie"/>
                  <w:rFonts w:asciiTheme="minorHAnsi" w:hAnsiTheme="minorHAnsi" w:cstheme="minorHAnsi"/>
                </w:rPr>
                <w:t>https://www.asfinag.at/about-us/company/company-reports/</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[25]</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European Parliament's Committee on Transport and Tourism: TECHNOLOGY OPTIONS FOR THE EUROPEAN ELECTRONIC TOLL SERVICE. Study.  2014. s. 32. Dostupné na: </w:t>
            </w:r>
            <w:hyperlink r:id="rId142" w:history="1">
              <w:r w:rsidRPr="00B87BD8">
                <w:rPr>
                  <w:rFonts w:asciiTheme="minorHAnsi" w:eastAsiaTheme="minorHAnsi" w:hAnsiTheme="minorHAnsi" w:cstheme="minorHAnsi"/>
                  <w:u w:val="single"/>
                </w:rPr>
                <w:t>http://www.europarl.europa.eu/RegData/etudes/STUD/2014/529058/IPOL_STUD%282014%29529058_EN.pdf</w:t>
              </w:r>
            </w:hyperlink>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rPr>
              <w:t>[26]</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Bereni Matthew: International review of road funding and heavy vehicle charging mechanism. National Transport Commission. July 2012. </w:t>
            </w:r>
            <w:hyperlink r:id="rId143" w:history="1">
              <w:r w:rsidRPr="00B87BD8">
                <w:rPr>
                  <w:rStyle w:val="Hypertextovprepojenie"/>
                  <w:rFonts w:asciiTheme="minorHAnsi" w:hAnsiTheme="minorHAnsi" w:cstheme="minorHAnsi"/>
                </w:rPr>
                <w:t>https://www.ntc.gov.au/Media/Reports/(3C12211C-D405-4E66-B474-124315CEF194).pdf</w:t>
              </w:r>
            </w:hyperlink>
            <w:r w:rsidRPr="00B87BD8">
              <w:rPr>
                <w:rFonts w:asciiTheme="minorHAnsi" w:hAnsiTheme="minorHAnsi" w:cstheme="minorHAnsi"/>
              </w:rPr>
              <w:t xml:space="preserve"> </w:t>
            </w:r>
          </w:p>
        </w:tc>
      </w:tr>
      <w:tr w:rsidR="00F371E1" w:rsidRPr="00B87BD8" w:rsidTr="00FF200E">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[27]</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Andrea Broaddus, Carsten Gertz: Tolling Heavy Goods Vehicles: Overview of European Practice and Lessons from German experience. Technische Universität Hamburg. 2016</w:t>
            </w:r>
          </w:p>
          <w:p w:rsidR="00F371E1" w:rsidRPr="00B87BD8" w:rsidRDefault="00C40D3F" w:rsidP="00FF200E">
            <w:pPr>
              <w:pStyle w:val="Normaltext"/>
              <w:spacing w:before="60" w:after="60"/>
              <w:rPr>
                <w:rFonts w:asciiTheme="minorHAnsi" w:hAnsiTheme="minorHAnsi" w:cstheme="minorHAnsi"/>
              </w:rPr>
            </w:pPr>
            <w:hyperlink r:id="rId144" w:history="1">
              <w:r w:rsidR="00F371E1" w:rsidRPr="00B87BD8">
                <w:rPr>
                  <w:rStyle w:val="Hypertextovprepojenie"/>
                  <w:rFonts w:asciiTheme="minorHAnsi" w:hAnsiTheme="minorHAnsi" w:cstheme="minorHAnsi"/>
                </w:rPr>
                <w:t>https://www.researchgate.net/publication/239439341_Tolling_Heavy_Goods_Vehicles_Overview_of_European_Practice_and_Lessons_from_German_Experience</w:t>
              </w:r>
            </w:hyperlink>
          </w:p>
        </w:tc>
      </w:tr>
      <w:tr w:rsidR="00F371E1" w:rsidRPr="00B87BD8" w:rsidTr="00FF200E">
        <w:trPr>
          <w:trHeight w:val="584"/>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[28]</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lang w:val="en-US"/>
              </w:rPr>
              <w:t xml:space="preserve">RDW, EReg: Road Pricing in Europe. April 2012. </w:t>
            </w:r>
            <w:r w:rsidRPr="00B87BD8">
              <w:rPr>
                <w:rFonts w:asciiTheme="minorHAnsi" w:hAnsiTheme="minorHAnsi" w:cstheme="minorHAnsi"/>
              </w:rPr>
              <w:t xml:space="preserve">Dostupné na: </w:t>
            </w:r>
            <w:hyperlink r:id="rId145" w:history="1">
              <w:r w:rsidRPr="00B87BD8">
                <w:rPr>
                  <w:rStyle w:val="Hypertextovprepojenie"/>
                  <w:rFonts w:asciiTheme="minorHAnsi" w:hAnsiTheme="minorHAnsi" w:cstheme="minorHAnsi"/>
                </w:rPr>
                <w:t>https://www.ereg-association.eu/media/1213/roadpricing-in-europe-second-version-2012.pdf</w:t>
              </w:r>
            </w:hyperlink>
          </w:p>
        </w:tc>
      </w:tr>
      <w:tr w:rsidR="00F371E1" w:rsidRPr="00B87BD8" w:rsidTr="00FF200E">
        <w:trPr>
          <w:trHeight w:val="897"/>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[29]</w:t>
            </w:r>
          </w:p>
        </w:tc>
        <w:tc>
          <w:tcPr>
            <w:tcW w:w="8896" w:type="dxa"/>
          </w:tcPr>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Európsky parlament: GEBÜHRENSYSTEME FÜR DEN GÜTERKRAFTVERKEHR IN</w:t>
            </w:r>
          </w:p>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DEN EU-MITGLIEDSTAATEN UND DER SCHWEIZ . IP/B/TRAN/FWC/2006-156/lot7/C1/SC2</w:t>
            </w:r>
          </w:p>
          <w:p w:rsidR="00F371E1" w:rsidRPr="00B87BD8" w:rsidRDefault="00F371E1" w:rsidP="00FF200E">
            <w:pPr>
              <w:spacing w:before="60" w:after="60"/>
              <w:rPr>
                <w:rFonts w:asciiTheme="minorHAnsi" w:hAnsiTheme="minorHAnsi" w:cstheme="minorHAnsi"/>
              </w:rPr>
            </w:pPr>
            <w:r w:rsidRPr="00B87BD8">
              <w:rPr>
                <w:rFonts w:asciiTheme="minorHAnsi" w:hAnsiTheme="minorHAnsi" w:cstheme="minorHAnsi"/>
              </w:rPr>
              <w:t xml:space="preserve">PE 408.929.  2008. s 23. Dostupné na: </w:t>
            </w:r>
            <w:hyperlink r:id="rId146" w:history="1">
              <w:r w:rsidRPr="00B87BD8">
                <w:rPr>
                  <w:rFonts w:asciiTheme="minorHAnsi" w:eastAsiaTheme="minorHAnsi" w:hAnsiTheme="minorHAnsi" w:cstheme="minorHAnsi"/>
                  <w:u w:val="single"/>
                </w:rPr>
                <w:t>http://www.europarl.europa.eu/RegData/etudes/etudes/join/2008/408929/IPOL-TRAN_ET(2008)408929_DE.pdf</w:t>
              </w:r>
            </w:hyperlink>
          </w:p>
        </w:tc>
      </w:tr>
      <w:tr w:rsidR="00F371E1" w:rsidRPr="00B87BD8" w:rsidTr="00FF200E">
        <w:trPr>
          <w:trHeight w:val="530"/>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rPr>
            </w:pPr>
            <w:r w:rsidRPr="00B87BD8">
              <w:rPr>
                <w:rFonts w:asciiTheme="minorHAnsi" w:hAnsiTheme="minorHAnsi" w:cstheme="minorHAnsi"/>
                <w:lang w:val="en-US"/>
              </w:rPr>
              <w:t>[30]</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IODA: Analýza vývoje výběru mýta na zpoplatněných pozemních komunikacích v ČR. 2016. On-line. Dostupné na: </w:t>
            </w:r>
            <w:hyperlink r:id="rId147" w:history="1">
              <w:r w:rsidRPr="00B87BD8">
                <w:rPr>
                  <w:rStyle w:val="Hypertextovprepojenie"/>
                  <w:rFonts w:asciiTheme="minorHAnsi" w:hAnsiTheme="minorHAnsi" w:cstheme="minorHAnsi"/>
                </w:rPr>
                <w:t>http://www.ioda.cz/_publikace/pub/2015_IODA_analyza_myto.pdf</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[31]</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Nejvyšší kontrolní úřad ČR: Kontrolní závěr z kontrolní akce 11/13. Peněžní prostředky vynaložené na pořízení a provoz systému výběru mýtného za užívání silniční infrastruktury České republiky. 2011. On-line. Dostupné na: </w:t>
            </w:r>
            <w:hyperlink r:id="rId148" w:history="1">
              <w:r w:rsidRPr="00B87BD8">
                <w:rPr>
                  <w:rStyle w:val="Hypertextovprepojenie"/>
                  <w:rFonts w:asciiTheme="minorHAnsi" w:hAnsiTheme="minorHAnsi" w:cstheme="minorHAnsi"/>
                </w:rPr>
                <w:t>https://www.nku.cz/scripts/rka/detail.asp?cisloakce=11/13</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[32]</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Nejvyšší kontrolní úřad ČR: Kontrolní závěr z kontrolní akce 12/12. Příjmy z výkonových poplatků (mýtného) a příjmy z časového zpoplatnění pozemních komunikací (časových kuponů), včetně souvisejících výdajů. 2012. On-line. Dostupné na: </w:t>
            </w:r>
            <w:hyperlink r:id="rId149" w:history="1">
              <w:r w:rsidRPr="00B87BD8">
                <w:rPr>
                  <w:rStyle w:val="Hypertextovprepojenie"/>
                  <w:rFonts w:asciiTheme="minorHAnsi" w:hAnsiTheme="minorHAnsi" w:cstheme="minorHAnsi"/>
                </w:rPr>
                <w:t>https://www.nku.cz/scripts/rka/detail.asp?cisloakce=11/13</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[33]</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Nejvyšší kontrolní úřad ČR: Věstník Nejvyššího kontrolního úřadu 2013. On-line. Dostupné na: </w:t>
            </w:r>
            <w:hyperlink r:id="rId150" w:history="1">
              <w:r w:rsidRPr="00B87BD8">
                <w:rPr>
                  <w:rFonts w:asciiTheme="minorHAnsi" w:eastAsiaTheme="minorHAnsi" w:hAnsiTheme="minorHAnsi" w:cstheme="minorHAnsi"/>
                  <w:u w:val="single"/>
                </w:rPr>
                <w:t>https://portal.gov.cz/obcan/vestniky/s3caayq/19308.pdf</w:t>
              </w:r>
            </w:hyperlink>
            <w:r w:rsidRPr="00B87BD8">
              <w:rPr>
                <w:rFonts w:asciiTheme="minorHAnsi" w:eastAsiaTheme="minorHAnsi" w:hAnsiTheme="minorHAnsi" w:cstheme="minorHAnsi"/>
              </w:rPr>
              <w:t xml:space="preserve"> </w:t>
            </w:r>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[34]</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Ministerstvo dopravy ČR: Stanovisko Ministerstva dopravy ke Kontrolnímu závěru Nejvyššího kontrolního úřadu z kontrolní akce č. 12/12. On-line. Dostupné na:   </w:t>
            </w:r>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[35]</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Nejvyšší kontrolní úřad ČR: Kontrolní závěr z kontrolní akce 17/10. Pořízení a provoz systému výběru mýtného za užívání silniční infrastruktury České republiky. 2017. On-line. Dostupné na: </w:t>
            </w:r>
            <w:hyperlink r:id="rId151" w:history="1">
              <w:r w:rsidRPr="00B87BD8">
                <w:rPr>
                  <w:rStyle w:val="Hypertextovprepojenie"/>
                  <w:rFonts w:asciiTheme="minorHAnsi" w:hAnsiTheme="minorHAnsi" w:cstheme="minorHAnsi"/>
                </w:rPr>
                <w:t>https://www.nku.cz/assets/kon-zavery/K17010.pdf</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[36]</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ŘSD ČR: Efektivnost systému výběru mýtného. On-line. Dostupné na: </w:t>
            </w:r>
            <w:hyperlink r:id="rId152" w:history="1">
              <w:r w:rsidRPr="00B87BD8">
                <w:rPr>
                  <w:rStyle w:val="Hypertextovprepojenie"/>
                  <w:rFonts w:asciiTheme="minorHAnsi" w:hAnsiTheme="minorHAnsi" w:cstheme="minorHAnsi"/>
                </w:rPr>
                <w:t>https://www.infoprovsechny.cz/request/efektivnost_systemu_vyberu_mytne_2</w:t>
              </w:r>
            </w:hyperlink>
            <w:r w:rsidRPr="00B87BD8">
              <w:rPr>
                <w:rFonts w:asciiTheme="minorHAnsi" w:hAnsiTheme="minorHAnsi" w:cstheme="minorHAnsi"/>
              </w:rPr>
              <w:t xml:space="preserve"> </w:t>
            </w:r>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[37]</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Parlamentné listy: Březen s rekordním výběrem mýta, padla hranice 80 miliard a provozní náklady klesly na 15 %. Tlačová správa. On-line. Dostupné na: </w:t>
            </w:r>
            <w:hyperlink r:id="rId153" w:history="1">
              <w:r w:rsidRPr="00B87BD8">
                <w:rPr>
                  <w:rStyle w:val="Hypertextovprepojenie"/>
                  <w:rFonts w:asciiTheme="minorHAnsi" w:hAnsiTheme="minorHAnsi" w:cstheme="minorHAnsi"/>
                </w:rPr>
                <w:t>https://www.parlamentnilisty.cz/zpravy/tiskovezpravy/Brezen-s-rekordnim-vyberem-myta-padla-hranice-80-miliard-a-provozni-naklady-klesly-na-15-484151</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[38]</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E15.cz: Nabídky na výběr mýta jsou pro stát prohrou, stávající systém může zlevnit, říká šéf Kapsche. On-line. Dostupné na: </w:t>
            </w:r>
            <w:hyperlink r:id="rId154" w:history="1">
              <w:r w:rsidRPr="00B87BD8">
                <w:rPr>
                  <w:rStyle w:val="Hypertextovprepojenie"/>
                  <w:rFonts w:asciiTheme="minorHAnsi" w:hAnsiTheme="minorHAnsi" w:cstheme="minorHAnsi"/>
                </w:rPr>
                <w:t>https://www.e15.cz/byznys/doprava-a-logistika/nabidky-na-vyber-myta-jsou-pro-stat-prohrou-stavajici-system-muze-zlevnit-rika-sef-kapsche-1344391</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[39]</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České noviny: Stát loni vybral na mýtu 10,8 mld. Kč, meziročně o 4 % více. On-line. Dostupné na: </w:t>
            </w:r>
            <w:hyperlink r:id="rId155" w:history="1">
              <w:r w:rsidRPr="00B87BD8">
                <w:rPr>
                  <w:rStyle w:val="Hypertextovprepojenie"/>
                  <w:rFonts w:asciiTheme="minorHAnsi" w:hAnsiTheme="minorHAnsi" w:cstheme="minorHAnsi"/>
                </w:rPr>
                <w:t>https://www.ceskenoviny.cz/zpravy/stat-loni-vybral-na-mytu-10-8-mld-kc-mezirocne-o-4-vice/1707780</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[40]</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NBS: Mesačné, kumulatívne a ročné prehľady kurzov. EUR/CZK. 2007 – 2018. On-line. Dostupné na: </w:t>
            </w:r>
            <w:hyperlink r:id="rId156" w:history="1">
              <w:r w:rsidRPr="00B87BD8">
                <w:rPr>
                  <w:rStyle w:val="Hypertextovprepojenie"/>
                  <w:rFonts w:asciiTheme="minorHAnsi" w:hAnsiTheme="minorHAnsi" w:cstheme="minorHAnsi"/>
                </w:rPr>
                <w:t>https://www.nbs.sk/sk/statisticke-udaje/kurzovy-listok/mesacne-kumulativne-a-rocne-prehlady-kurzov</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[41]</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Map. On-line. Dostupné na: </w:t>
            </w:r>
            <w:hyperlink r:id="rId157" w:history="1">
              <w:r w:rsidRPr="00B87BD8">
                <w:rPr>
                  <w:rStyle w:val="Hypertextovprepojenie"/>
                  <w:rFonts w:asciiTheme="minorHAnsi" w:hAnsiTheme="minorHAnsi" w:cstheme="minorHAnsi"/>
                </w:rPr>
                <w:t>https://www.viatoll.pl/en/trucks/map</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[42]</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ViaTOLL will include further road sections. 2012. On-line. Dostupné na: </w:t>
            </w:r>
            <w:hyperlink r:id="rId158" w:history="1">
              <w:r w:rsidRPr="00B87BD8">
                <w:rPr>
                  <w:rStyle w:val="Hypertextovprepojenie"/>
                  <w:rFonts w:asciiTheme="minorHAnsi" w:hAnsiTheme="minorHAnsi" w:cstheme="minorHAnsi"/>
                </w:rPr>
                <w:t>https://www.viatoll.pl/sk/a/549-viatoll-will-include-further-road-sections</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[43]</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Further extensions of the viaTOLL system in Poland. 2013. On-line. Dostupné na: </w:t>
            </w:r>
            <w:hyperlink r:id="rId159" w:history="1">
              <w:r w:rsidRPr="00B87BD8">
                <w:rPr>
                  <w:rFonts w:asciiTheme="minorHAnsi" w:eastAsiaTheme="minorHAnsi" w:hAnsiTheme="minorHAnsi" w:cstheme="minorHAnsi"/>
                  <w:u w:val="single"/>
                </w:rPr>
                <w:t>https://www.viatoll.pl/en/a/further-extensions-of-the-viatoll-system-in-poland</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[44]</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New roads under viaTOLL planned as of 1st September 2014. 2014. On-line. Dostupné na: </w:t>
            </w:r>
            <w:hyperlink r:id="rId160" w:history="1">
              <w:r w:rsidRPr="00B87BD8">
                <w:rPr>
                  <w:rFonts w:asciiTheme="minorHAnsi" w:eastAsiaTheme="minorHAnsi" w:hAnsiTheme="minorHAnsi" w:cstheme="minorHAnsi"/>
                  <w:u w:val="single"/>
                </w:rPr>
                <w:t>https://www.viatoll.pl/en/a/new-roads-under-viatoll-planned-as-of-1st-september-2014</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[45]</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viaTOLL system expansion 2015 – regulation draft. 2015. On-line. Dostupné na: </w:t>
            </w:r>
            <w:hyperlink r:id="rId161" w:history="1">
              <w:r w:rsidRPr="00B87BD8">
                <w:rPr>
                  <w:rFonts w:asciiTheme="minorHAnsi" w:eastAsiaTheme="minorHAnsi" w:hAnsiTheme="minorHAnsi" w:cstheme="minorHAnsi"/>
                  <w:u w:val="single"/>
                </w:rPr>
                <w:t>https://www.viatoll.pl/en/a/627-viatoll-system-expansion-2014-regulation-draft</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[46]</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The viaTOLL system – nearly 150 kilometers of new toll roads in Poland. 2016. On-line. Dostupné na: </w:t>
            </w:r>
            <w:hyperlink r:id="rId162" w:history="1">
              <w:r w:rsidRPr="00B87BD8">
                <w:rPr>
                  <w:rFonts w:asciiTheme="minorHAnsi" w:eastAsiaTheme="minorHAnsi" w:hAnsiTheme="minorHAnsi" w:cstheme="minorHAnsi"/>
                  <w:u w:val="single"/>
                </w:rPr>
                <w:t>https://www.viatoll.pl/sk/a/the-viatoll-system-nearly-150-kilometers-of-new-toll-roads-in-poland</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[47]</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viaTOLL system expansion 2017. 2017. On-line. Dostupné na: </w:t>
            </w:r>
            <w:hyperlink r:id="rId163" w:history="1">
              <w:r w:rsidRPr="00B87BD8">
                <w:rPr>
                  <w:rFonts w:asciiTheme="minorHAnsi" w:eastAsiaTheme="minorHAnsi" w:hAnsiTheme="minorHAnsi" w:cstheme="minorHAnsi"/>
                  <w:u w:val="single"/>
                </w:rPr>
                <w:t>https://www.viatoll.pl/en/a/viatoll-system-expansion-2017</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[48]</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Lista odcinków płatnych. September 2019. On-line. Dostupné na: </w:t>
            </w:r>
            <w:hyperlink r:id="rId164" w:history="1">
              <w:r w:rsidRPr="00B87BD8">
                <w:rPr>
                  <w:rFonts w:asciiTheme="minorHAnsi" w:eastAsiaTheme="minorHAnsi" w:hAnsiTheme="minorHAnsi" w:cstheme="minorHAnsi"/>
                  <w:u w:val="single"/>
                </w:rPr>
                <w:t>https://www.viatoll.pl/pl/pojazdy-ciezarowe/mapa/lista-odcinkow-platnych</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[49]</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viaTOLL:  Sieć dróg systemu viaTOLL. September 2019. On-line. Dostupné na: </w:t>
            </w:r>
            <w:hyperlink r:id="rId165" w:history="1">
              <w:r w:rsidRPr="00B87BD8">
                <w:rPr>
                  <w:rFonts w:asciiTheme="minorHAnsi" w:eastAsiaTheme="minorHAnsi" w:hAnsiTheme="minorHAnsi" w:cstheme="minorHAnsi"/>
                  <w:u w:val="single"/>
                </w:rPr>
                <w:t>https://www.viatoll.pl/pl/pojazdy-ciezarowe/mapa/siec-drog-systemu-viatoll</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[50]</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Instytut Staszica: KRAJOWY SYSTEM POBORU OPŁAT: CZY NASTĄPIŁA DOBRA ZMIANA? Warszawa. 2019. On-line. Dostupné na: </w:t>
            </w:r>
            <w:hyperlink r:id="rId166" w:history="1">
              <w:r w:rsidRPr="00B87BD8">
                <w:rPr>
                  <w:rStyle w:val="Hypertextovprepojenie"/>
                  <w:rFonts w:asciiTheme="minorHAnsi" w:hAnsiTheme="minorHAnsi" w:cstheme="minorHAnsi"/>
                </w:rPr>
                <w:t>http://instytutstaszica.org/wp-content/uploads/2019/06/Krajowy-System-Poboru-Op%C5%82at.-Czy-nast%C4%85pi%C5%82a-dobra-zmiana.pdf</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[51]</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Izdebski, M. a kol.:  SYSTEM POBORU OPŁAT DROGOWYCH Analiza, wnioski, rekomendacje. Warszawa, 2016. On-line. Dostupné na: </w:t>
            </w:r>
            <w:hyperlink r:id="rId167" w:history="1">
              <w:r w:rsidRPr="00B87BD8">
                <w:rPr>
                  <w:rStyle w:val="Hypertextovprepojenie"/>
                  <w:rFonts w:asciiTheme="minorHAnsi" w:hAnsiTheme="minorHAnsi" w:cstheme="minorHAnsi"/>
                </w:rPr>
                <w:t>https://fundacjarepublikanska.org/wp-content/uploads/2016/11/raport-system-poboru-oplat-drogowych.pdf</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[52]</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Jakubowski B. – Mazur, B. – Rychlewski, J.: Odkorkować Polskę Propozycja zrównoważonego systemu poboru opłat drogowych. 2016. On-line. Dostupne na: </w:t>
            </w:r>
            <w:hyperlink r:id="rId168" w:history="1">
              <w:r w:rsidRPr="00B87BD8">
                <w:rPr>
                  <w:rStyle w:val="Hypertextovprepojenie"/>
                  <w:rFonts w:asciiTheme="minorHAnsi" w:hAnsiTheme="minorHAnsi" w:cstheme="minorHAnsi"/>
                </w:rPr>
                <w:t>https://www.academia.edu/27334713/Odkorkowa%C4%87_Polsk%C4%99._Propozycja_zr%C3%B3wnowa%C5%BConego_systemu_poboru_op%C5%82at_drogowych</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[53]</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Najwyższa Izba Kontroli: PRZYGOTOWANIE ADMINISTRACJI RZĄDOWEJ DO PROWADZENIA ELEKTRONICZNEGO POBORU OPŁAT DROGOWYCH PO 2018 ROKU. KIN.430.012.2019. Nr ewid.: 151/2019/I/17/001/KIN. 2019</w:t>
            </w:r>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bookmarkStart w:id="512" w:name="OLE_LINK2"/>
            <w:r w:rsidRPr="00B87BD8">
              <w:rPr>
                <w:rFonts w:asciiTheme="minorHAnsi" w:hAnsiTheme="minorHAnsi" w:cstheme="minorHAnsi"/>
                <w:lang w:val="en-US"/>
              </w:rPr>
              <w:t>[54]</w:t>
            </w:r>
            <w:bookmarkEnd w:id="512"/>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General Directorate for National Roads and Motorways: Generalny Pomiar Ruchu w roku 2015. On-line. Dostupné na: </w:t>
            </w:r>
            <w:hyperlink r:id="rId169" w:history="1">
              <w:r w:rsidRPr="00B87BD8">
                <w:rPr>
                  <w:rStyle w:val="Hypertextovprepojenie"/>
                  <w:rFonts w:asciiTheme="minorHAnsi" w:hAnsiTheme="minorHAnsi" w:cstheme="minorHAnsi"/>
                </w:rPr>
                <w:t>https://www.gddkia.gov.pl/pl/2551/GPR-2015</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[55]</w:t>
            </w:r>
          </w:p>
        </w:tc>
        <w:tc>
          <w:tcPr>
            <w:tcW w:w="8896" w:type="dxa"/>
          </w:tcPr>
          <w:p w:rsidR="00F371E1" w:rsidRPr="00B87BD8" w:rsidRDefault="00F371E1" w:rsidP="00FF200E">
            <w:pPr>
              <w:pStyle w:val="Normaltext"/>
              <w:spacing w:before="60" w:after="60"/>
              <w:rPr>
                <w:rFonts w:asciiTheme="minorHAnsi" w:hAnsiTheme="minorHAnsi" w:cstheme="minorHAnsi"/>
              </w:rPr>
            </w:pPr>
            <w:r w:rsidRPr="00B87BD8">
              <w:rPr>
                <w:rFonts w:asciiTheme="minorHAnsi" w:hAnsiTheme="minorHAnsi" w:cstheme="minorHAnsi"/>
              </w:rPr>
              <w:t xml:space="preserve">General Directorate for National Roads and Motorways: Polish Roads Projects Financing. Istanbul May/June 2016. On-line. Dostupné na: </w:t>
            </w:r>
            <w:hyperlink r:id="rId170" w:history="1">
              <w:r w:rsidRPr="00B87BD8">
                <w:rPr>
                  <w:rStyle w:val="Hypertextovprepojenie"/>
                  <w:rFonts w:asciiTheme="minorHAnsi" w:hAnsiTheme="minorHAnsi" w:cstheme="minorHAnsi"/>
                </w:rPr>
                <w:t>https://www.unece.org/fileadmin/DAM/trans/doc/2016/TEM/Poland.pdf</w:t>
              </w:r>
            </w:hyperlink>
          </w:p>
        </w:tc>
      </w:tr>
      <w:tr w:rsidR="00F371E1" w:rsidRPr="00B87BD8" w:rsidTr="00FF200E">
        <w:trPr>
          <w:trHeight w:val="218"/>
        </w:trPr>
        <w:tc>
          <w:tcPr>
            <w:tcW w:w="675" w:type="dxa"/>
            <w:vAlign w:val="center"/>
          </w:tcPr>
          <w:p w:rsidR="00F371E1" w:rsidRPr="00B87BD8" w:rsidRDefault="00F371E1" w:rsidP="00FF200E">
            <w:pPr>
              <w:pStyle w:val="Normaltext"/>
              <w:spacing w:before="60" w:after="60"/>
              <w:jc w:val="center"/>
              <w:rPr>
                <w:rFonts w:asciiTheme="minorHAnsi" w:hAnsiTheme="minorHAnsi" w:cstheme="minorHAnsi"/>
                <w:lang w:val="en-US"/>
              </w:rPr>
            </w:pPr>
            <w:r w:rsidRPr="00B87BD8">
              <w:rPr>
                <w:rFonts w:asciiTheme="minorHAnsi" w:hAnsiTheme="minorHAnsi" w:cstheme="minorHAnsi"/>
                <w:lang w:val="en-US"/>
              </w:rPr>
              <w:t>[56]</w:t>
            </w:r>
          </w:p>
        </w:tc>
        <w:tc>
          <w:tcPr>
            <w:tcW w:w="8896" w:type="dxa"/>
          </w:tcPr>
          <w:p w:rsidR="00F371E1" w:rsidRPr="00B87BD8" w:rsidRDefault="00F371E1" w:rsidP="00FF200E">
            <w:pPr>
              <w:spacing w:before="60" w:after="60"/>
              <w:rPr>
                <w:rFonts w:asciiTheme="minorHAnsi" w:hAnsiTheme="minorHAnsi" w:cstheme="minorHAnsi"/>
                <w:b/>
                <w:bCs/>
              </w:rPr>
            </w:pPr>
            <w:r w:rsidRPr="00B87BD8">
              <w:rPr>
                <w:rFonts w:asciiTheme="minorHAnsi" w:hAnsiTheme="minorHAnsi" w:cstheme="minorHAnsi"/>
              </w:rPr>
              <w:t xml:space="preserve">viaTOLL: 7 lat systemu viaTOLL – przychody przekroczyły 10 mld zł. 2018. On-line. Dostupné na: </w:t>
            </w:r>
            <w:hyperlink r:id="rId171" w:history="1">
              <w:r w:rsidRPr="00B87BD8">
                <w:rPr>
                  <w:rStyle w:val="Hypertextovprepojenie"/>
                  <w:rFonts w:asciiTheme="minorHAnsi" w:hAnsiTheme="minorHAnsi" w:cstheme="minorHAnsi"/>
                </w:rPr>
                <w:t>https://www.viatoll.pl/pl/a/7-lat-systemu-viatoll-przychody-przekroczyly-10-mld-zl</w:t>
              </w:r>
            </w:hyperlink>
          </w:p>
        </w:tc>
      </w:tr>
      <w:tr w:rsidR="00F371E1" w:rsidRPr="00B519DF" w:rsidTr="00FF200E">
        <w:trPr>
          <w:trHeight w:val="218"/>
        </w:trPr>
        <w:tc>
          <w:tcPr>
            <w:tcW w:w="675" w:type="dxa"/>
            <w:vAlign w:val="center"/>
          </w:tcPr>
          <w:p w:rsidR="00F371E1" w:rsidRPr="00B87BD8" w:rsidRDefault="00F371E1" w:rsidP="00FF200E">
            <w:pPr>
              <w:rPr>
                <w:lang w:val="en-US"/>
              </w:rPr>
            </w:pPr>
            <w:r>
              <w:rPr>
                <w:lang w:val="en-US"/>
              </w:rPr>
              <w:t>[57</w:t>
            </w:r>
            <w:r w:rsidRPr="00B87BD8">
              <w:rPr>
                <w:lang w:val="en-US"/>
              </w:rPr>
              <w:t>]</w:t>
            </w:r>
          </w:p>
        </w:tc>
        <w:tc>
          <w:tcPr>
            <w:tcW w:w="8896" w:type="dxa"/>
          </w:tcPr>
          <w:p w:rsidR="00F371E1" w:rsidRPr="00B519DF" w:rsidRDefault="00F371E1" w:rsidP="00FF200E">
            <w:pPr>
              <w:rPr>
                <w:caps/>
                <w:lang w:val="en-US"/>
              </w:rPr>
            </w:pPr>
            <w:r w:rsidRPr="00B519DF">
              <w:rPr>
                <w:lang w:val="en-US"/>
              </w:rPr>
              <w:t xml:space="preserve">viaTOLL: 6,3 mld złotych w 5 lat – przychody systemu viaTOLL. On-line. Dostupné na: </w:t>
            </w:r>
            <w:hyperlink r:id="rId172" w:history="1">
              <w:r w:rsidRPr="00B519DF">
                <w:rPr>
                  <w:lang w:val="en-US"/>
                </w:rPr>
                <w:t>https://www.viatoll.pl/pl/a/832-6-3-mld-zlotych-w-5-lat-przychody-systemu-viatoll</w:t>
              </w:r>
            </w:hyperlink>
          </w:p>
        </w:tc>
      </w:tr>
      <w:tr w:rsidR="00E73CE4" w:rsidRPr="00B519DF" w:rsidTr="00FF200E">
        <w:trPr>
          <w:trHeight w:val="218"/>
        </w:trPr>
        <w:tc>
          <w:tcPr>
            <w:tcW w:w="675" w:type="dxa"/>
            <w:vAlign w:val="center"/>
          </w:tcPr>
          <w:p w:rsidR="00E73CE4" w:rsidRDefault="00E73CE4" w:rsidP="00E73CE4">
            <w:pPr>
              <w:rPr>
                <w:lang w:val="en-US"/>
              </w:rPr>
            </w:pPr>
            <w:r>
              <w:rPr>
                <w:lang w:val="en-US"/>
              </w:rPr>
              <w:t>[58</w:t>
            </w:r>
            <w:r w:rsidRPr="00B87BD8">
              <w:rPr>
                <w:lang w:val="en-US"/>
              </w:rPr>
              <w:t>]</w:t>
            </w:r>
          </w:p>
        </w:tc>
        <w:tc>
          <w:tcPr>
            <w:tcW w:w="8896" w:type="dxa"/>
          </w:tcPr>
          <w:p w:rsidR="00E73CE4" w:rsidRPr="00B519DF" w:rsidRDefault="00E73CE4" w:rsidP="00E73CE4">
            <w:pPr>
              <w:rPr>
                <w:lang w:val="en-US"/>
              </w:rPr>
            </w:pPr>
            <w:r>
              <w:rPr>
                <w:lang w:val="en-US"/>
              </w:rPr>
              <w:t>Weidauer </w:t>
            </w:r>
            <w:r w:rsidRPr="00E73CE4">
              <w:rPr>
                <w:lang w:val="en-US"/>
              </w:rPr>
              <w:t>M</w:t>
            </w:r>
            <w:r>
              <w:rPr>
                <w:lang w:val="en-US"/>
              </w:rPr>
              <w:t>.</w:t>
            </w:r>
            <w:r w:rsidRPr="00E73CE4">
              <w:rPr>
                <w:lang w:val="en-US"/>
              </w:rPr>
              <w:t>: Siedlungsstrukturell differenzierte Kosten der Straßenbefahrung. Infrastruktur-, Unfall-, Stau-, Umweltkosten und Abgaben des Kfz-Verkehrs ermittelt am Beispiel der Stadt Kassel. 2013. ISBN:978-3-7322-8346-0, 152s.</w:t>
            </w:r>
          </w:p>
        </w:tc>
      </w:tr>
      <w:tr w:rsidR="00B16D53" w:rsidRPr="00B519DF" w:rsidTr="00FF200E">
        <w:trPr>
          <w:trHeight w:val="218"/>
        </w:trPr>
        <w:tc>
          <w:tcPr>
            <w:tcW w:w="675" w:type="dxa"/>
            <w:vAlign w:val="center"/>
          </w:tcPr>
          <w:p w:rsidR="00B16D53" w:rsidRDefault="00B16D53" w:rsidP="00E73CE4">
            <w:pPr>
              <w:rPr>
                <w:lang w:val="en-US"/>
              </w:rPr>
            </w:pPr>
          </w:p>
        </w:tc>
        <w:tc>
          <w:tcPr>
            <w:tcW w:w="8896" w:type="dxa"/>
          </w:tcPr>
          <w:p w:rsidR="00B16D53" w:rsidRPr="00B16D53" w:rsidRDefault="00B16D53" w:rsidP="00B16D53">
            <w:r>
              <w:t xml:space="preserve">Tichý, J. : Kalkulace nákladů v silniční dopravě: Komplexní příklad. 2018. In: </w:t>
            </w:r>
            <w:r w:rsidRPr="00B16D53">
              <w:t>Verlag Dashöfer</w:t>
            </w:r>
            <w:r>
              <w:t xml:space="preserve">. </w:t>
            </w:r>
            <w:r w:rsidRPr="00B519DF">
              <w:rPr>
                <w:lang w:val="en-US"/>
              </w:rPr>
              <w:t>On-line. Dostupné na:</w:t>
            </w:r>
            <w:r>
              <w:rPr>
                <w:lang w:val="en-US"/>
              </w:rPr>
              <w:t xml:space="preserve"> </w:t>
            </w:r>
            <w:hyperlink r:id="rId173" w:history="1">
              <w:r>
                <w:rPr>
                  <w:rStyle w:val="Hypertextovprepojenie"/>
                </w:rPr>
                <w:t>https://www.dlprofi.cz/33/kalkulace-nakladu-v-silnicni-doprave-komplexni-priklad-uniqueidmRRWSbk196FNf8-jVUh4EuZ5INfB-kNkjPbT5GkW9f8/</w:t>
              </w:r>
            </w:hyperlink>
          </w:p>
        </w:tc>
      </w:tr>
    </w:tbl>
    <w:p w:rsidR="00F371E1" w:rsidRPr="00F371E1" w:rsidRDefault="00F371E1" w:rsidP="00F371E1">
      <w:pPr>
        <w:pStyle w:val="Normaltext"/>
      </w:pPr>
    </w:p>
    <w:p w:rsidR="0021472A" w:rsidRDefault="0021472A" w:rsidP="00F371E1">
      <w:pPr>
        <w:pStyle w:val="Nadpis1"/>
        <w:numPr>
          <w:ilvl w:val="0"/>
          <w:numId w:val="0"/>
        </w:numPr>
      </w:pPr>
      <w:bookmarkStart w:id="513" w:name="_Toc36664442"/>
      <w:r>
        <w:t>Prílohy</w:t>
      </w:r>
      <w:bookmarkEnd w:id="513"/>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21472A" w:rsidRDefault="0021472A" w:rsidP="0021472A">
      <w:pPr>
        <w:pStyle w:val="Normaltext"/>
      </w:pPr>
    </w:p>
    <w:p w:rsidR="0098463D" w:rsidRDefault="0021472A" w:rsidP="0021472A">
      <w:pPr>
        <w:pStyle w:val="Normaltext"/>
        <w:jc w:val="center"/>
        <w:rPr>
          <w:rStyle w:val="Siln"/>
          <w:sz w:val="24"/>
        </w:rPr>
        <w:sectPr w:rsidR="0098463D" w:rsidSect="00135588">
          <w:headerReference w:type="default" r:id="rId174"/>
          <w:footerReference w:type="default" r:id="rId175"/>
          <w:pgSz w:w="11907" w:h="16840" w:code="9"/>
          <w:pgMar w:top="1985" w:right="1134" w:bottom="1440" w:left="1418" w:header="567" w:footer="204" w:gutter="0"/>
          <w:cols w:space="240"/>
          <w:docGrid w:linePitch="299"/>
        </w:sectPr>
      </w:pPr>
      <w:r w:rsidRPr="0098463D">
        <w:rPr>
          <w:rStyle w:val="Siln"/>
          <w:sz w:val="24"/>
        </w:rPr>
        <w:t>Príloha 1 Vývoj mýtnych sadzieb</w:t>
      </w:r>
      <w:r w:rsidR="0048319F">
        <w:rPr>
          <w:rStyle w:val="Siln"/>
          <w:sz w:val="24"/>
        </w:rPr>
        <w:t xml:space="preserve"> v porovnávaných krajinách</w:t>
      </w:r>
      <w:r w:rsidRPr="0098463D">
        <w:rPr>
          <w:rStyle w:val="Siln"/>
          <w:sz w:val="24"/>
        </w:rPr>
        <w:t xml:space="preserve"> </w:t>
      </w:r>
      <w:r w:rsidR="0048319F">
        <w:rPr>
          <w:rStyle w:val="Siln"/>
          <w:sz w:val="24"/>
        </w:rPr>
        <w:t xml:space="preserve"> </w:t>
      </w:r>
    </w:p>
    <w:p w:rsidR="0098463D" w:rsidRDefault="00384C65" w:rsidP="0021472A">
      <w:pPr>
        <w:pStyle w:val="Normaltext"/>
        <w:jc w:val="center"/>
        <w:rPr>
          <w:rStyle w:val="Siln"/>
          <w:sz w:val="24"/>
        </w:rPr>
      </w:pPr>
      <w:r>
        <w:rPr>
          <w:rStyle w:val="Siln"/>
          <w:sz w:val="24"/>
        </w:rPr>
        <w:t>Vývoj mýtnych sadzieb na Slovensku</w:t>
      </w:r>
      <w:r w:rsidR="00F50873">
        <w:rPr>
          <w:rStyle w:val="Siln"/>
          <w:sz w:val="24"/>
        </w:rPr>
        <w:t xml:space="preserve"> (2010 – 2019)</w:t>
      </w:r>
    </w:p>
    <w:tbl>
      <w:tblPr>
        <w:tblW w:w="5000" w:type="pct"/>
        <w:tblLayout w:type="fixed"/>
        <w:tblCellMar>
          <w:left w:w="70" w:type="dxa"/>
          <w:right w:w="70" w:type="dxa"/>
        </w:tblCellMar>
        <w:tblLook w:val="04A0" w:firstRow="1" w:lastRow="0" w:firstColumn="1" w:lastColumn="0" w:noHBand="0" w:noVBand="1"/>
      </w:tblPr>
      <w:tblGrid>
        <w:gridCol w:w="469"/>
        <w:gridCol w:w="1157"/>
        <w:gridCol w:w="690"/>
        <w:gridCol w:w="764"/>
        <w:gridCol w:w="775"/>
        <w:gridCol w:w="1089"/>
        <w:gridCol w:w="368"/>
        <w:gridCol w:w="914"/>
        <w:gridCol w:w="690"/>
        <w:gridCol w:w="679"/>
        <w:gridCol w:w="85"/>
        <w:gridCol w:w="775"/>
        <w:gridCol w:w="1089"/>
        <w:gridCol w:w="368"/>
        <w:gridCol w:w="914"/>
        <w:gridCol w:w="690"/>
        <w:gridCol w:w="764"/>
        <w:gridCol w:w="775"/>
        <w:gridCol w:w="1089"/>
      </w:tblGrid>
      <w:tr w:rsidR="00384C65" w:rsidRPr="0098463D" w:rsidTr="009111C8">
        <w:trPr>
          <w:trHeight w:val="240"/>
          <w:tblHeader/>
        </w:trPr>
        <w:tc>
          <w:tcPr>
            <w:tcW w:w="1748" w:type="pct"/>
            <w:gridSpan w:val="6"/>
            <w:tcBorders>
              <w:top w:val="single" w:sz="4" w:space="0" w:color="auto"/>
              <w:left w:val="single" w:sz="4" w:space="0" w:color="auto"/>
              <w:bottom w:val="nil"/>
              <w:right w:val="single" w:sz="4" w:space="0" w:color="auto"/>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r w:rsidRPr="0098463D">
              <w:rPr>
                <w:rFonts w:asciiTheme="minorHAnsi" w:hAnsiTheme="minorHAnsi" w:cstheme="minorHAnsi"/>
                <w:b/>
                <w:color w:val="FFFFFF"/>
                <w:sz w:val="16"/>
                <w:szCs w:val="18"/>
                <w:lang w:eastAsia="sk-SK"/>
              </w:rPr>
              <w:t>Diaľnice a rýchlostné cesty</w:t>
            </w:r>
          </w:p>
        </w:tc>
        <w:tc>
          <w:tcPr>
            <w:tcW w:w="1626" w:type="pct"/>
            <w:gridSpan w:val="7"/>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r w:rsidRPr="0098463D">
              <w:rPr>
                <w:rFonts w:asciiTheme="minorHAnsi" w:hAnsiTheme="minorHAnsi" w:cstheme="minorHAnsi"/>
                <w:b/>
                <w:color w:val="FFFFFF"/>
                <w:sz w:val="16"/>
                <w:szCs w:val="18"/>
                <w:lang w:eastAsia="sk-SK"/>
              </w:rPr>
              <w:t>Cesty I. triedy súbežné s diaľnicami a s rýchlostnými cestami   </w:t>
            </w:r>
          </w:p>
        </w:tc>
        <w:tc>
          <w:tcPr>
            <w:tcW w:w="1626" w:type="pct"/>
            <w:gridSpan w:val="6"/>
            <w:tcBorders>
              <w:top w:val="single" w:sz="4" w:space="0" w:color="auto"/>
              <w:left w:val="single" w:sz="4" w:space="0" w:color="auto"/>
              <w:bottom w:val="nil"/>
              <w:right w:val="single" w:sz="4" w:space="0" w:color="000000"/>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r w:rsidRPr="0098463D">
              <w:rPr>
                <w:rFonts w:asciiTheme="minorHAnsi" w:hAnsiTheme="minorHAnsi" w:cstheme="minorHAnsi"/>
                <w:b/>
                <w:color w:val="FFFFFF"/>
                <w:sz w:val="16"/>
                <w:szCs w:val="18"/>
                <w:lang w:eastAsia="sk-SK"/>
              </w:rPr>
              <w:t xml:space="preserve">Cesty I. triedy nesúbežné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2019</w:t>
            </w:r>
          </w:p>
        </w:tc>
        <w:tc>
          <w:tcPr>
            <w:tcW w:w="653"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929" w:type="pct"/>
            <w:gridSpan w:val="3"/>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Emisná trieda </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929" w:type="pct"/>
            <w:gridSpan w:val="4"/>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Emisná trieda </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929" w:type="pct"/>
            <w:gridSpan w:val="3"/>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Emisná trieda </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0,108</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0,098</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0,108</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0,098</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0,076</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0,066</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12 t a viac</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0,231</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0,209</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0,231</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0,209</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0,244</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0,244</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0,147</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0,253</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0,228</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0,198</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0,253</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0,228</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0,198</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0,195</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0,176</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0,244</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0,244</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0,147</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0,053</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 12 t a viac</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0,116</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66"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13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85"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130" w:type="pct"/>
            <w:tcBorders>
              <w:top w:val="nil"/>
              <w:left w:val="single" w:sz="4" w:space="0" w:color="auto"/>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4" w:type="pct"/>
            <w:tcBorders>
              <w:top w:val="nil"/>
              <w:left w:val="nil"/>
              <w:bottom w:val="nil"/>
              <w:right w:val="nil"/>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626" w:type="pct"/>
            <w:gridSpan w:val="7"/>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 xml:space="preserve">Cesty I. triedy nesúbežné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2018</w:t>
            </w:r>
          </w:p>
        </w:tc>
        <w:tc>
          <w:tcPr>
            <w:tcW w:w="653"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EURO O - II</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EURO III, IV</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EURO V, VI, EEV</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O - II</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O - II</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0,105</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0,095</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0,082</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0,095</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0,082</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0,082</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0,224</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0,203</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0,176</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0,224</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0,203</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0,176</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0,176</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0,159</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0,237</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0,214</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0,185</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0,237</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0,214</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0,167</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0,246</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0,222</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0,192</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0,246</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0,222</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0,192</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0,171</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0,237</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0,214</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0,185</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0,237</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0,214</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0,167</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0,062</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0,051</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0,031</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0,041</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0,031</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0,021</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0,041</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0,031</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0,021</w:t>
            </w:r>
          </w:p>
        </w:tc>
      </w:tr>
      <w:tr w:rsidR="00384C65" w:rsidRPr="0098463D" w:rsidTr="00384C65">
        <w:trPr>
          <w:trHeight w:val="240"/>
        </w:trPr>
        <w:tc>
          <w:tcPr>
            <w:tcW w:w="166"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0,112</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0,102</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0,062</w:t>
            </w:r>
          </w:p>
        </w:tc>
        <w:tc>
          <w:tcPr>
            <w:tcW w:w="13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0,082</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0,072</w:t>
            </w:r>
          </w:p>
        </w:tc>
        <w:tc>
          <w:tcPr>
            <w:tcW w:w="385"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0,041</w:t>
            </w:r>
          </w:p>
        </w:tc>
        <w:tc>
          <w:tcPr>
            <w:tcW w:w="130" w:type="pct"/>
            <w:tcBorders>
              <w:top w:val="nil"/>
              <w:left w:val="single" w:sz="4" w:space="0" w:color="auto"/>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0,082</w:t>
            </w:r>
          </w:p>
        </w:tc>
        <w:tc>
          <w:tcPr>
            <w:tcW w:w="274" w:type="pct"/>
            <w:tcBorders>
              <w:top w:val="nil"/>
              <w:left w:val="nil"/>
              <w:bottom w:val="nil"/>
              <w:right w:val="nil"/>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0,072</w:t>
            </w:r>
          </w:p>
        </w:tc>
        <w:tc>
          <w:tcPr>
            <w:tcW w:w="385" w:type="pct"/>
            <w:tcBorders>
              <w:top w:val="nil"/>
              <w:left w:val="nil"/>
              <w:bottom w:val="nil"/>
              <w:right w:val="single" w:sz="4" w:space="0" w:color="auto"/>
            </w:tcBorders>
            <w:shd w:val="clear" w:color="000000" w:fill="DDD9C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0,041</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626" w:type="pct"/>
            <w:gridSpan w:val="7"/>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 xml:space="preserve">Cesty I. triedy nesúbežné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2017</w:t>
            </w:r>
          </w:p>
        </w:tc>
        <w:tc>
          <w:tcPr>
            <w:tcW w:w="653"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EURO 0 – II</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EURO III, IV</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EURO V, VI, EEV</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0,072</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0,062</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0,103</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0,093</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0,08</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0,103</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0,133</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0,199</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0,172</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0,199</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0,232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0,214</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0,181</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0,167</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0,241</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0,218</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0,188</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0,241</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0,218</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0,188</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0,232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0,21</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0,181</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0,232</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0,064</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0,053</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0,032</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66"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0,116</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0,105</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333333"/>
                <w:sz w:val="16"/>
                <w:szCs w:val="18"/>
                <w:lang w:eastAsia="sk-SK"/>
              </w:rPr>
            </w:pPr>
            <w:r w:rsidRPr="00F50873">
              <w:rPr>
                <w:rFonts w:asciiTheme="minorHAnsi" w:hAnsiTheme="minorHAnsi" w:cstheme="minorHAnsi"/>
                <w:color w:val="333333"/>
                <w:sz w:val="16"/>
                <w:szCs w:val="18"/>
                <w:lang w:eastAsia="sk-SK"/>
              </w:rPr>
              <w:t>0,064</w:t>
            </w:r>
          </w:p>
        </w:tc>
        <w:tc>
          <w:tcPr>
            <w:tcW w:w="13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385"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130" w:type="pct"/>
            <w:tcBorders>
              <w:top w:val="nil"/>
              <w:left w:val="single" w:sz="4" w:space="0" w:color="auto"/>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4" w:type="pct"/>
            <w:tcBorders>
              <w:top w:val="nil"/>
              <w:left w:val="nil"/>
              <w:bottom w:val="nil"/>
              <w:right w:val="nil"/>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85" w:type="pct"/>
            <w:tcBorders>
              <w:top w:val="nil"/>
              <w:left w:val="nil"/>
              <w:bottom w:val="nil"/>
              <w:right w:val="single" w:sz="4" w:space="0" w:color="auto"/>
            </w:tcBorders>
            <w:shd w:val="clear" w:color="000000" w:fill="C5D9F1"/>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626" w:type="pct"/>
            <w:gridSpan w:val="7"/>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 xml:space="preserve">Cesty I. triedy nesúbežné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2016</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O - II</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a EEV</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O - II</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a EEV</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0, 103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0, 080</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0,072</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0,062</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0, 221</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0, 200</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0, 172</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0,221</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0,133</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0, 233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0,211</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0, 181</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0,211</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0, 242</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0, 219</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0, 188</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0,242</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0,219</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0,188</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0,167</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0, 233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0, 211</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0, 181</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0,211</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0,053</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0,116</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13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385"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130" w:type="pct"/>
            <w:tcBorders>
              <w:top w:val="nil"/>
              <w:left w:val="single" w:sz="4" w:space="0" w:color="auto"/>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F2DDD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626" w:type="pct"/>
            <w:gridSpan w:val="7"/>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 xml:space="preserve">Cesty I. triedy nesúbežné s diaľnicami a s rýchlostnými cestami </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2015</w:t>
            </w:r>
          </w:p>
        </w:tc>
        <w:tc>
          <w:tcPr>
            <w:tcW w:w="653"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a EEV</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a EEV</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 – II</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a EEV</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0,103</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0,103</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0,072</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0,062</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0,222</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0,201</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0,222</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0,201</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0,133</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0,243</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0,188</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0,243</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0,188</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0,167</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F50873">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0,053</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auto" w:fill="EAF1DD" w:themeFill="accent3" w:themeFillTint="3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0,116</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385" w:type="pct"/>
            <w:tcBorders>
              <w:top w:val="nil"/>
              <w:left w:val="nil"/>
              <w:bottom w:val="nil"/>
              <w:right w:val="single" w:sz="4" w:space="0" w:color="auto"/>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13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gridSpan w:val="2"/>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385"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130" w:type="pct"/>
            <w:tcBorders>
              <w:top w:val="nil"/>
              <w:left w:val="single" w:sz="4" w:space="0" w:color="auto"/>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EAF1DD"/>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F2F2F2"/>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626" w:type="pct"/>
            <w:gridSpan w:val="7"/>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 xml:space="preserve">Cesty I. triedy nesúbežné s diaľnicami a s rýchlostnými cestami </w:t>
            </w:r>
          </w:p>
        </w:tc>
      </w:tr>
      <w:tr w:rsidR="00384C65" w:rsidRPr="0098463D" w:rsidTr="00F50873">
        <w:trPr>
          <w:trHeight w:val="240"/>
        </w:trPr>
        <w:tc>
          <w:tcPr>
            <w:tcW w:w="166" w:type="pct"/>
            <w:tcBorders>
              <w:top w:val="nil"/>
              <w:left w:val="single" w:sz="4" w:space="0" w:color="auto"/>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2014</w:t>
            </w:r>
          </w:p>
        </w:tc>
        <w:tc>
          <w:tcPr>
            <w:tcW w:w="653" w:type="pct"/>
            <w:gridSpan w:val="2"/>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p>
        </w:tc>
        <w:tc>
          <w:tcPr>
            <w:tcW w:w="270"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p>
        </w:tc>
        <w:tc>
          <w:tcPr>
            <w:tcW w:w="567" w:type="pct"/>
            <w:gridSpan w:val="2"/>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304" w:type="pct"/>
            <w:gridSpan w:val="2"/>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single" w:sz="4" w:space="0" w:color="auto"/>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p>
        </w:tc>
        <w:tc>
          <w:tcPr>
            <w:tcW w:w="567" w:type="pct"/>
            <w:gridSpan w:val="2"/>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p>
        </w:tc>
        <w:tc>
          <w:tcPr>
            <w:tcW w:w="270"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5E0EC"/>
            <w:noWrap/>
            <w:vAlign w:val="center"/>
            <w:hideMark/>
          </w:tcPr>
          <w:p w:rsidR="00384C65" w:rsidRPr="00F50873" w:rsidRDefault="00384C65" w:rsidP="00F50873">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0,103</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0,062</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0,222</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0,201</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0,222</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0,201</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0,172</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0,188</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0,243</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0,22</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0,188</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0,185</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0,167</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0,234</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0,212</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0,181</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0,164</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0,053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0,116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13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w:t>
            </w:r>
          </w:p>
        </w:tc>
        <w:tc>
          <w:tcPr>
            <w:tcW w:w="304"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385"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w:t>
            </w: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30"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1496" w:type="pct"/>
            <w:gridSpan w:val="6"/>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2013</w:t>
            </w:r>
          </w:p>
        </w:tc>
        <w:tc>
          <w:tcPr>
            <w:tcW w:w="653" w:type="pct"/>
            <w:gridSpan w:val="2"/>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0,086</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0,083</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0,183</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0,202</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0,209</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0,199</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0,196</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0,149</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0,206</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0,053</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0,116</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DBEEF3"/>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30"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23"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244"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240"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04" w:type="pct"/>
            <w:gridSpan w:val="2"/>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85"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2012</w:t>
            </w:r>
          </w:p>
        </w:tc>
        <w:tc>
          <w:tcPr>
            <w:tcW w:w="653"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0,083</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0,202</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0,209</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0,199</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0,196</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0,149</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0,053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0,116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0,105</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0,064</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Diaľnice a rýchlostné cesty</w:t>
            </w:r>
          </w:p>
        </w:tc>
        <w:tc>
          <w:tcPr>
            <w:tcW w:w="130"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23"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244"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240"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04" w:type="pct"/>
            <w:gridSpan w:val="2"/>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85" w:type="pct"/>
            <w:tcBorders>
              <w:top w:val="nil"/>
              <w:left w:val="nil"/>
              <w:bottom w:val="nil"/>
              <w:right w:val="nil"/>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F50873" w:rsidRDefault="00384C65" w:rsidP="00384C65">
            <w:pPr>
              <w:spacing w:before="0" w:after="0" w:line="240" w:lineRule="auto"/>
              <w:jc w:val="left"/>
              <w:rPr>
                <w:rFonts w:asciiTheme="minorHAnsi" w:hAnsiTheme="minorHAnsi" w:cstheme="minorHAnsi"/>
                <w:b/>
                <w:color w:val="FFFFFF"/>
                <w:sz w:val="16"/>
                <w:szCs w:val="18"/>
                <w:lang w:eastAsia="sk-SK"/>
              </w:rPr>
            </w:pPr>
            <w:r w:rsidRPr="00F50873">
              <w:rPr>
                <w:rFonts w:asciiTheme="minorHAnsi" w:hAnsiTheme="minorHAnsi" w:cstheme="minorHAnsi"/>
                <w:b/>
                <w:color w:val="FFFFFF"/>
                <w:sz w:val="16"/>
                <w:szCs w:val="18"/>
                <w:lang w:eastAsia="sk-SK"/>
              </w:rPr>
              <w:t>Cesty I. triedy 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b/>
                <w:color w:val="000000"/>
                <w:sz w:val="16"/>
                <w:szCs w:val="18"/>
                <w:lang w:eastAsia="sk-SK"/>
              </w:rPr>
            </w:pPr>
            <w:r w:rsidRPr="00F50873">
              <w:rPr>
                <w:rFonts w:asciiTheme="minorHAnsi" w:hAnsiTheme="minorHAnsi" w:cstheme="minorHAnsi"/>
                <w:b/>
                <w:color w:val="000000"/>
                <w:sz w:val="16"/>
                <w:szCs w:val="18"/>
                <w:lang w:eastAsia="sk-SK"/>
              </w:rPr>
              <w:t>2011</w:t>
            </w:r>
          </w:p>
        </w:tc>
        <w:tc>
          <w:tcPr>
            <w:tcW w:w="653" w:type="pct"/>
            <w:gridSpan w:val="2"/>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0,093</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0,086</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0,083</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0,183</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0,179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0,202</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0,209</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0,199</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0,196</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0,149</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0,206</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0,193</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0,189</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FDE9D9"/>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98463D" w:rsidRDefault="00384C65" w:rsidP="00384C65">
            <w:pPr>
              <w:spacing w:before="0" w:after="0" w:line="240" w:lineRule="auto"/>
              <w:jc w:val="left"/>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BUS</w:t>
            </w:r>
          </w:p>
        </w:tc>
        <w:tc>
          <w:tcPr>
            <w:tcW w:w="409"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3,5 t – do 12 t</w:t>
            </w:r>
          </w:p>
        </w:tc>
        <w:tc>
          <w:tcPr>
            <w:tcW w:w="24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 </w:t>
            </w:r>
          </w:p>
        </w:tc>
        <w:tc>
          <w:tcPr>
            <w:tcW w:w="270"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0,064</w:t>
            </w:r>
          </w:p>
        </w:tc>
        <w:tc>
          <w:tcPr>
            <w:tcW w:w="27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0,053</w:t>
            </w:r>
          </w:p>
        </w:tc>
        <w:tc>
          <w:tcPr>
            <w:tcW w:w="385" w:type="pct"/>
            <w:tcBorders>
              <w:top w:val="nil"/>
              <w:left w:val="nil"/>
              <w:bottom w:val="nil"/>
              <w:right w:val="single" w:sz="4" w:space="0" w:color="auto"/>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0,032</w:t>
            </w:r>
          </w:p>
        </w:tc>
        <w:tc>
          <w:tcPr>
            <w:tcW w:w="130"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323"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244"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240"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385"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BUS</w:t>
            </w:r>
          </w:p>
        </w:tc>
        <w:tc>
          <w:tcPr>
            <w:tcW w:w="323"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3,5 t – do 12 t</w:t>
            </w:r>
          </w:p>
        </w:tc>
        <w:tc>
          <w:tcPr>
            <w:tcW w:w="24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 </w:t>
            </w:r>
          </w:p>
        </w:tc>
        <w:tc>
          <w:tcPr>
            <w:tcW w:w="270"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0,043</w:t>
            </w:r>
          </w:p>
        </w:tc>
        <w:tc>
          <w:tcPr>
            <w:tcW w:w="27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0,032</w:t>
            </w:r>
          </w:p>
        </w:tc>
        <w:tc>
          <w:tcPr>
            <w:tcW w:w="385" w:type="pct"/>
            <w:tcBorders>
              <w:top w:val="nil"/>
              <w:left w:val="nil"/>
              <w:bottom w:val="nil"/>
              <w:right w:val="single" w:sz="4" w:space="0" w:color="auto"/>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0,022</w:t>
            </w:r>
          </w:p>
        </w:tc>
      </w:tr>
      <w:tr w:rsidR="00384C65" w:rsidRPr="0098463D" w:rsidTr="00384C65">
        <w:trPr>
          <w:trHeight w:val="240"/>
        </w:trPr>
        <w:tc>
          <w:tcPr>
            <w:tcW w:w="166" w:type="pct"/>
            <w:tcBorders>
              <w:top w:val="nil"/>
              <w:left w:val="single" w:sz="4" w:space="0" w:color="auto"/>
              <w:bottom w:val="nil"/>
              <w:right w:val="nil"/>
            </w:tcBorders>
            <w:shd w:val="clear" w:color="000000" w:fill="FDE9D9"/>
            <w:noWrap/>
            <w:vAlign w:val="bottom"/>
            <w:hideMark/>
          </w:tcPr>
          <w:p w:rsidR="00384C65" w:rsidRPr="0098463D" w:rsidRDefault="00384C65" w:rsidP="00384C65">
            <w:pPr>
              <w:spacing w:before="0" w:after="0" w:line="240" w:lineRule="auto"/>
              <w:jc w:val="left"/>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 </w:t>
            </w:r>
          </w:p>
        </w:tc>
        <w:tc>
          <w:tcPr>
            <w:tcW w:w="409"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12 t a viac</w:t>
            </w:r>
          </w:p>
        </w:tc>
        <w:tc>
          <w:tcPr>
            <w:tcW w:w="24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 </w:t>
            </w:r>
          </w:p>
        </w:tc>
        <w:tc>
          <w:tcPr>
            <w:tcW w:w="270"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0,116</w:t>
            </w:r>
          </w:p>
        </w:tc>
        <w:tc>
          <w:tcPr>
            <w:tcW w:w="27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0,105</w:t>
            </w:r>
          </w:p>
        </w:tc>
        <w:tc>
          <w:tcPr>
            <w:tcW w:w="385" w:type="pct"/>
            <w:tcBorders>
              <w:top w:val="nil"/>
              <w:left w:val="nil"/>
              <w:bottom w:val="nil"/>
              <w:right w:val="single" w:sz="4" w:space="0" w:color="auto"/>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0,064</w:t>
            </w:r>
          </w:p>
        </w:tc>
        <w:tc>
          <w:tcPr>
            <w:tcW w:w="130"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323"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244"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240"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385" w:type="pct"/>
            <w:tcBorders>
              <w:top w:val="nil"/>
              <w:left w:val="nil"/>
              <w:bottom w:val="nil"/>
              <w:right w:val="nil"/>
            </w:tcBorders>
            <w:shd w:val="clear" w:color="auto" w:fill="auto"/>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p>
        </w:tc>
        <w:tc>
          <w:tcPr>
            <w:tcW w:w="130" w:type="pct"/>
            <w:tcBorders>
              <w:top w:val="nil"/>
              <w:left w:val="single" w:sz="4" w:space="0" w:color="auto"/>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 </w:t>
            </w:r>
          </w:p>
        </w:tc>
        <w:tc>
          <w:tcPr>
            <w:tcW w:w="323"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12 t a viac</w:t>
            </w:r>
          </w:p>
        </w:tc>
        <w:tc>
          <w:tcPr>
            <w:tcW w:w="24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 </w:t>
            </w:r>
          </w:p>
        </w:tc>
        <w:tc>
          <w:tcPr>
            <w:tcW w:w="270"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0,085</w:t>
            </w:r>
          </w:p>
        </w:tc>
        <w:tc>
          <w:tcPr>
            <w:tcW w:w="274" w:type="pct"/>
            <w:tcBorders>
              <w:top w:val="nil"/>
              <w:left w:val="nil"/>
              <w:bottom w:val="nil"/>
              <w:right w:val="nil"/>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0,074</w:t>
            </w:r>
          </w:p>
        </w:tc>
        <w:tc>
          <w:tcPr>
            <w:tcW w:w="385" w:type="pct"/>
            <w:tcBorders>
              <w:top w:val="nil"/>
              <w:left w:val="nil"/>
              <w:bottom w:val="nil"/>
              <w:right w:val="single" w:sz="4" w:space="0" w:color="auto"/>
            </w:tcBorders>
            <w:shd w:val="clear" w:color="000000" w:fill="FDE9D9"/>
            <w:noWrap/>
            <w:vAlign w:val="bottom"/>
            <w:hideMark/>
          </w:tcPr>
          <w:p w:rsidR="00384C65" w:rsidRPr="0098463D" w:rsidRDefault="00384C65" w:rsidP="00384C65">
            <w:pPr>
              <w:spacing w:before="0" w:after="0" w:line="240" w:lineRule="auto"/>
              <w:jc w:val="center"/>
              <w:rPr>
                <w:rFonts w:asciiTheme="minorHAnsi" w:hAnsiTheme="minorHAnsi" w:cstheme="minorHAnsi"/>
                <w:color w:val="000000"/>
                <w:sz w:val="14"/>
                <w:szCs w:val="18"/>
                <w:lang w:eastAsia="sk-SK"/>
              </w:rPr>
            </w:pPr>
            <w:r w:rsidRPr="0098463D">
              <w:rPr>
                <w:rFonts w:asciiTheme="minorHAnsi" w:hAnsiTheme="minorHAnsi" w:cstheme="minorHAnsi"/>
                <w:color w:val="000000"/>
                <w:sz w:val="14"/>
                <w:szCs w:val="18"/>
                <w:lang w:eastAsia="sk-SK"/>
              </w:rPr>
              <w:t>0,043</w:t>
            </w:r>
          </w:p>
        </w:tc>
      </w:tr>
      <w:tr w:rsidR="00384C65" w:rsidRPr="0098463D" w:rsidTr="00384C65">
        <w:trPr>
          <w:trHeight w:val="240"/>
        </w:trPr>
        <w:tc>
          <w:tcPr>
            <w:tcW w:w="1748" w:type="pct"/>
            <w:gridSpan w:val="6"/>
            <w:tcBorders>
              <w:top w:val="nil"/>
              <w:left w:val="single" w:sz="4" w:space="0" w:color="auto"/>
              <w:bottom w:val="nil"/>
              <w:right w:val="single" w:sz="4" w:space="0" w:color="auto"/>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r w:rsidRPr="0098463D">
              <w:rPr>
                <w:rFonts w:asciiTheme="minorHAnsi" w:hAnsiTheme="minorHAnsi" w:cstheme="minorHAnsi"/>
                <w:b/>
                <w:color w:val="FFFFFF"/>
                <w:sz w:val="16"/>
                <w:szCs w:val="18"/>
                <w:lang w:eastAsia="sk-SK"/>
              </w:rPr>
              <w:t>Diaľnice a rýchlostné cesty</w:t>
            </w:r>
          </w:p>
        </w:tc>
        <w:tc>
          <w:tcPr>
            <w:tcW w:w="130" w:type="pct"/>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23" w:type="pct"/>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244" w:type="pct"/>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240" w:type="pct"/>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04" w:type="pct"/>
            <w:gridSpan w:val="2"/>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385" w:type="pct"/>
            <w:tcBorders>
              <w:top w:val="nil"/>
              <w:left w:val="nil"/>
              <w:bottom w:val="nil"/>
              <w:right w:val="nil"/>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p>
        </w:tc>
        <w:tc>
          <w:tcPr>
            <w:tcW w:w="1626" w:type="pct"/>
            <w:gridSpan w:val="6"/>
            <w:tcBorders>
              <w:top w:val="nil"/>
              <w:left w:val="single" w:sz="4" w:space="0" w:color="auto"/>
              <w:bottom w:val="nil"/>
              <w:right w:val="single" w:sz="4" w:space="0" w:color="000000"/>
            </w:tcBorders>
            <w:shd w:val="clear" w:color="000000" w:fill="808080"/>
            <w:noWrap/>
            <w:vAlign w:val="bottom"/>
            <w:hideMark/>
          </w:tcPr>
          <w:p w:rsidR="00384C65" w:rsidRPr="0098463D" w:rsidRDefault="00384C65" w:rsidP="00384C65">
            <w:pPr>
              <w:spacing w:before="0" w:after="0" w:line="240" w:lineRule="auto"/>
              <w:jc w:val="left"/>
              <w:rPr>
                <w:rFonts w:asciiTheme="minorHAnsi" w:hAnsiTheme="minorHAnsi" w:cstheme="minorHAnsi"/>
                <w:b/>
                <w:color w:val="FFFFFF"/>
                <w:sz w:val="16"/>
                <w:szCs w:val="18"/>
                <w:lang w:eastAsia="sk-SK"/>
              </w:rPr>
            </w:pPr>
            <w:r w:rsidRPr="0098463D">
              <w:rPr>
                <w:rFonts w:asciiTheme="minorHAnsi" w:hAnsiTheme="minorHAnsi" w:cstheme="minorHAnsi"/>
                <w:b/>
                <w:color w:val="FFFFFF"/>
                <w:sz w:val="16"/>
                <w:szCs w:val="18"/>
                <w:lang w:eastAsia="sk-SK"/>
              </w:rPr>
              <w:t>Cesty I. triedy súbežné s diaľnicami a s rýchlostnými cestami   </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2010</w:t>
            </w:r>
          </w:p>
        </w:tc>
        <w:tc>
          <w:tcPr>
            <w:tcW w:w="653"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567" w:type="pct"/>
            <w:gridSpan w:val="2"/>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Kategória vozidla</w:t>
            </w:r>
          </w:p>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0-II</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III, IV</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EURO V, VI, EEV</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0,093   </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0,086   </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0,083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NV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0,063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0,193   </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0,183   </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0,179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2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0,136</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0,202   </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0,193   </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0,189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0,209   </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0,199   </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0,196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4 nápravy</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0,156</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0,149</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0,206   </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0,193   </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0,189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5 náprav</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0,153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0,146</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0,143</w:t>
            </w:r>
          </w:p>
        </w:tc>
      </w:tr>
      <w:tr w:rsidR="00384C65" w:rsidRPr="0098463D" w:rsidTr="00384C65">
        <w:trPr>
          <w:trHeight w:val="240"/>
        </w:trPr>
        <w:tc>
          <w:tcPr>
            <w:tcW w:w="166"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409"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0,064   </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0,053   </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0,032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BUS</w:t>
            </w:r>
          </w:p>
        </w:tc>
        <w:tc>
          <w:tcPr>
            <w:tcW w:w="323"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3,5 t – do 12 t</w:t>
            </w:r>
          </w:p>
        </w:tc>
        <w:tc>
          <w:tcPr>
            <w:tcW w:w="24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c>
          <w:tcPr>
            <w:tcW w:w="274" w:type="pct"/>
            <w:tcBorders>
              <w:top w:val="nil"/>
              <w:left w:val="nil"/>
              <w:bottom w:val="nil"/>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0,032</w:t>
            </w:r>
          </w:p>
        </w:tc>
        <w:tc>
          <w:tcPr>
            <w:tcW w:w="385" w:type="pct"/>
            <w:tcBorders>
              <w:top w:val="nil"/>
              <w:left w:val="nil"/>
              <w:bottom w:val="nil"/>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0,022</w:t>
            </w:r>
          </w:p>
        </w:tc>
      </w:tr>
      <w:tr w:rsidR="00384C65" w:rsidRPr="0098463D" w:rsidTr="00384C65">
        <w:trPr>
          <w:trHeight w:val="240"/>
        </w:trPr>
        <w:tc>
          <w:tcPr>
            <w:tcW w:w="166" w:type="pct"/>
            <w:tcBorders>
              <w:top w:val="nil"/>
              <w:left w:val="single" w:sz="4" w:space="0" w:color="auto"/>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left"/>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409"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0,116   </w:t>
            </w:r>
          </w:p>
        </w:tc>
        <w:tc>
          <w:tcPr>
            <w:tcW w:w="274"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0,105   </w:t>
            </w:r>
          </w:p>
        </w:tc>
        <w:tc>
          <w:tcPr>
            <w:tcW w:w="385" w:type="pct"/>
            <w:tcBorders>
              <w:top w:val="nil"/>
              <w:left w:val="nil"/>
              <w:bottom w:val="single" w:sz="4" w:space="0" w:color="auto"/>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xml:space="preserve">0,064   </w:t>
            </w:r>
          </w:p>
        </w:tc>
        <w:tc>
          <w:tcPr>
            <w:tcW w:w="13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23"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4"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240"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04" w:type="pct"/>
            <w:gridSpan w:val="2"/>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385" w:type="pct"/>
            <w:tcBorders>
              <w:top w:val="nil"/>
              <w:left w:val="nil"/>
              <w:bottom w:val="nil"/>
              <w:right w:val="nil"/>
            </w:tcBorders>
            <w:shd w:val="clear" w:color="auto" w:fill="auto"/>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p>
        </w:tc>
        <w:tc>
          <w:tcPr>
            <w:tcW w:w="130" w:type="pct"/>
            <w:tcBorders>
              <w:top w:val="nil"/>
              <w:left w:val="single" w:sz="4" w:space="0" w:color="auto"/>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323"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12 t a viac</w:t>
            </w:r>
          </w:p>
        </w:tc>
        <w:tc>
          <w:tcPr>
            <w:tcW w:w="244"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 </w:t>
            </w:r>
          </w:p>
        </w:tc>
        <w:tc>
          <w:tcPr>
            <w:tcW w:w="270"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0,085</w:t>
            </w:r>
          </w:p>
        </w:tc>
        <w:tc>
          <w:tcPr>
            <w:tcW w:w="274" w:type="pct"/>
            <w:tcBorders>
              <w:top w:val="nil"/>
              <w:left w:val="nil"/>
              <w:bottom w:val="single" w:sz="4" w:space="0" w:color="auto"/>
              <w:right w:val="nil"/>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0,074</w:t>
            </w:r>
          </w:p>
        </w:tc>
        <w:tc>
          <w:tcPr>
            <w:tcW w:w="385" w:type="pct"/>
            <w:tcBorders>
              <w:top w:val="nil"/>
              <w:left w:val="nil"/>
              <w:bottom w:val="single" w:sz="4" w:space="0" w:color="auto"/>
              <w:right w:val="single" w:sz="4" w:space="0" w:color="auto"/>
            </w:tcBorders>
            <w:shd w:val="clear" w:color="000000" w:fill="E5E0EC"/>
            <w:noWrap/>
            <w:vAlign w:val="bottom"/>
            <w:hideMark/>
          </w:tcPr>
          <w:p w:rsidR="00384C65" w:rsidRPr="00F50873" w:rsidRDefault="00384C65" w:rsidP="00384C65">
            <w:pPr>
              <w:spacing w:before="0" w:after="0" w:line="240" w:lineRule="auto"/>
              <w:jc w:val="center"/>
              <w:rPr>
                <w:rFonts w:asciiTheme="minorHAnsi" w:hAnsiTheme="minorHAnsi" w:cstheme="minorHAnsi"/>
                <w:color w:val="000000"/>
                <w:sz w:val="16"/>
                <w:szCs w:val="18"/>
                <w:lang w:eastAsia="sk-SK"/>
              </w:rPr>
            </w:pPr>
            <w:r w:rsidRPr="00F50873">
              <w:rPr>
                <w:rFonts w:asciiTheme="minorHAnsi" w:hAnsiTheme="minorHAnsi" w:cstheme="minorHAnsi"/>
                <w:color w:val="000000"/>
                <w:sz w:val="16"/>
                <w:szCs w:val="18"/>
                <w:lang w:eastAsia="sk-SK"/>
              </w:rPr>
              <w:t>0,043</w:t>
            </w:r>
          </w:p>
        </w:tc>
      </w:tr>
    </w:tbl>
    <w:p w:rsidR="00384C65" w:rsidRDefault="00384C65" w:rsidP="0021472A">
      <w:pPr>
        <w:pStyle w:val="Normaltext"/>
        <w:jc w:val="center"/>
        <w:rPr>
          <w:rStyle w:val="Siln"/>
          <w:sz w:val="24"/>
        </w:rPr>
      </w:pPr>
    </w:p>
    <w:p w:rsidR="00384C65" w:rsidRDefault="00384C65" w:rsidP="0048319F">
      <w:pPr>
        <w:pStyle w:val="Normaltext"/>
        <w:jc w:val="center"/>
        <w:rPr>
          <w:rStyle w:val="Siln"/>
          <w:sz w:val="24"/>
        </w:rPr>
        <w:sectPr w:rsidR="00384C65" w:rsidSect="00135588">
          <w:headerReference w:type="even" r:id="rId176"/>
          <w:headerReference w:type="default" r:id="rId177"/>
          <w:footerReference w:type="even" r:id="rId178"/>
          <w:footerReference w:type="default" r:id="rId179"/>
          <w:pgSz w:w="16840" w:h="11907" w:orient="landscape" w:code="9"/>
          <w:pgMar w:top="1418" w:right="1418" w:bottom="1418" w:left="1418" w:header="720" w:footer="227" w:gutter="0"/>
          <w:pgNumType w:start="1"/>
          <w:cols w:space="240"/>
          <w:docGrid w:linePitch="299"/>
        </w:sectPr>
      </w:pPr>
    </w:p>
    <w:p w:rsidR="0048319F" w:rsidRDefault="0048319F" w:rsidP="0048319F">
      <w:pPr>
        <w:pStyle w:val="Normaltext"/>
        <w:jc w:val="center"/>
        <w:rPr>
          <w:rStyle w:val="Siln"/>
          <w:sz w:val="24"/>
        </w:rPr>
      </w:pPr>
      <w:r>
        <w:rPr>
          <w:rStyle w:val="Siln"/>
          <w:sz w:val="24"/>
        </w:rPr>
        <w:t>Vývoj mýtnych sadzieb v Českej republike</w:t>
      </w:r>
      <w:r w:rsidR="00F50873">
        <w:rPr>
          <w:rStyle w:val="Siln"/>
          <w:sz w:val="24"/>
        </w:rPr>
        <w:t xml:space="preserve"> (2010 – 2019)</w:t>
      </w:r>
    </w:p>
    <w:tbl>
      <w:tblPr>
        <w:tblW w:w="5000" w:type="pct"/>
        <w:tblCellMar>
          <w:left w:w="70" w:type="dxa"/>
          <w:right w:w="70" w:type="dxa"/>
        </w:tblCellMar>
        <w:tblLook w:val="04A0" w:firstRow="1" w:lastRow="0" w:firstColumn="1" w:lastColumn="0" w:noHBand="0" w:noVBand="1"/>
      </w:tblPr>
      <w:tblGrid>
        <w:gridCol w:w="3345"/>
        <w:gridCol w:w="1576"/>
        <w:gridCol w:w="1103"/>
        <w:gridCol w:w="812"/>
        <w:gridCol w:w="812"/>
        <w:gridCol w:w="812"/>
        <w:gridCol w:w="812"/>
        <w:gridCol w:w="812"/>
        <w:gridCol w:w="812"/>
        <w:gridCol w:w="812"/>
        <w:gridCol w:w="812"/>
        <w:gridCol w:w="812"/>
        <w:gridCol w:w="812"/>
      </w:tblGrid>
      <w:tr w:rsidR="00F50873" w:rsidRPr="00F50873" w:rsidTr="00F50873">
        <w:trPr>
          <w:trHeight w:val="255"/>
        </w:trPr>
        <w:tc>
          <w:tcPr>
            <w:tcW w:w="1183"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2019</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255"/>
        </w:trPr>
        <w:tc>
          <w:tcPr>
            <w:tcW w:w="1183" w:type="pct"/>
            <w:vMerge w:val="restart"/>
            <w:tcBorders>
              <w:top w:val="single" w:sz="4" w:space="0" w:color="000000"/>
              <w:left w:val="single" w:sz="4" w:space="0" w:color="000000"/>
              <w:bottom w:val="single" w:sz="4" w:space="0" w:color="000000"/>
              <w:right w:val="single" w:sz="4" w:space="0" w:color="000000"/>
            </w:tcBorders>
            <w:shd w:val="clear" w:color="000000" w:fill="DDD9C3"/>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emisní třída  </w:t>
            </w:r>
          </w:p>
        </w:tc>
        <w:tc>
          <w:tcPr>
            <w:tcW w:w="1233" w:type="pct"/>
            <w:gridSpan w:val="3"/>
            <w:vMerge w:val="restart"/>
            <w:tcBorders>
              <w:top w:val="single" w:sz="4" w:space="0" w:color="000000"/>
              <w:left w:val="single" w:sz="4" w:space="0" w:color="000000"/>
              <w:bottom w:val="single" w:sz="4" w:space="0" w:color="000000"/>
              <w:right w:val="single" w:sz="4" w:space="0" w:color="000000"/>
            </w:tcBorders>
            <w:shd w:val="clear" w:color="000000" w:fill="DDD9C3"/>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0–II</w:t>
            </w:r>
          </w:p>
        </w:tc>
        <w:tc>
          <w:tcPr>
            <w:tcW w:w="861" w:type="pct"/>
            <w:gridSpan w:val="3"/>
            <w:vMerge w:val="restart"/>
            <w:tcBorders>
              <w:top w:val="single" w:sz="4" w:space="0" w:color="000000"/>
              <w:left w:val="single" w:sz="4" w:space="0" w:color="000000"/>
              <w:bottom w:val="single" w:sz="4" w:space="0" w:color="000000"/>
              <w:right w:val="single" w:sz="4" w:space="0" w:color="000000"/>
            </w:tcBorders>
            <w:shd w:val="clear" w:color="000000" w:fill="DDD9C3"/>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III–IV</w:t>
            </w:r>
          </w:p>
        </w:tc>
        <w:tc>
          <w:tcPr>
            <w:tcW w:w="861" w:type="pct"/>
            <w:gridSpan w:val="3"/>
            <w:vMerge w:val="restart"/>
            <w:tcBorders>
              <w:top w:val="single" w:sz="4" w:space="0" w:color="000000"/>
              <w:left w:val="single" w:sz="4" w:space="0" w:color="000000"/>
              <w:bottom w:val="single" w:sz="4" w:space="0" w:color="000000"/>
              <w:right w:val="single" w:sz="4" w:space="0" w:color="000000"/>
            </w:tcBorders>
            <w:shd w:val="clear" w:color="000000" w:fill="DDD9C3"/>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V</w:t>
            </w:r>
          </w:p>
        </w:tc>
        <w:tc>
          <w:tcPr>
            <w:tcW w:w="861" w:type="pct"/>
            <w:gridSpan w:val="3"/>
            <w:tcBorders>
              <w:top w:val="single" w:sz="4" w:space="0" w:color="000000"/>
              <w:left w:val="nil"/>
              <w:bottom w:val="nil"/>
              <w:right w:val="single" w:sz="4" w:space="0" w:color="000000"/>
            </w:tcBorders>
            <w:shd w:val="clear" w:color="000000" w:fill="DDD9C3"/>
            <w:vAlign w:val="bottom"/>
            <w:hideMark/>
          </w:tcPr>
          <w:p w:rsidR="00F50873" w:rsidRPr="00F50873" w:rsidRDefault="00F50873" w:rsidP="00F50873">
            <w:pPr>
              <w:spacing w:before="0" w:after="0" w:line="240" w:lineRule="auto"/>
              <w:jc w:val="center"/>
              <w:rPr>
                <w:rFonts w:cs="Calibri"/>
                <w:b/>
                <w:bCs/>
                <w:i/>
                <w:iCs/>
                <w:color w:val="333333"/>
                <w:sz w:val="20"/>
                <w:szCs w:val="20"/>
                <w:lang w:eastAsia="sk-SK"/>
              </w:rPr>
            </w:pPr>
            <w:r w:rsidRPr="00F50873">
              <w:rPr>
                <w:rFonts w:cs="Calibri"/>
                <w:b/>
                <w:bCs/>
                <w:i/>
                <w:iCs/>
                <w:color w:val="333333"/>
                <w:sz w:val="20"/>
                <w:szCs w:val="20"/>
                <w:lang w:eastAsia="sk-SK"/>
              </w:rPr>
              <w:t>tarif Euro6</w:t>
            </w:r>
          </w:p>
        </w:tc>
      </w:tr>
      <w:tr w:rsidR="00F50873" w:rsidRPr="00F50873" w:rsidTr="00F50873">
        <w:trPr>
          <w:trHeight w:val="255"/>
        </w:trPr>
        <w:tc>
          <w:tcPr>
            <w:tcW w:w="1183" w:type="pct"/>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1233"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tcBorders>
              <w:top w:val="nil"/>
              <w:left w:val="nil"/>
              <w:bottom w:val="nil"/>
              <w:right w:val="single" w:sz="4" w:space="0" w:color="000000"/>
            </w:tcBorders>
            <w:shd w:val="clear" w:color="000000" w:fill="DDD9C3"/>
            <w:vAlign w:val="bottom"/>
            <w:hideMark/>
          </w:tcPr>
          <w:p w:rsidR="00F50873" w:rsidRPr="00F50873" w:rsidRDefault="00F50873" w:rsidP="00F50873">
            <w:pPr>
              <w:spacing w:before="0" w:after="0" w:line="240" w:lineRule="auto"/>
              <w:jc w:val="left"/>
              <w:rPr>
                <w:rFonts w:cs="Calibri"/>
                <w:color w:val="000000"/>
                <w:sz w:val="20"/>
                <w:szCs w:val="20"/>
                <w:lang w:eastAsia="sk-SK"/>
              </w:rPr>
            </w:pPr>
            <w:r w:rsidRPr="00F50873">
              <w:rPr>
                <w:rFonts w:cs="Calibri"/>
                <w:color w:val="000000"/>
                <w:sz w:val="20"/>
                <w:szCs w:val="20"/>
                <w:lang w:eastAsia="sk-SK"/>
              </w:rPr>
              <w:t> </w:t>
            </w:r>
          </w:p>
        </w:tc>
      </w:tr>
      <w:tr w:rsidR="00F50873" w:rsidRPr="00F50873" w:rsidTr="00F50873">
        <w:trPr>
          <w:trHeight w:val="85"/>
        </w:trPr>
        <w:tc>
          <w:tcPr>
            <w:tcW w:w="1183" w:type="pct"/>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1233"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tcBorders>
              <w:top w:val="nil"/>
              <w:left w:val="nil"/>
              <w:bottom w:val="single" w:sz="4" w:space="0" w:color="000000"/>
              <w:right w:val="single" w:sz="4" w:space="0" w:color="000000"/>
            </w:tcBorders>
            <w:shd w:val="clear" w:color="000000" w:fill="DDD9C3"/>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 nápravy</w:t>
            </w:r>
          </w:p>
        </w:tc>
        <w:tc>
          <w:tcPr>
            <w:tcW w:w="390"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 nápravy</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0,129</w:t>
            </w:r>
          </w:p>
        </w:tc>
        <w:tc>
          <w:tcPr>
            <w:tcW w:w="390"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0,220</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0,318</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0,109</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0,186</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0,269</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0,071</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0,121</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0,110</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0,159</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0,164</w:t>
            </w:r>
          </w:p>
        </w:tc>
        <w:tc>
          <w:tcPr>
            <w:tcW w:w="390"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0,313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0,454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0,138</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0,265</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0,384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0,090</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0,172</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0,249</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0,082</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0,156</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0,227</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0,061</w:t>
            </w:r>
          </w:p>
        </w:tc>
        <w:tc>
          <w:tcPr>
            <w:tcW w:w="390"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0,106</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0,151</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0,089</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0,128</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0,034</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0,058</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0,030</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0,076</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0,077</w:t>
            </w:r>
          </w:p>
        </w:tc>
        <w:tc>
          <w:tcPr>
            <w:tcW w:w="390"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0,151</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0,216</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0,065</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0,128</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0,042</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0,083</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0,119</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0,039</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0,076</w:t>
            </w:r>
          </w:p>
        </w:tc>
        <w:tc>
          <w:tcPr>
            <w:tcW w:w="287" w:type="pct"/>
            <w:tcBorders>
              <w:top w:val="nil"/>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0,108</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0,053</w:t>
            </w:r>
          </w:p>
        </w:tc>
        <w:tc>
          <w:tcPr>
            <w:tcW w:w="861" w:type="pct"/>
            <w:gridSpan w:val="3"/>
            <w:tcBorders>
              <w:top w:val="single" w:sz="4" w:space="0" w:color="000000"/>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0,044</w:t>
            </w:r>
          </w:p>
        </w:tc>
        <w:tc>
          <w:tcPr>
            <w:tcW w:w="861" w:type="pct"/>
            <w:gridSpan w:val="3"/>
            <w:tcBorders>
              <w:top w:val="single" w:sz="4" w:space="0" w:color="000000"/>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0,040</w:t>
            </w:r>
          </w:p>
        </w:tc>
        <w:tc>
          <w:tcPr>
            <w:tcW w:w="861" w:type="pct"/>
            <w:gridSpan w:val="3"/>
            <w:tcBorders>
              <w:top w:val="single" w:sz="4" w:space="0" w:color="000000"/>
              <w:left w:val="nil"/>
              <w:bottom w:val="single" w:sz="4" w:space="0" w:color="000000"/>
              <w:right w:val="single" w:sz="4" w:space="0" w:color="000000"/>
            </w:tcBorders>
            <w:shd w:val="clear" w:color="000000" w:fill="DDD9C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0,031</w:t>
            </w:r>
          </w:p>
        </w:tc>
      </w:tr>
      <w:tr w:rsidR="00F50873" w:rsidRPr="00F50873" w:rsidTr="00F50873">
        <w:trPr>
          <w:trHeight w:val="255"/>
        </w:trPr>
        <w:tc>
          <w:tcPr>
            <w:tcW w:w="1183"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2018</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255"/>
        </w:trPr>
        <w:tc>
          <w:tcPr>
            <w:tcW w:w="1183" w:type="pct"/>
            <w:vMerge w:val="restart"/>
            <w:tcBorders>
              <w:top w:val="single" w:sz="4" w:space="0" w:color="000000"/>
              <w:left w:val="single" w:sz="4" w:space="0" w:color="000000"/>
              <w:bottom w:val="single" w:sz="4" w:space="0" w:color="000000"/>
              <w:right w:val="single" w:sz="4" w:space="0" w:color="000000"/>
            </w:tcBorders>
            <w:shd w:val="clear" w:color="000000" w:fill="C5D9F1"/>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emisní třída  </w:t>
            </w:r>
          </w:p>
        </w:tc>
        <w:tc>
          <w:tcPr>
            <w:tcW w:w="1233" w:type="pct"/>
            <w:gridSpan w:val="3"/>
            <w:vMerge w:val="restart"/>
            <w:tcBorders>
              <w:top w:val="single" w:sz="4" w:space="0" w:color="000000"/>
              <w:left w:val="single" w:sz="4" w:space="0" w:color="000000"/>
              <w:bottom w:val="single" w:sz="4" w:space="0" w:color="000000"/>
              <w:right w:val="single" w:sz="4" w:space="0" w:color="000000"/>
            </w:tcBorders>
            <w:shd w:val="clear" w:color="000000" w:fill="C5D9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0–II</w:t>
            </w:r>
          </w:p>
        </w:tc>
        <w:tc>
          <w:tcPr>
            <w:tcW w:w="861" w:type="pct"/>
            <w:gridSpan w:val="3"/>
            <w:vMerge w:val="restart"/>
            <w:tcBorders>
              <w:top w:val="single" w:sz="4" w:space="0" w:color="000000"/>
              <w:left w:val="single" w:sz="4" w:space="0" w:color="000000"/>
              <w:bottom w:val="single" w:sz="4" w:space="0" w:color="000000"/>
              <w:right w:val="single" w:sz="4" w:space="0" w:color="000000"/>
            </w:tcBorders>
            <w:shd w:val="clear" w:color="000000" w:fill="C5D9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III–IV</w:t>
            </w:r>
          </w:p>
        </w:tc>
        <w:tc>
          <w:tcPr>
            <w:tcW w:w="861" w:type="pct"/>
            <w:gridSpan w:val="3"/>
            <w:vMerge w:val="restart"/>
            <w:tcBorders>
              <w:top w:val="single" w:sz="4" w:space="0" w:color="000000"/>
              <w:left w:val="single" w:sz="4" w:space="0" w:color="000000"/>
              <w:bottom w:val="single" w:sz="4" w:space="0" w:color="000000"/>
              <w:right w:val="single" w:sz="4" w:space="0" w:color="000000"/>
            </w:tcBorders>
            <w:shd w:val="clear" w:color="000000" w:fill="C5D9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V</w:t>
            </w:r>
          </w:p>
        </w:tc>
        <w:tc>
          <w:tcPr>
            <w:tcW w:w="861" w:type="pct"/>
            <w:gridSpan w:val="3"/>
            <w:tcBorders>
              <w:top w:val="single" w:sz="4" w:space="0" w:color="000000"/>
              <w:left w:val="nil"/>
              <w:bottom w:val="nil"/>
              <w:right w:val="single" w:sz="4" w:space="0" w:color="000000"/>
            </w:tcBorders>
            <w:shd w:val="clear" w:color="000000" w:fill="C5D9F1"/>
            <w:vAlign w:val="bottom"/>
            <w:hideMark/>
          </w:tcPr>
          <w:p w:rsidR="00F50873" w:rsidRPr="00F50873" w:rsidRDefault="00F50873" w:rsidP="00F50873">
            <w:pPr>
              <w:spacing w:before="0" w:after="0" w:line="240" w:lineRule="auto"/>
              <w:jc w:val="center"/>
              <w:rPr>
                <w:rFonts w:cs="Calibri"/>
                <w:b/>
                <w:bCs/>
                <w:i/>
                <w:iCs/>
                <w:color w:val="333333"/>
                <w:sz w:val="20"/>
                <w:szCs w:val="20"/>
                <w:lang w:eastAsia="sk-SK"/>
              </w:rPr>
            </w:pPr>
            <w:r w:rsidRPr="00F50873">
              <w:rPr>
                <w:rFonts w:cs="Calibri"/>
                <w:b/>
                <w:bCs/>
                <w:i/>
                <w:iCs/>
                <w:color w:val="333333"/>
                <w:sz w:val="20"/>
                <w:szCs w:val="20"/>
                <w:lang w:eastAsia="sk-SK"/>
              </w:rPr>
              <w:t>tarif Euro6</w:t>
            </w:r>
          </w:p>
        </w:tc>
      </w:tr>
      <w:tr w:rsidR="00F50873" w:rsidRPr="00F50873" w:rsidTr="00F50873">
        <w:trPr>
          <w:trHeight w:val="255"/>
        </w:trPr>
        <w:tc>
          <w:tcPr>
            <w:tcW w:w="1183" w:type="pct"/>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1233"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tcBorders>
              <w:top w:val="nil"/>
              <w:left w:val="nil"/>
              <w:bottom w:val="nil"/>
              <w:right w:val="single" w:sz="4" w:space="0" w:color="000000"/>
            </w:tcBorders>
            <w:shd w:val="clear" w:color="000000" w:fill="C5D9F1"/>
            <w:vAlign w:val="bottom"/>
            <w:hideMark/>
          </w:tcPr>
          <w:p w:rsidR="00F50873" w:rsidRPr="00F50873" w:rsidRDefault="00F50873" w:rsidP="00F50873">
            <w:pPr>
              <w:spacing w:before="0" w:after="0" w:line="240" w:lineRule="auto"/>
              <w:jc w:val="left"/>
              <w:rPr>
                <w:rFonts w:cs="Calibri"/>
                <w:color w:val="000000"/>
                <w:sz w:val="20"/>
                <w:szCs w:val="20"/>
                <w:lang w:eastAsia="sk-SK"/>
              </w:rPr>
            </w:pPr>
            <w:r w:rsidRPr="00F50873">
              <w:rPr>
                <w:rFonts w:cs="Calibri"/>
                <w:color w:val="000000"/>
                <w:sz w:val="20"/>
                <w:szCs w:val="20"/>
                <w:lang w:eastAsia="sk-SK"/>
              </w:rPr>
              <w:t> </w:t>
            </w:r>
          </w:p>
        </w:tc>
      </w:tr>
      <w:tr w:rsidR="00F50873" w:rsidRPr="00F50873" w:rsidTr="00F50873">
        <w:trPr>
          <w:trHeight w:val="255"/>
        </w:trPr>
        <w:tc>
          <w:tcPr>
            <w:tcW w:w="1183" w:type="pct"/>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1233"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tcBorders>
              <w:top w:val="nil"/>
              <w:left w:val="nil"/>
              <w:bottom w:val="single" w:sz="4" w:space="0" w:color="000000"/>
              <w:right w:val="single" w:sz="4" w:space="0" w:color="000000"/>
            </w:tcBorders>
            <w:shd w:val="clear" w:color="000000" w:fill="C5D9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0,131</w:t>
            </w:r>
          </w:p>
        </w:tc>
        <w:tc>
          <w:tcPr>
            <w:tcW w:w="390"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0,324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0,111</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0,189</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0,274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0,072</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0,123</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0,178</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0,066</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0,112</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0,162</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0,062</w:t>
            </w:r>
          </w:p>
        </w:tc>
        <w:tc>
          <w:tcPr>
            <w:tcW w:w="390"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0,108</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0,052</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0,091</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0,130</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0,059</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0,031</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0,054</w:t>
            </w:r>
          </w:p>
        </w:tc>
        <w:tc>
          <w:tcPr>
            <w:tcW w:w="287" w:type="pct"/>
            <w:tcBorders>
              <w:top w:val="nil"/>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0,077</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0,054</w:t>
            </w:r>
          </w:p>
        </w:tc>
        <w:tc>
          <w:tcPr>
            <w:tcW w:w="861" w:type="pct"/>
            <w:gridSpan w:val="3"/>
            <w:tcBorders>
              <w:top w:val="single" w:sz="4" w:space="0" w:color="000000"/>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0,045</w:t>
            </w:r>
          </w:p>
        </w:tc>
        <w:tc>
          <w:tcPr>
            <w:tcW w:w="861" w:type="pct"/>
            <w:gridSpan w:val="3"/>
            <w:tcBorders>
              <w:top w:val="single" w:sz="4" w:space="0" w:color="000000"/>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861" w:type="pct"/>
            <w:gridSpan w:val="3"/>
            <w:tcBorders>
              <w:top w:val="single" w:sz="4" w:space="0" w:color="000000"/>
              <w:left w:val="nil"/>
              <w:bottom w:val="single" w:sz="4" w:space="0" w:color="000000"/>
              <w:right w:val="single" w:sz="4" w:space="0" w:color="000000"/>
            </w:tcBorders>
            <w:shd w:val="clear" w:color="000000" w:fill="C5D9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0,031</w:t>
            </w:r>
          </w:p>
        </w:tc>
      </w:tr>
      <w:tr w:rsidR="00F50873" w:rsidRPr="00F50873" w:rsidTr="00F50873">
        <w:trPr>
          <w:trHeight w:val="255"/>
        </w:trPr>
        <w:tc>
          <w:tcPr>
            <w:tcW w:w="1183"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2017</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255"/>
        </w:trPr>
        <w:tc>
          <w:tcPr>
            <w:tcW w:w="1183" w:type="pct"/>
            <w:vMerge w:val="restart"/>
            <w:tcBorders>
              <w:top w:val="single" w:sz="4" w:space="0" w:color="000000"/>
              <w:left w:val="single" w:sz="4" w:space="0" w:color="000000"/>
              <w:bottom w:val="single" w:sz="4" w:space="0" w:color="000000"/>
              <w:right w:val="single" w:sz="4" w:space="0" w:color="000000"/>
            </w:tcBorders>
            <w:shd w:val="clear" w:color="000000" w:fill="DBE5F1"/>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emisní třída  </w:t>
            </w:r>
          </w:p>
        </w:tc>
        <w:tc>
          <w:tcPr>
            <w:tcW w:w="1233" w:type="pct"/>
            <w:gridSpan w:val="3"/>
            <w:vMerge w:val="restart"/>
            <w:tcBorders>
              <w:top w:val="single" w:sz="4" w:space="0" w:color="000000"/>
              <w:left w:val="single" w:sz="4" w:space="0" w:color="000000"/>
              <w:bottom w:val="single" w:sz="4" w:space="0" w:color="000000"/>
              <w:right w:val="single" w:sz="4" w:space="0" w:color="000000"/>
            </w:tcBorders>
            <w:shd w:val="clear" w:color="000000" w:fill="DBE5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0–II</w:t>
            </w:r>
          </w:p>
        </w:tc>
        <w:tc>
          <w:tcPr>
            <w:tcW w:w="861" w:type="pct"/>
            <w:gridSpan w:val="3"/>
            <w:vMerge w:val="restart"/>
            <w:tcBorders>
              <w:top w:val="single" w:sz="4" w:space="0" w:color="000000"/>
              <w:left w:val="single" w:sz="4" w:space="0" w:color="000000"/>
              <w:bottom w:val="single" w:sz="4" w:space="0" w:color="000000"/>
              <w:right w:val="single" w:sz="4" w:space="0" w:color="000000"/>
            </w:tcBorders>
            <w:shd w:val="clear" w:color="000000" w:fill="DBE5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III–IV</w:t>
            </w:r>
          </w:p>
        </w:tc>
        <w:tc>
          <w:tcPr>
            <w:tcW w:w="861" w:type="pct"/>
            <w:gridSpan w:val="3"/>
            <w:vMerge w:val="restart"/>
            <w:tcBorders>
              <w:top w:val="single" w:sz="4" w:space="0" w:color="000000"/>
              <w:left w:val="single" w:sz="4" w:space="0" w:color="000000"/>
              <w:bottom w:val="single" w:sz="4" w:space="0" w:color="000000"/>
              <w:right w:val="single" w:sz="4" w:space="0" w:color="000000"/>
            </w:tcBorders>
            <w:shd w:val="clear" w:color="000000" w:fill="DBE5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V</w:t>
            </w:r>
          </w:p>
        </w:tc>
        <w:tc>
          <w:tcPr>
            <w:tcW w:w="861" w:type="pct"/>
            <w:gridSpan w:val="3"/>
            <w:tcBorders>
              <w:top w:val="single" w:sz="4" w:space="0" w:color="000000"/>
              <w:left w:val="nil"/>
              <w:bottom w:val="nil"/>
              <w:right w:val="single" w:sz="4" w:space="0" w:color="000000"/>
            </w:tcBorders>
            <w:shd w:val="clear" w:color="000000" w:fill="DBE5F1"/>
            <w:vAlign w:val="bottom"/>
            <w:hideMark/>
          </w:tcPr>
          <w:p w:rsidR="00F50873" w:rsidRPr="00F50873" w:rsidRDefault="00F50873" w:rsidP="00F50873">
            <w:pPr>
              <w:spacing w:before="0" w:after="0" w:line="240" w:lineRule="auto"/>
              <w:jc w:val="center"/>
              <w:rPr>
                <w:rFonts w:cs="Calibri"/>
                <w:b/>
                <w:bCs/>
                <w:i/>
                <w:iCs/>
                <w:color w:val="333333"/>
                <w:sz w:val="20"/>
                <w:szCs w:val="20"/>
                <w:lang w:eastAsia="sk-SK"/>
              </w:rPr>
            </w:pPr>
            <w:r w:rsidRPr="00F50873">
              <w:rPr>
                <w:rFonts w:cs="Calibri"/>
                <w:b/>
                <w:bCs/>
                <w:i/>
                <w:iCs/>
                <w:color w:val="333333"/>
                <w:sz w:val="20"/>
                <w:szCs w:val="20"/>
                <w:lang w:eastAsia="sk-SK"/>
              </w:rPr>
              <w:t>tarif Euro6</w:t>
            </w:r>
          </w:p>
        </w:tc>
      </w:tr>
      <w:tr w:rsidR="00F50873" w:rsidRPr="00F50873" w:rsidTr="00F50873">
        <w:trPr>
          <w:trHeight w:val="255"/>
        </w:trPr>
        <w:tc>
          <w:tcPr>
            <w:tcW w:w="1183" w:type="pct"/>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1233"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tcBorders>
              <w:top w:val="nil"/>
              <w:left w:val="nil"/>
              <w:bottom w:val="nil"/>
              <w:right w:val="single" w:sz="4" w:space="0" w:color="000000"/>
            </w:tcBorders>
            <w:shd w:val="clear" w:color="000000" w:fill="DBE5F1"/>
            <w:vAlign w:val="bottom"/>
            <w:hideMark/>
          </w:tcPr>
          <w:p w:rsidR="00F50873" w:rsidRPr="00F50873" w:rsidRDefault="00F50873" w:rsidP="00F50873">
            <w:pPr>
              <w:spacing w:before="0" w:after="0" w:line="240" w:lineRule="auto"/>
              <w:jc w:val="left"/>
              <w:rPr>
                <w:rFonts w:cs="Calibri"/>
                <w:color w:val="000000"/>
                <w:sz w:val="20"/>
                <w:szCs w:val="20"/>
                <w:lang w:eastAsia="sk-SK"/>
              </w:rPr>
            </w:pPr>
            <w:r w:rsidRPr="00F50873">
              <w:rPr>
                <w:rFonts w:cs="Calibri"/>
                <w:color w:val="000000"/>
                <w:sz w:val="20"/>
                <w:szCs w:val="20"/>
                <w:lang w:eastAsia="sk-SK"/>
              </w:rPr>
              <w:t> </w:t>
            </w:r>
          </w:p>
        </w:tc>
      </w:tr>
      <w:tr w:rsidR="00F50873" w:rsidRPr="00F50873" w:rsidTr="00F50873">
        <w:trPr>
          <w:trHeight w:val="255"/>
        </w:trPr>
        <w:tc>
          <w:tcPr>
            <w:tcW w:w="1183" w:type="pct"/>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1233"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vMerge/>
            <w:tcBorders>
              <w:top w:val="single" w:sz="4" w:space="0" w:color="000000"/>
              <w:left w:val="single" w:sz="4" w:space="0" w:color="000000"/>
              <w:bottom w:val="single" w:sz="4" w:space="0" w:color="000000"/>
              <w:right w:val="single" w:sz="4" w:space="0" w:color="000000"/>
            </w:tcBorders>
            <w:vAlign w:val="center"/>
            <w:hideMark/>
          </w:tcPr>
          <w:p w:rsidR="00F50873" w:rsidRPr="00F50873" w:rsidRDefault="00F50873" w:rsidP="00F50873">
            <w:pPr>
              <w:spacing w:before="0" w:after="0" w:line="240" w:lineRule="auto"/>
              <w:jc w:val="left"/>
              <w:rPr>
                <w:rFonts w:cs="Calibri"/>
                <w:color w:val="333333"/>
                <w:sz w:val="20"/>
                <w:szCs w:val="20"/>
                <w:lang w:eastAsia="sk-SK"/>
              </w:rPr>
            </w:pPr>
          </w:p>
        </w:tc>
        <w:tc>
          <w:tcPr>
            <w:tcW w:w="861" w:type="pct"/>
            <w:gridSpan w:val="3"/>
            <w:tcBorders>
              <w:top w:val="nil"/>
              <w:left w:val="nil"/>
              <w:bottom w:val="single" w:sz="4" w:space="0" w:color="000000"/>
              <w:right w:val="single" w:sz="4" w:space="0" w:color="000000"/>
            </w:tcBorders>
            <w:shd w:val="clear" w:color="000000" w:fill="DBE5F1"/>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0,128</w:t>
            </w:r>
          </w:p>
        </w:tc>
        <w:tc>
          <w:tcPr>
            <w:tcW w:w="390"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0,218</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0,316</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0,108</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0,184</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0,267</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0,064</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0,109</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0,158</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0,162</w:t>
            </w:r>
          </w:p>
        </w:tc>
        <w:tc>
          <w:tcPr>
            <w:tcW w:w="390"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0,310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0,450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0,137</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0,263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0,381</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0,089</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0,171</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0,247</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0,081</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0,155</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0,225</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0,061</w:t>
            </w:r>
          </w:p>
        </w:tc>
        <w:tc>
          <w:tcPr>
            <w:tcW w:w="390"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0,105</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0,088</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0,127</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0,033</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0,057</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0,075</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0,077</w:t>
            </w:r>
          </w:p>
        </w:tc>
        <w:tc>
          <w:tcPr>
            <w:tcW w:w="390"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0,150</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0,214</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0,065</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0,127</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0,082</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0,118</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0,038</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0,075</w:t>
            </w:r>
          </w:p>
        </w:tc>
        <w:tc>
          <w:tcPr>
            <w:tcW w:w="287" w:type="pct"/>
            <w:tcBorders>
              <w:top w:val="nil"/>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0,107</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0,053</w:t>
            </w:r>
          </w:p>
        </w:tc>
        <w:tc>
          <w:tcPr>
            <w:tcW w:w="861" w:type="pct"/>
            <w:gridSpan w:val="3"/>
            <w:tcBorders>
              <w:top w:val="single" w:sz="4" w:space="0" w:color="000000"/>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0,044</w:t>
            </w:r>
          </w:p>
        </w:tc>
        <w:tc>
          <w:tcPr>
            <w:tcW w:w="861" w:type="pct"/>
            <w:gridSpan w:val="3"/>
            <w:tcBorders>
              <w:top w:val="single" w:sz="4" w:space="0" w:color="000000"/>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0,040</w:t>
            </w:r>
          </w:p>
        </w:tc>
        <w:tc>
          <w:tcPr>
            <w:tcW w:w="861" w:type="pct"/>
            <w:gridSpan w:val="3"/>
            <w:tcBorders>
              <w:top w:val="single" w:sz="4" w:space="0" w:color="000000"/>
              <w:left w:val="nil"/>
              <w:bottom w:val="single" w:sz="4" w:space="0" w:color="000000"/>
              <w:right w:val="single" w:sz="4" w:space="0" w:color="000000"/>
            </w:tcBorders>
            <w:shd w:val="clear" w:color="000000" w:fill="DBE5F1"/>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0,031</w:t>
            </w:r>
          </w:p>
        </w:tc>
      </w:tr>
      <w:tr w:rsidR="00F50873" w:rsidRPr="00F50873" w:rsidTr="00F50873">
        <w:trPr>
          <w:trHeight w:val="255"/>
        </w:trPr>
        <w:tc>
          <w:tcPr>
            <w:tcW w:w="1183" w:type="pct"/>
            <w:tcBorders>
              <w:top w:val="nil"/>
              <w:left w:val="nil"/>
              <w:bottom w:val="nil"/>
              <w:right w:val="nil"/>
            </w:tcBorders>
            <w:shd w:val="clear" w:color="auto" w:fill="auto"/>
            <w:noWrap/>
            <w:vAlign w:val="bottom"/>
            <w:hideMark/>
          </w:tcPr>
          <w:p w:rsidR="009111C8" w:rsidRDefault="009111C8" w:rsidP="00F50873">
            <w:pPr>
              <w:spacing w:before="0" w:after="0" w:line="240" w:lineRule="auto"/>
              <w:jc w:val="right"/>
              <w:rPr>
                <w:rFonts w:cs="Calibri"/>
                <w:color w:val="333333"/>
                <w:sz w:val="20"/>
                <w:szCs w:val="20"/>
                <w:lang w:eastAsia="sk-SK"/>
              </w:rPr>
            </w:pPr>
          </w:p>
          <w:p w:rsidR="009111C8" w:rsidRDefault="009111C8" w:rsidP="00F50873">
            <w:pPr>
              <w:spacing w:before="0" w:after="0" w:line="240" w:lineRule="auto"/>
              <w:jc w:val="right"/>
              <w:rPr>
                <w:rFonts w:cs="Calibri"/>
                <w:color w:val="333333"/>
                <w:sz w:val="20"/>
                <w:szCs w:val="20"/>
                <w:lang w:eastAsia="sk-SK"/>
              </w:rPr>
            </w:pPr>
          </w:p>
          <w:p w:rsidR="009111C8" w:rsidRDefault="009111C8" w:rsidP="00F50873">
            <w:pPr>
              <w:spacing w:before="0" w:after="0" w:line="240" w:lineRule="auto"/>
              <w:jc w:val="right"/>
              <w:rPr>
                <w:rFonts w:cs="Calibri"/>
                <w:color w:val="333333"/>
                <w:sz w:val="20"/>
                <w:szCs w:val="20"/>
                <w:lang w:eastAsia="sk-SK"/>
              </w:rPr>
            </w:pPr>
          </w:p>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2016</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r>
      <w:tr w:rsidR="00F50873" w:rsidRPr="00F50873" w:rsidTr="00F50873">
        <w:trPr>
          <w:trHeight w:val="306"/>
        </w:trPr>
        <w:tc>
          <w:tcPr>
            <w:tcW w:w="1183" w:type="pct"/>
            <w:tcBorders>
              <w:top w:val="single" w:sz="4" w:space="0" w:color="000000"/>
              <w:left w:val="single" w:sz="4" w:space="0" w:color="000000"/>
              <w:bottom w:val="single" w:sz="4" w:space="0" w:color="000000"/>
              <w:right w:val="single" w:sz="4" w:space="0" w:color="000000"/>
            </w:tcBorders>
            <w:shd w:val="clear" w:color="000000" w:fill="F2DDD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000000"/>
              <w:left w:val="single" w:sz="4" w:space="0" w:color="000000"/>
              <w:bottom w:val="single" w:sz="4" w:space="0" w:color="000000"/>
              <w:right w:val="single" w:sz="4" w:space="0" w:color="000000"/>
            </w:tcBorders>
            <w:shd w:val="clear" w:color="000000" w:fill="F2DDD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000000"/>
              <w:left w:val="single" w:sz="4" w:space="0" w:color="000000"/>
              <w:bottom w:val="single" w:sz="4" w:space="0" w:color="000000"/>
              <w:right w:val="single" w:sz="4" w:space="0" w:color="000000"/>
            </w:tcBorders>
            <w:shd w:val="clear" w:color="000000" w:fill="F2DDD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000000"/>
              <w:left w:val="single" w:sz="4" w:space="0" w:color="000000"/>
              <w:bottom w:val="single" w:sz="4" w:space="0" w:color="000000"/>
              <w:right w:val="single" w:sz="4" w:space="0" w:color="auto"/>
            </w:tcBorders>
            <w:shd w:val="clear" w:color="000000" w:fill="F2DDD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2DDDC"/>
            <w:vAlign w:val="center"/>
            <w:hideMark/>
          </w:tcPr>
          <w:p w:rsidR="00F50873" w:rsidRPr="00F50873" w:rsidRDefault="00F50873" w:rsidP="00F50873">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0,124</w:t>
            </w:r>
          </w:p>
        </w:tc>
        <w:tc>
          <w:tcPr>
            <w:tcW w:w="390"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0,211</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0,305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0,104</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0,178</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0,258</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0,068</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0,116</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0,167</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0,152</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0,157</w:t>
            </w:r>
          </w:p>
        </w:tc>
        <w:tc>
          <w:tcPr>
            <w:tcW w:w="390"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0,300</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0,435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0,254</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0,368</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0,086</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0,239</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0,078</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0,150</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0,218</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0,058</w:t>
            </w:r>
          </w:p>
        </w:tc>
        <w:tc>
          <w:tcPr>
            <w:tcW w:w="390"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0,101</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0,049</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0,056</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0,080</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0,029</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0,073</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0,074</w:t>
            </w:r>
          </w:p>
        </w:tc>
        <w:tc>
          <w:tcPr>
            <w:tcW w:w="390"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0,207</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0,063</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0,122</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0,175</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0,080</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0,114</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0,037</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0,073</w:t>
            </w:r>
          </w:p>
        </w:tc>
        <w:tc>
          <w:tcPr>
            <w:tcW w:w="287" w:type="pct"/>
            <w:tcBorders>
              <w:top w:val="nil"/>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861" w:type="pct"/>
            <w:gridSpan w:val="3"/>
            <w:tcBorders>
              <w:top w:val="single" w:sz="4" w:space="0" w:color="000000"/>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0,043</w:t>
            </w:r>
          </w:p>
        </w:tc>
        <w:tc>
          <w:tcPr>
            <w:tcW w:w="861" w:type="pct"/>
            <w:gridSpan w:val="3"/>
            <w:tcBorders>
              <w:top w:val="single" w:sz="4" w:space="0" w:color="000000"/>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0,038</w:t>
            </w:r>
          </w:p>
        </w:tc>
        <w:tc>
          <w:tcPr>
            <w:tcW w:w="861" w:type="pct"/>
            <w:gridSpan w:val="3"/>
            <w:tcBorders>
              <w:top w:val="single" w:sz="4" w:space="0" w:color="000000"/>
              <w:left w:val="nil"/>
              <w:bottom w:val="single" w:sz="4" w:space="0" w:color="000000"/>
              <w:right w:val="single" w:sz="4" w:space="0" w:color="000000"/>
            </w:tcBorders>
            <w:shd w:val="clear" w:color="000000" w:fill="F2DDD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0,030</w:t>
            </w:r>
          </w:p>
        </w:tc>
      </w:tr>
      <w:tr w:rsidR="00F50873" w:rsidRPr="00F50873" w:rsidTr="00F50873">
        <w:trPr>
          <w:trHeight w:val="300"/>
        </w:trPr>
        <w:tc>
          <w:tcPr>
            <w:tcW w:w="1183"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2015</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p>
        </w:tc>
      </w:tr>
      <w:tr w:rsidR="00F50873" w:rsidRPr="00F50873" w:rsidTr="00F50873">
        <w:trPr>
          <w:trHeight w:val="424"/>
        </w:trPr>
        <w:tc>
          <w:tcPr>
            <w:tcW w:w="1183" w:type="pct"/>
            <w:tcBorders>
              <w:top w:val="single" w:sz="4" w:space="0" w:color="000000"/>
              <w:left w:val="single" w:sz="4" w:space="0" w:color="000000"/>
              <w:bottom w:val="single" w:sz="4" w:space="0" w:color="000000"/>
              <w:right w:val="single" w:sz="4" w:space="0" w:color="000000"/>
            </w:tcBorders>
            <w:shd w:val="clear" w:color="000000" w:fill="EAF1DD"/>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000000"/>
              <w:left w:val="single" w:sz="4" w:space="0" w:color="000000"/>
              <w:bottom w:val="single" w:sz="4" w:space="0" w:color="000000"/>
              <w:right w:val="single" w:sz="4" w:space="0" w:color="auto"/>
            </w:tcBorders>
            <w:shd w:val="clear" w:color="000000" w:fill="EAF1DD"/>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EAF1DD"/>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EAF1DD"/>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EAF1DD"/>
            <w:vAlign w:val="center"/>
            <w:hideMark/>
          </w:tcPr>
          <w:p w:rsidR="00F50873" w:rsidRPr="00F50873" w:rsidRDefault="00F50873" w:rsidP="00F50873">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0,121</w:t>
            </w:r>
          </w:p>
        </w:tc>
        <w:tc>
          <w:tcPr>
            <w:tcW w:w="390"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0,207</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0,299</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0,175</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0,253</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0,066</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0,103</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0,150</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0,154</w:t>
            </w:r>
          </w:p>
        </w:tc>
        <w:tc>
          <w:tcPr>
            <w:tcW w:w="390"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0,294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0,427</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0,249</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0,350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0,085</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0,234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0,077</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0,147</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0,213</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0,057</w:t>
            </w:r>
          </w:p>
        </w:tc>
        <w:tc>
          <w:tcPr>
            <w:tcW w:w="390"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0,099</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0,048</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0,054</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0,078</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0,029</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0,071</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0,073</w:t>
            </w:r>
          </w:p>
        </w:tc>
        <w:tc>
          <w:tcPr>
            <w:tcW w:w="390"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0,203</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0,061</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0,172</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0,040</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0,078</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0,111</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0,036</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0,071</w:t>
            </w:r>
          </w:p>
        </w:tc>
        <w:tc>
          <w:tcPr>
            <w:tcW w:w="287" w:type="pct"/>
            <w:tcBorders>
              <w:top w:val="nil"/>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0,102</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861" w:type="pct"/>
            <w:gridSpan w:val="3"/>
            <w:tcBorders>
              <w:top w:val="single" w:sz="4" w:space="0" w:color="000000"/>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0,042</w:t>
            </w:r>
          </w:p>
        </w:tc>
        <w:tc>
          <w:tcPr>
            <w:tcW w:w="861" w:type="pct"/>
            <w:gridSpan w:val="3"/>
            <w:tcBorders>
              <w:top w:val="single" w:sz="4" w:space="0" w:color="000000"/>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0,038</w:t>
            </w:r>
          </w:p>
        </w:tc>
        <w:tc>
          <w:tcPr>
            <w:tcW w:w="861" w:type="pct"/>
            <w:gridSpan w:val="3"/>
            <w:tcBorders>
              <w:top w:val="single" w:sz="4" w:space="0" w:color="000000"/>
              <w:left w:val="nil"/>
              <w:bottom w:val="single" w:sz="4" w:space="0" w:color="000000"/>
              <w:right w:val="single" w:sz="4" w:space="0" w:color="000000"/>
            </w:tcBorders>
            <w:shd w:val="clear" w:color="000000" w:fill="EAF1DD"/>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0,030</w:t>
            </w:r>
          </w:p>
        </w:tc>
      </w:tr>
      <w:tr w:rsidR="00F50873" w:rsidRPr="00F50873" w:rsidTr="00F50873">
        <w:trPr>
          <w:trHeight w:val="255"/>
        </w:trPr>
        <w:tc>
          <w:tcPr>
            <w:tcW w:w="1183"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2014</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303"/>
        </w:trPr>
        <w:tc>
          <w:tcPr>
            <w:tcW w:w="1183" w:type="pct"/>
            <w:tcBorders>
              <w:top w:val="single" w:sz="4" w:space="0" w:color="000000"/>
              <w:left w:val="single" w:sz="4" w:space="0" w:color="000000"/>
              <w:bottom w:val="single" w:sz="4" w:space="0" w:color="000000"/>
              <w:right w:val="single" w:sz="4" w:space="0" w:color="000000"/>
            </w:tcBorders>
            <w:shd w:val="clear" w:color="000000" w:fill="E5E0E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000000"/>
              <w:left w:val="single" w:sz="4" w:space="0" w:color="000000"/>
              <w:bottom w:val="single" w:sz="4" w:space="0" w:color="000000"/>
              <w:right w:val="single" w:sz="4" w:space="0" w:color="000000"/>
            </w:tcBorders>
            <w:shd w:val="clear" w:color="000000" w:fill="E5E0E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000000"/>
              <w:left w:val="single" w:sz="4" w:space="0" w:color="000000"/>
              <w:bottom w:val="single" w:sz="4" w:space="0" w:color="000000"/>
              <w:right w:val="single" w:sz="4" w:space="0" w:color="000000"/>
            </w:tcBorders>
            <w:shd w:val="clear" w:color="000000" w:fill="E5E0E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000000"/>
              <w:left w:val="single" w:sz="4" w:space="0" w:color="000000"/>
              <w:bottom w:val="single" w:sz="4" w:space="0" w:color="000000"/>
              <w:right w:val="single" w:sz="4" w:space="0" w:color="auto"/>
            </w:tcBorders>
            <w:shd w:val="clear" w:color="000000" w:fill="E5E0EC"/>
            <w:vAlign w:val="center"/>
            <w:hideMark/>
          </w:tcPr>
          <w:p w:rsidR="00F50873" w:rsidRPr="00F50873" w:rsidRDefault="00F50873" w:rsidP="00F50873">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E5E0EC"/>
            <w:vAlign w:val="center"/>
            <w:hideMark/>
          </w:tcPr>
          <w:p w:rsidR="00F50873" w:rsidRPr="00F50873" w:rsidRDefault="00F50873" w:rsidP="00F50873">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0,121</w:t>
            </w:r>
          </w:p>
        </w:tc>
        <w:tc>
          <w:tcPr>
            <w:tcW w:w="390"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0,206</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0,299</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0,095</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0,234</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0,061</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0,150</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0,154</w:t>
            </w:r>
          </w:p>
        </w:tc>
        <w:tc>
          <w:tcPr>
            <w:tcW w:w="390"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0,294</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0,427</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0,120</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0,231</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0,350</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0,077</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0,147</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0,057</w:t>
            </w:r>
          </w:p>
        </w:tc>
        <w:tc>
          <w:tcPr>
            <w:tcW w:w="390"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0,099</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0,045</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0,078</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0,111</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0,029</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0,050</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0,071</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0,073</w:t>
            </w:r>
          </w:p>
        </w:tc>
        <w:tc>
          <w:tcPr>
            <w:tcW w:w="390"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0,203</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0,057</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0,111</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0,159</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0,036</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0,071</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0,102</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0,050</w:t>
            </w:r>
          </w:p>
        </w:tc>
        <w:tc>
          <w:tcPr>
            <w:tcW w:w="861" w:type="pct"/>
            <w:gridSpan w:val="3"/>
            <w:tcBorders>
              <w:top w:val="single" w:sz="4" w:space="0" w:color="000000"/>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0,036</w:t>
            </w:r>
          </w:p>
        </w:tc>
        <w:tc>
          <w:tcPr>
            <w:tcW w:w="861" w:type="pct"/>
            <w:gridSpan w:val="3"/>
            <w:tcBorders>
              <w:top w:val="single" w:sz="4" w:space="0" w:color="000000"/>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0,029</w:t>
            </w:r>
          </w:p>
        </w:tc>
        <w:tc>
          <w:tcPr>
            <w:tcW w:w="861" w:type="pct"/>
            <w:gridSpan w:val="3"/>
            <w:tcBorders>
              <w:top w:val="single" w:sz="4" w:space="0" w:color="000000"/>
              <w:left w:val="nil"/>
              <w:bottom w:val="single" w:sz="4" w:space="0" w:color="000000"/>
              <w:right w:val="single" w:sz="4" w:space="0" w:color="000000"/>
            </w:tcBorders>
            <w:shd w:val="clear" w:color="000000" w:fill="E5E0EC"/>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nil"/>
              <w:bottom w:val="nil"/>
              <w:right w:val="nil"/>
            </w:tcBorders>
            <w:shd w:val="clear" w:color="auto" w:fill="auto"/>
            <w:noWrap/>
            <w:vAlign w:val="bottom"/>
            <w:hideMark/>
          </w:tcPr>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2013</w:t>
            </w:r>
          </w:p>
        </w:tc>
        <w:tc>
          <w:tcPr>
            <w:tcW w:w="55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nil"/>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479"/>
        </w:trPr>
        <w:tc>
          <w:tcPr>
            <w:tcW w:w="1183" w:type="pct"/>
            <w:tcBorders>
              <w:top w:val="single" w:sz="4" w:space="0" w:color="000000"/>
              <w:left w:val="single" w:sz="4" w:space="0" w:color="000000"/>
              <w:bottom w:val="single" w:sz="4" w:space="0" w:color="000000"/>
              <w:right w:val="single" w:sz="4" w:space="0" w:color="000000"/>
            </w:tcBorders>
            <w:shd w:val="clear" w:color="000000" w:fill="DBEEF3"/>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000000"/>
              <w:left w:val="single" w:sz="4" w:space="0" w:color="000000"/>
              <w:bottom w:val="single" w:sz="4" w:space="0" w:color="000000"/>
              <w:right w:val="single" w:sz="4" w:space="0" w:color="000000"/>
            </w:tcBorders>
            <w:shd w:val="clear" w:color="000000" w:fill="DBEEF3"/>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000000"/>
              <w:left w:val="single" w:sz="4" w:space="0" w:color="000000"/>
              <w:bottom w:val="single" w:sz="4" w:space="0" w:color="000000"/>
              <w:right w:val="single" w:sz="4" w:space="0" w:color="000000"/>
            </w:tcBorders>
            <w:shd w:val="clear" w:color="000000" w:fill="DBEEF3"/>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000000"/>
              <w:left w:val="single" w:sz="4" w:space="0" w:color="000000"/>
              <w:bottom w:val="single" w:sz="4" w:space="0" w:color="000000"/>
              <w:right w:val="single" w:sz="4" w:space="0" w:color="auto"/>
            </w:tcBorders>
            <w:shd w:val="clear" w:color="000000" w:fill="DBEEF3"/>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DBEEF3"/>
            <w:vAlign w:val="center"/>
            <w:hideMark/>
          </w:tcPr>
          <w:p w:rsidR="00F50873" w:rsidRPr="00F50873" w:rsidRDefault="00F50873" w:rsidP="00A75C4A">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0,129</w:t>
            </w:r>
          </w:p>
        </w:tc>
        <w:tc>
          <w:tcPr>
            <w:tcW w:w="390"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0,219</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0,319</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0,101</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0,172</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0,249</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0,065</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0,110</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0,159</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0,164</w:t>
            </w:r>
          </w:p>
        </w:tc>
        <w:tc>
          <w:tcPr>
            <w:tcW w:w="390"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0,313</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0,455</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0,128</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0,246</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0,356</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0,082</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0,157</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0,228</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0,061</w:t>
            </w:r>
          </w:p>
        </w:tc>
        <w:tc>
          <w:tcPr>
            <w:tcW w:w="390"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0,106</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0,152</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0,048</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0,083</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0,118</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0,031</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0,053</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0,076</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0,077</w:t>
            </w:r>
          </w:p>
        </w:tc>
        <w:tc>
          <w:tcPr>
            <w:tcW w:w="390"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0,152</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0,217</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0,060</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0,118</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0,170</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0,039</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0,076</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0,108</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861" w:type="pct"/>
            <w:gridSpan w:val="3"/>
            <w:tcBorders>
              <w:top w:val="single" w:sz="4" w:space="0" w:color="000000"/>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0,037</w:t>
            </w:r>
          </w:p>
        </w:tc>
        <w:tc>
          <w:tcPr>
            <w:tcW w:w="861" w:type="pct"/>
            <w:gridSpan w:val="3"/>
            <w:tcBorders>
              <w:top w:val="single" w:sz="4" w:space="0" w:color="000000"/>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0,030</w:t>
            </w:r>
          </w:p>
        </w:tc>
        <w:tc>
          <w:tcPr>
            <w:tcW w:w="861" w:type="pct"/>
            <w:gridSpan w:val="3"/>
            <w:tcBorders>
              <w:top w:val="single" w:sz="4" w:space="0" w:color="000000"/>
              <w:left w:val="nil"/>
              <w:bottom w:val="single" w:sz="4" w:space="0" w:color="000000"/>
              <w:right w:val="single" w:sz="4" w:space="0" w:color="000000"/>
            </w:tcBorders>
            <w:shd w:val="clear" w:color="000000" w:fill="DBEEF3"/>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2012</w:t>
            </w:r>
          </w:p>
        </w:tc>
        <w:tc>
          <w:tcPr>
            <w:tcW w:w="55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533"/>
        </w:trPr>
        <w:tc>
          <w:tcPr>
            <w:tcW w:w="1183" w:type="pct"/>
            <w:tcBorders>
              <w:top w:val="single" w:sz="4" w:space="0" w:color="auto"/>
              <w:left w:val="single" w:sz="4" w:space="0" w:color="auto"/>
              <w:bottom w:val="single" w:sz="4" w:space="0" w:color="auto"/>
              <w:right w:val="single" w:sz="4" w:space="0" w:color="auto"/>
            </w:tcBorders>
            <w:shd w:val="clear" w:color="000000" w:fill="FDE9D9"/>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auto"/>
              <w:left w:val="single" w:sz="4" w:space="0" w:color="auto"/>
              <w:bottom w:val="single" w:sz="4" w:space="0" w:color="auto"/>
              <w:right w:val="single" w:sz="4" w:space="0" w:color="auto"/>
            </w:tcBorders>
            <w:shd w:val="clear" w:color="000000" w:fill="FDE9D9"/>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DE9D9"/>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DE9D9"/>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DE9D9"/>
            <w:vAlign w:val="center"/>
            <w:hideMark/>
          </w:tcPr>
          <w:p w:rsidR="00F50873" w:rsidRPr="00F50873" w:rsidRDefault="00F50873" w:rsidP="00A75C4A">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single" w:sz="4" w:space="0" w:color="auto"/>
              <w:left w:val="single" w:sz="4" w:space="0" w:color="000000"/>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single" w:sz="4" w:space="0" w:color="auto"/>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0,135</w:t>
            </w:r>
          </w:p>
        </w:tc>
        <w:tc>
          <w:tcPr>
            <w:tcW w:w="390"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0,229</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0,332</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0,105</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0,179</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0,260</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0,067</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0,115</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0,166</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0,171</w:t>
            </w:r>
          </w:p>
        </w:tc>
        <w:tc>
          <w:tcPr>
            <w:tcW w:w="390"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0,326</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0,474</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0,133</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0,256</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0,370</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0,085</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0,164</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0,237</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0,064</w:t>
            </w:r>
          </w:p>
        </w:tc>
        <w:tc>
          <w:tcPr>
            <w:tcW w:w="390"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0,110</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0,158</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0,050</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0,086</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0,123</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0,055</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0,079</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0,081</w:t>
            </w:r>
          </w:p>
        </w:tc>
        <w:tc>
          <w:tcPr>
            <w:tcW w:w="390"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0,158</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0,226</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0,063</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0,123</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0,177</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0,040</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0,079</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0,113</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0,056</w:t>
            </w:r>
          </w:p>
        </w:tc>
        <w:tc>
          <w:tcPr>
            <w:tcW w:w="861" w:type="pct"/>
            <w:gridSpan w:val="3"/>
            <w:tcBorders>
              <w:top w:val="single" w:sz="4" w:space="0" w:color="000000"/>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0,040</w:t>
            </w:r>
          </w:p>
        </w:tc>
        <w:tc>
          <w:tcPr>
            <w:tcW w:w="861" w:type="pct"/>
            <w:gridSpan w:val="3"/>
            <w:tcBorders>
              <w:top w:val="single" w:sz="4" w:space="0" w:color="000000"/>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861" w:type="pct"/>
            <w:gridSpan w:val="3"/>
            <w:tcBorders>
              <w:top w:val="single" w:sz="4" w:space="0" w:color="000000"/>
              <w:left w:val="nil"/>
              <w:bottom w:val="single" w:sz="4" w:space="0" w:color="000000"/>
              <w:right w:val="single" w:sz="4" w:space="0" w:color="000000"/>
            </w:tcBorders>
            <w:shd w:val="clear" w:color="000000" w:fill="FDE9D9"/>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300"/>
        </w:trPr>
        <w:tc>
          <w:tcPr>
            <w:tcW w:w="1183"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2011</w:t>
            </w:r>
          </w:p>
        </w:tc>
        <w:tc>
          <w:tcPr>
            <w:tcW w:w="55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496"/>
        </w:trPr>
        <w:tc>
          <w:tcPr>
            <w:tcW w:w="1183" w:type="pct"/>
            <w:tcBorders>
              <w:top w:val="single" w:sz="4" w:space="0" w:color="auto"/>
              <w:left w:val="single" w:sz="4" w:space="0" w:color="auto"/>
              <w:bottom w:val="single" w:sz="4" w:space="0" w:color="auto"/>
              <w:right w:val="single" w:sz="4" w:space="0" w:color="auto"/>
            </w:tcBorders>
            <w:shd w:val="clear" w:color="000000" w:fill="FCD5B4"/>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FCD5B4"/>
            <w:vAlign w:val="center"/>
            <w:hideMark/>
          </w:tcPr>
          <w:p w:rsidR="00F50873" w:rsidRPr="00F50873" w:rsidRDefault="00F50873" w:rsidP="00A75C4A">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single" w:sz="4" w:space="0" w:color="auto"/>
              <w:left w:val="single" w:sz="4" w:space="0" w:color="000000"/>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single" w:sz="4" w:space="0" w:color="auto"/>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0,116</w:t>
            </w:r>
          </w:p>
        </w:tc>
        <w:tc>
          <w:tcPr>
            <w:tcW w:w="390"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0,186</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0,271</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0,085</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0,146</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0,211</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0,068</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0,117</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0,169</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0,147</w:t>
            </w:r>
          </w:p>
        </w:tc>
        <w:tc>
          <w:tcPr>
            <w:tcW w:w="390"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0,265</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0,387</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0,108</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0,208</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0,301</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0,087</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0,166</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0,240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0,055</w:t>
            </w:r>
          </w:p>
        </w:tc>
        <w:tc>
          <w:tcPr>
            <w:tcW w:w="390"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0,130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0,056</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0,070</w:t>
            </w:r>
          </w:p>
        </w:tc>
        <w:tc>
          <w:tcPr>
            <w:tcW w:w="390"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0,129</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0,186</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0,051</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0,143</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0,080</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0,115</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0,056</w:t>
            </w:r>
          </w:p>
        </w:tc>
        <w:tc>
          <w:tcPr>
            <w:tcW w:w="861" w:type="pct"/>
            <w:gridSpan w:val="3"/>
            <w:tcBorders>
              <w:top w:val="single" w:sz="4" w:space="0" w:color="000000"/>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861" w:type="pct"/>
            <w:gridSpan w:val="3"/>
            <w:tcBorders>
              <w:top w:val="single" w:sz="4" w:space="0" w:color="000000"/>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0,033</w:t>
            </w:r>
          </w:p>
        </w:tc>
        <w:tc>
          <w:tcPr>
            <w:tcW w:w="861" w:type="pct"/>
            <w:gridSpan w:val="3"/>
            <w:tcBorders>
              <w:top w:val="single" w:sz="4" w:space="0" w:color="000000"/>
              <w:left w:val="nil"/>
              <w:bottom w:val="single" w:sz="4" w:space="0" w:color="000000"/>
              <w:right w:val="single" w:sz="4" w:space="0" w:color="000000"/>
            </w:tcBorders>
            <w:shd w:val="clear" w:color="000000" w:fill="FCD5B4"/>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300"/>
        </w:trPr>
        <w:tc>
          <w:tcPr>
            <w:tcW w:w="1183" w:type="pct"/>
            <w:tcBorders>
              <w:top w:val="nil"/>
              <w:left w:val="nil"/>
              <w:bottom w:val="single" w:sz="4" w:space="0" w:color="auto"/>
              <w:right w:val="nil"/>
            </w:tcBorders>
            <w:shd w:val="clear" w:color="auto" w:fill="auto"/>
            <w:noWrap/>
            <w:vAlign w:val="bottom"/>
            <w:hideMark/>
          </w:tcPr>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9111C8" w:rsidRDefault="009111C8" w:rsidP="00F50873">
            <w:pPr>
              <w:spacing w:before="0" w:after="0" w:line="240" w:lineRule="auto"/>
              <w:jc w:val="right"/>
              <w:rPr>
                <w:rFonts w:cs="Calibri"/>
                <w:color w:val="000000"/>
                <w:sz w:val="20"/>
                <w:szCs w:val="20"/>
                <w:lang w:eastAsia="sk-SK"/>
              </w:rPr>
            </w:pPr>
          </w:p>
          <w:p w:rsidR="00F50873" w:rsidRPr="00F50873" w:rsidRDefault="00F50873" w:rsidP="00F50873">
            <w:pPr>
              <w:spacing w:before="0" w:after="0" w:line="240" w:lineRule="auto"/>
              <w:jc w:val="right"/>
              <w:rPr>
                <w:rFonts w:cs="Calibri"/>
                <w:color w:val="000000"/>
                <w:sz w:val="20"/>
                <w:szCs w:val="20"/>
                <w:lang w:eastAsia="sk-SK"/>
              </w:rPr>
            </w:pPr>
            <w:r w:rsidRPr="00F50873">
              <w:rPr>
                <w:rFonts w:cs="Calibri"/>
                <w:color w:val="000000"/>
                <w:sz w:val="20"/>
                <w:szCs w:val="20"/>
                <w:lang w:eastAsia="sk-SK"/>
              </w:rPr>
              <w:t>2010</w:t>
            </w:r>
          </w:p>
        </w:tc>
        <w:tc>
          <w:tcPr>
            <w:tcW w:w="55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390"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c>
          <w:tcPr>
            <w:tcW w:w="287" w:type="pct"/>
            <w:tcBorders>
              <w:top w:val="nil"/>
              <w:left w:val="nil"/>
              <w:bottom w:val="single" w:sz="4" w:space="0" w:color="auto"/>
              <w:right w:val="nil"/>
            </w:tcBorders>
            <w:shd w:val="clear" w:color="auto" w:fill="auto"/>
            <w:noWrap/>
            <w:vAlign w:val="bottom"/>
            <w:hideMark/>
          </w:tcPr>
          <w:p w:rsidR="00F50873" w:rsidRPr="00F50873" w:rsidRDefault="00F50873" w:rsidP="00F50873">
            <w:pPr>
              <w:spacing w:before="0" w:after="0" w:line="240" w:lineRule="auto"/>
              <w:jc w:val="left"/>
              <w:rPr>
                <w:rFonts w:cs="Calibri"/>
                <w:color w:val="000000"/>
                <w:sz w:val="20"/>
                <w:szCs w:val="20"/>
                <w:lang w:eastAsia="sk-SK"/>
              </w:rPr>
            </w:pPr>
          </w:p>
        </w:tc>
      </w:tr>
      <w:tr w:rsidR="00F50873" w:rsidRPr="00F50873" w:rsidTr="00F50873">
        <w:trPr>
          <w:trHeight w:val="475"/>
        </w:trPr>
        <w:tc>
          <w:tcPr>
            <w:tcW w:w="1183" w:type="pct"/>
            <w:tcBorders>
              <w:top w:val="single" w:sz="4" w:space="0" w:color="auto"/>
              <w:left w:val="single" w:sz="4" w:space="0" w:color="auto"/>
              <w:bottom w:val="single" w:sz="4" w:space="0" w:color="auto"/>
              <w:right w:val="single" w:sz="4" w:space="0" w:color="auto"/>
            </w:tcBorders>
            <w:shd w:val="clear" w:color="000000" w:fill="B6DDE8"/>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emisní třída</w:t>
            </w:r>
          </w:p>
        </w:tc>
        <w:tc>
          <w:tcPr>
            <w:tcW w:w="1233" w:type="pct"/>
            <w:gridSpan w:val="3"/>
            <w:tcBorders>
              <w:top w:val="single" w:sz="4" w:space="0" w:color="auto"/>
              <w:left w:val="single" w:sz="4" w:space="0" w:color="auto"/>
              <w:bottom w:val="single" w:sz="4" w:space="0" w:color="auto"/>
              <w:right w:val="single" w:sz="4" w:space="0" w:color="auto"/>
            </w:tcBorders>
            <w:shd w:val="clear" w:color="000000" w:fill="B6DDE8"/>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0–II</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B6DDE8"/>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III–IV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B6DDE8"/>
            <w:vAlign w:val="center"/>
            <w:hideMark/>
          </w:tcPr>
          <w:p w:rsidR="00F50873" w:rsidRPr="00F50873" w:rsidRDefault="00F50873" w:rsidP="00A75C4A">
            <w:pPr>
              <w:spacing w:before="0" w:after="0" w:line="240" w:lineRule="auto"/>
              <w:jc w:val="center"/>
              <w:rPr>
                <w:rFonts w:cs="Calibri"/>
                <w:b/>
                <w:color w:val="333333"/>
                <w:sz w:val="20"/>
                <w:szCs w:val="20"/>
                <w:lang w:eastAsia="sk-SK"/>
              </w:rPr>
            </w:pPr>
            <w:r w:rsidRPr="00F50873">
              <w:rPr>
                <w:rFonts w:cs="Calibri"/>
                <w:b/>
                <w:color w:val="333333"/>
                <w:sz w:val="20"/>
                <w:szCs w:val="20"/>
                <w:lang w:eastAsia="sk-SK"/>
              </w:rPr>
              <w:t>EURO V</w:t>
            </w:r>
          </w:p>
        </w:tc>
        <w:tc>
          <w:tcPr>
            <w:tcW w:w="861" w:type="pct"/>
            <w:gridSpan w:val="3"/>
            <w:tcBorders>
              <w:top w:val="single" w:sz="4" w:space="0" w:color="auto"/>
              <w:left w:val="single" w:sz="4" w:space="0" w:color="auto"/>
              <w:bottom w:val="single" w:sz="4" w:space="0" w:color="auto"/>
              <w:right w:val="single" w:sz="4" w:space="0" w:color="auto"/>
            </w:tcBorders>
            <w:shd w:val="clear" w:color="000000" w:fill="B6DDE8"/>
            <w:vAlign w:val="center"/>
            <w:hideMark/>
          </w:tcPr>
          <w:p w:rsidR="00F50873" w:rsidRPr="00F50873" w:rsidRDefault="00F50873" w:rsidP="00A75C4A">
            <w:pPr>
              <w:jc w:val="center"/>
              <w:rPr>
                <w:rFonts w:cs="Calibri"/>
                <w:b/>
                <w:bCs/>
                <w:i/>
                <w:iCs/>
                <w:color w:val="333333"/>
                <w:sz w:val="20"/>
                <w:szCs w:val="20"/>
                <w:lang w:eastAsia="sk-SK"/>
              </w:rPr>
            </w:pPr>
            <w:r w:rsidRPr="00F50873">
              <w:rPr>
                <w:rFonts w:cs="Calibri"/>
                <w:b/>
                <w:color w:val="333333"/>
                <w:sz w:val="20"/>
                <w:szCs w:val="20"/>
                <w:lang w:eastAsia="sk-SK"/>
              </w:rPr>
              <w:t>EURO VI, EEV</w:t>
            </w:r>
          </w:p>
        </w:tc>
      </w:tr>
      <w:tr w:rsidR="00F50873" w:rsidRPr="00F50873" w:rsidTr="00F50873">
        <w:trPr>
          <w:trHeight w:val="255"/>
        </w:trPr>
        <w:tc>
          <w:tcPr>
            <w:tcW w:w="1183" w:type="pct"/>
            <w:tcBorders>
              <w:top w:val="single" w:sz="4" w:space="0" w:color="auto"/>
              <w:left w:val="single" w:sz="4" w:space="0" w:color="000000"/>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počet náprav  </w:t>
            </w:r>
          </w:p>
        </w:tc>
        <w:tc>
          <w:tcPr>
            <w:tcW w:w="55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390"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2</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3</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4+</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single" w:sz="4" w:space="0" w:color="auto"/>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dálnice a rychlostní  silnice </w:t>
            </w:r>
          </w:p>
        </w:tc>
        <w:tc>
          <w:tcPr>
            <w:tcW w:w="55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0,092</w:t>
            </w:r>
          </w:p>
        </w:tc>
        <w:tc>
          <w:tcPr>
            <w:tcW w:w="390"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0,147</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0,215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0,068</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0,167</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0,068</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0,167</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0,116</w:t>
            </w:r>
          </w:p>
        </w:tc>
        <w:tc>
          <w:tcPr>
            <w:tcW w:w="390"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0,223</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0,328</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0,086</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0,176</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0,255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0,086</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0,176</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0,255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 silnice I. třídy</w:t>
            </w:r>
          </w:p>
        </w:tc>
        <w:tc>
          <w:tcPr>
            <w:tcW w:w="55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0,044</w:t>
            </w:r>
          </w:p>
        </w:tc>
        <w:tc>
          <w:tcPr>
            <w:tcW w:w="390"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0,072</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0,103</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0,079</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0,032</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0,079</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right"/>
              <w:rPr>
                <w:rFonts w:cs="Calibri"/>
                <w:color w:val="333333"/>
                <w:sz w:val="20"/>
                <w:szCs w:val="20"/>
                <w:lang w:eastAsia="sk-SK"/>
              </w:rPr>
            </w:pPr>
            <w:r w:rsidRPr="00F50873">
              <w:rPr>
                <w:rFonts w:cs="Calibri"/>
                <w:color w:val="333333"/>
                <w:sz w:val="20"/>
                <w:szCs w:val="20"/>
                <w:lang w:eastAsia="sk-SK"/>
              </w:rPr>
              <w:t>-- pátek 15-20 h </w:t>
            </w:r>
          </w:p>
        </w:tc>
        <w:tc>
          <w:tcPr>
            <w:tcW w:w="55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0,055</w:t>
            </w:r>
          </w:p>
        </w:tc>
        <w:tc>
          <w:tcPr>
            <w:tcW w:w="390"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0,109</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0,158</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0,122</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0,085</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0,122</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c>
          <w:tcPr>
            <w:tcW w:w="287" w:type="pct"/>
            <w:tcBorders>
              <w:top w:val="nil"/>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r w:rsidR="00F50873" w:rsidRPr="00F50873" w:rsidTr="00F50873">
        <w:trPr>
          <w:trHeight w:val="255"/>
        </w:trPr>
        <w:tc>
          <w:tcPr>
            <w:tcW w:w="1183" w:type="pct"/>
            <w:tcBorders>
              <w:top w:val="nil"/>
              <w:left w:val="single" w:sz="4" w:space="0" w:color="000000"/>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left"/>
              <w:rPr>
                <w:rFonts w:cs="Calibri"/>
                <w:color w:val="333333"/>
                <w:sz w:val="20"/>
                <w:szCs w:val="20"/>
                <w:lang w:eastAsia="sk-SK"/>
              </w:rPr>
            </w:pPr>
            <w:r w:rsidRPr="00F50873">
              <w:rPr>
                <w:rFonts w:cs="Calibri"/>
                <w:color w:val="333333"/>
                <w:sz w:val="20"/>
                <w:szCs w:val="20"/>
                <w:lang w:eastAsia="sk-SK"/>
              </w:rPr>
              <w:t>BUS</w:t>
            </w:r>
          </w:p>
        </w:tc>
        <w:tc>
          <w:tcPr>
            <w:tcW w:w="1233" w:type="pct"/>
            <w:gridSpan w:val="3"/>
            <w:tcBorders>
              <w:top w:val="single" w:sz="4" w:space="0" w:color="000000"/>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0,056</w:t>
            </w:r>
          </w:p>
        </w:tc>
        <w:tc>
          <w:tcPr>
            <w:tcW w:w="861" w:type="pct"/>
            <w:gridSpan w:val="3"/>
            <w:tcBorders>
              <w:top w:val="single" w:sz="4" w:space="0" w:color="000000"/>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0,041</w:t>
            </w:r>
          </w:p>
        </w:tc>
        <w:tc>
          <w:tcPr>
            <w:tcW w:w="861" w:type="pct"/>
            <w:gridSpan w:val="3"/>
            <w:tcBorders>
              <w:top w:val="single" w:sz="4" w:space="0" w:color="000000"/>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0,033</w:t>
            </w:r>
          </w:p>
        </w:tc>
        <w:tc>
          <w:tcPr>
            <w:tcW w:w="861" w:type="pct"/>
            <w:gridSpan w:val="3"/>
            <w:tcBorders>
              <w:top w:val="single" w:sz="4" w:space="0" w:color="000000"/>
              <w:left w:val="nil"/>
              <w:bottom w:val="single" w:sz="4" w:space="0" w:color="000000"/>
              <w:right w:val="single" w:sz="4" w:space="0" w:color="000000"/>
            </w:tcBorders>
            <w:shd w:val="clear" w:color="000000" w:fill="B6DDE8"/>
            <w:noWrap/>
            <w:vAlign w:val="bottom"/>
            <w:hideMark/>
          </w:tcPr>
          <w:p w:rsidR="00F50873" w:rsidRPr="00F50873" w:rsidRDefault="00F50873" w:rsidP="00F50873">
            <w:pPr>
              <w:spacing w:before="0" w:after="0" w:line="240" w:lineRule="auto"/>
              <w:jc w:val="center"/>
              <w:rPr>
                <w:rFonts w:cs="Calibri"/>
                <w:color w:val="333333"/>
                <w:sz w:val="20"/>
                <w:szCs w:val="20"/>
                <w:lang w:eastAsia="sk-SK"/>
              </w:rPr>
            </w:pPr>
            <w:r w:rsidRPr="00F50873">
              <w:rPr>
                <w:rFonts w:cs="Calibri"/>
                <w:color w:val="333333"/>
                <w:sz w:val="20"/>
                <w:szCs w:val="20"/>
                <w:lang w:eastAsia="sk-SK"/>
              </w:rPr>
              <w:t> </w:t>
            </w:r>
          </w:p>
        </w:tc>
      </w:tr>
    </w:tbl>
    <w:p w:rsidR="00F50873" w:rsidRDefault="00F50873" w:rsidP="0048319F">
      <w:pPr>
        <w:pStyle w:val="Normaltext"/>
        <w:jc w:val="center"/>
        <w:rPr>
          <w:rStyle w:val="Siln"/>
          <w:sz w:val="24"/>
        </w:rPr>
      </w:pPr>
    </w:p>
    <w:p w:rsidR="00F50873" w:rsidRDefault="00F50873">
      <w:pPr>
        <w:spacing w:before="0" w:after="0" w:line="240" w:lineRule="auto"/>
        <w:jc w:val="left"/>
        <w:rPr>
          <w:rStyle w:val="Siln"/>
          <w:sz w:val="24"/>
        </w:rPr>
      </w:pPr>
      <w:r>
        <w:rPr>
          <w:rStyle w:val="Siln"/>
          <w:sz w:val="24"/>
        </w:rPr>
        <w:br w:type="page"/>
      </w:r>
    </w:p>
    <w:p w:rsidR="0048319F" w:rsidRDefault="0048319F" w:rsidP="0048319F">
      <w:pPr>
        <w:pStyle w:val="Normaltext"/>
        <w:jc w:val="center"/>
        <w:rPr>
          <w:rStyle w:val="Siln"/>
          <w:sz w:val="24"/>
        </w:rPr>
      </w:pPr>
      <w:r>
        <w:rPr>
          <w:rStyle w:val="Siln"/>
          <w:sz w:val="24"/>
        </w:rPr>
        <w:t>Vývoj mýtnych sadzieb v</w:t>
      </w:r>
      <w:r w:rsidR="00F50873">
        <w:rPr>
          <w:rStyle w:val="Siln"/>
          <w:sz w:val="24"/>
        </w:rPr>
        <w:t> </w:t>
      </w:r>
      <w:r>
        <w:rPr>
          <w:rStyle w:val="Siln"/>
          <w:sz w:val="24"/>
        </w:rPr>
        <w:t>Nemecku</w:t>
      </w:r>
      <w:r w:rsidR="00F50873">
        <w:rPr>
          <w:rStyle w:val="Siln"/>
          <w:sz w:val="24"/>
        </w:rPr>
        <w:t xml:space="preserve"> (2010 – 2019)</w:t>
      </w:r>
    </w:p>
    <w:tbl>
      <w:tblPr>
        <w:tblW w:w="5000" w:type="pct"/>
        <w:tblLayout w:type="fixed"/>
        <w:tblCellMar>
          <w:left w:w="70" w:type="dxa"/>
          <w:right w:w="70" w:type="dxa"/>
        </w:tblCellMar>
        <w:tblLook w:val="04A0" w:firstRow="1" w:lastRow="0" w:firstColumn="1" w:lastColumn="0" w:noHBand="0" w:noVBand="1"/>
      </w:tblPr>
      <w:tblGrid>
        <w:gridCol w:w="944"/>
        <w:gridCol w:w="469"/>
        <w:gridCol w:w="596"/>
        <w:gridCol w:w="577"/>
        <w:gridCol w:w="597"/>
        <w:gridCol w:w="577"/>
        <w:gridCol w:w="597"/>
        <w:gridCol w:w="591"/>
        <w:gridCol w:w="820"/>
        <w:gridCol w:w="520"/>
        <w:gridCol w:w="48"/>
        <w:gridCol w:w="569"/>
        <w:gridCol w:w="127"/>
        <w:gridCol w:w="484"/>
        <w:gridCol w:w="99"/>
        <w:gridCol w:w="385"/>
        <w:gridCol w:w="594"/>
        <w:gridCol w:w="594"/>
        <w:gridCol w:w="484"/>
        <w:gridCol w:w="484"/>
        <w:gridCol w:w="603"/>
        <w:gridCol w:w="484"/>
        <w:gridCol w:w="484"/>
        <w:gridCol w:w="484"/>
        <w:gridCol w:w="484"/>
        <w:gridCol w:w="484"/>
        <w:gridCol w:w="484"/>
        <w:gridCol w:w="481"/>
      </w:tblGrid>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2019</w:t>
            </w:r>
          </w:p>
        </w:tc>
        <w:tc>
          <w:tcPr>
            <w:tcW w:w="792"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6</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V, EEV1</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47"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EURO3+, IV</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20"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2+,EURO 3</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342"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 xml:space="preserve">EURO 0, 1 </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225"/>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79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914"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789" w:type="pct"/>
            <w:gridSpan w:val="7"/>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76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26"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E</w:t>
            </w:r>
          </w:p>
        </w:tc>
        <w:tc>
          <w:tcPr>
            <w:tcW w:w="683" w:type="pct"/>
            <w:gridSpan w:val="4"/>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F</w:t>
            </w: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9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0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16"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3"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Sazba mýta</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9,30   </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12,80   </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17,30   </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18,70   </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10,40   </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13,90   </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18,40   </w:t>
            </w:r>
          </w:p>
        </w:tc>
        <w:tc>
          <w:tcPr>
            <w:tcW w:w="29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19,80   </w:t>
            </w:r>
          </w:p>
        </w:tc>
        <w:tc>
          <w:tcPr>
            <w:tcW w:w="20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11,40   </w:t>
            </w:r>
          </w:p>
        </w:tc>
        <w:tc>
          <w:tcPr>
            <w:tcW w:w="20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14,90   </w:t>
            </w:r>
          </w:p>
        </w:tc>
        <w:tc>
          <w:tcPr>
            <w:tcW w:w="216"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19,40   </w:t>
            </w:r>
          </w:p>
        </w:tc>
        <w:tc>
          <w:tcPr>
            <w:tcW w:w="17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20,80   </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14,60   </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18,70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22,60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24,00   </w:t>
            </w:r>
          </w:p>
        </w:tc>
        <w:tc>
          <w:tcPr>
            <w:tcW w:w="213"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15,60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19,10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23,60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24,00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16,70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20,20   </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24,70   </w:t>
            </w:r>
          </w:p>
        </w:tc>
        <w:tc>
          <w:tcPr>
            <w:tcW w:w="17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26,10   </w:t>
            </w: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Sadzba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0,09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0,13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0,10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29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16"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0,21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0,23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0,24   </w:t>
            </w:r>
          </w:p>
        </w:tc>
        <w:tc>
          <w:tcPr>
            <w:tcW w:w="213"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0,24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0,24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0,25   </w:t>
            </w:r>
          </w:p>
        </w:tc>
        <w:tc>
          <w:tcPr>
            <w:tcW w:w="17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0,26   </w:t>
            </w: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6"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2018</w:t>
            </w:r>
          </w:p>
        </w:tc>
        <w:tc>
          <w:tcPr>
            <w:tcW w:w="792"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6</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V, EEV1</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02"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EURO3+, IV</w:t>
            </w:r>
          </w:p>
        </w:tc>
        <w:tc>
          <w:tcPr>
            <w:tcW w:w="216"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762"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2+,EURO 3</w:t>
            </w:r>
          </w:p>
        </w:tc>
        <w:tc>
          <w:tcPr>
            <w:tcW w:w="726"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w:t>
            </w:r>
          </w:p>
        </w:tc>
        <w:tc>
          <w:tcPr>
            <w:tcW w:w="342"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 xml:space="preserve">EURO 0, 1 </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225"/>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79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914"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789" w:type="pct"/>
            <w:gridSpan w:val="7"/>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76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26"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E</w:t>
            </w:r>
          </w:p>
        </w:tc>
        <w:tc>
          <w:tcPr>
            <w:tcW w:w="683" w:type="pct"/>
            <w:gridSpan w:val="4"/>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F</w:t>
            </w: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9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F50873">
            <w:pPr>
              <w:spacing w:before="0" w:after="0" w:line="240" w:lineRule="auto"/>
              <w:jc w:val="center"/>
              <w:rPr>
                <w:rFonts w:cs="Calibri"/>
                <w:color w:val="000000"/>
                <w:sz w:val="16"/>
                <w:szCs w:val="16"/>
                <w:lang w:eastAsia="sk-SK"/>
              </w:rPr>
            </w:pPr>
            <w:r w:rsidRPr="0048319F">
              <w:rPr>
                <w:rFonts w:cs="Calibri"/>
                <w:color w:val="000000"/>
                <w:sz w:val="16"/>
                <w:szCs w:val="16"/>
                <w:lang w:eastAsia="sk-SK"/>
              </w:rPr>
              <w:t xml:space="preserve">2 </w:t>
            </w:r>
          </w:p>
        </w:tc>
        <w:tc>
          <w:tcPr>
            <w:tcW w:w="20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F50873">
            <w:pPr>
              <w:spacing w:before="0" w:after="0" w:line="240" w:lineRule="auto"/>
              <w:jc w:val="center"/>
              <w:rPr>
                <w:rFonts w:cs="Calibri"/>
                <w:color w:val="000000"/>
                <w:sz w:val="16"/>
                <w:szCs w:val="16"/>
                <w:lang w:eastAsia="sk-SK"/>
              </w:rPr>
            </w:pPr>
            <w:r w:rsidRPr="0048319F">
              <w:rPr>
                <w:rFonts w:cs="Calibri"/>
                <w:color w:val="000000"/>
                <w:sz w:val="16"/>
                <w:szCs w:val="16"/>
                <w:lang w:eastAsia="sk-SK"/>
              </w:rPr>
              <w:t xml:space="preserve">3 </w:t>
            </w:r>
          </w:p>
        </w:tc>
        <w:tc>
          <w:tcPr>
            <w:tcW w:w="216"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3"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Sadzba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0,08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0,12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0,10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0,13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9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16"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17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13"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0,21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0,22   </w:t>
            </w: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6"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2017</w:t>
            </w:r>
          </w:p>
        </w:tc>
        <w:tc>
          <w:tcPr>
            <w:tcW w:w="792"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6</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V, EEV1</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02"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EURO3+, IV</w:t>
            </w:r>
          </w:p>
        </w:tc>
        <w:tc>
          <w:tcPr>
            <w:tcW w:w="216"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762"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2+,EURO 3</w:t>
            </w:r>
          </w:p>
        </w:tc>
        <w:tc>
          <w:tcPr>
            <w:tcW w:w="726"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w:t>
            </w:r>
          </w:p>
        </w:tc>
        <w:tc>
          <w:tcPr>
            <w:tcW w:w="342"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 xml:space="preserve">EURO 0, 1 </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225"/>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79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914"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789" w:type="pct"/>
            <w:gridSpan w:val="7"/>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76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26"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E</w:t>
            </w:r>
          </w:p>
        </w:tc>
        <w:tc>
          <w:tcPr>
            <w:tcW w:w="683" w:type="pct"/>
            <w:gridSpan w:val="4"/>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F</w:t>
            </w: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9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0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16"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3"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Sadzba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0,08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0,12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0,10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0,13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9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16"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17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13"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0,21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0,22   </w:t>
            </w: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6"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2016</w:t>
            </w:r>
          </w:p>
        </w:tc>
        <w:tc>
          <w:tcPr>
            <w:tcW w:w="792"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6</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V, EEV1</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02"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EURO3+, IV</w:t>
            </w:r>
          </w:p>
        </w:tc>
        <w:tc>
          <w:tcPr>
            <w:tcW w:w="216"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20"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2+,EURO 3</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342"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 xml:space="preserve">EURO 0, 1 </w:t>
            </w: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225"/>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79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914"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789" w:type="pct"/>
            <w:gridSpan w:val="7"/>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762"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26" w:type="pct"/>
            <w:gridSpan w:val="4"/>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E</w:t>
            </w:r>
          </w:p>
        </w:tc>
        <w:tc>
          <w:tcPr>
            <w:tcW w:w="683" w:type="pct"/>
            <w:gridSpan w:val="4"/>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F</w:t>
            </w: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9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0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0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16"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21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213"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7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17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od 5</w:t>
            </w: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Sadzba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0,08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0,12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0,10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0,13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9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0,11   </w:t>
            </w:r>
          </w:p>
        </w:tc>
        <w:tc>
          <w:tcPr>
            <w:tcW w:w="20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16"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17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13"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0,21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17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0,22   </w:t>
            </w: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6"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2015</w:t>
            </w:r>
          </w:p>
        </w:tc>
        <w:tc>
          <w:tcPr>
            <w:tcW w:w="377"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6</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V, EEV1</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EURO3+, IV</w:t>
            </w:r>
          </w:p>
        </w:tc>
        <w:tc>
          <w:tcPr>
            <w:tcW w:w="499"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2+,EURO 3</w:t>
            </w:r>
          </w:p>
        </w:tc>
        <w:tc>
          <w:tcPr>
            <w:tcW w:w="402"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EURO 2</w:t>
            </w:r>
          </w:p>
        </w:tc>
        <w:tc>
          <w:tcPr>
            <w:tcW w:w="387" w:type="pct"/>
            <w:gridSpan w:val="4"/>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 xml:space="preserve">EURO 0, 1 </w:t>
            </w: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166" w:type="pct"/>
            <w:tcBorders>
              <w:top w:val="single" w:sz="8" w:space="0" w:color="auto"/>
              <w:left w:val="nil"/>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A</w:t>
            </w:r>
          </w:p>
        </w:tc>
        <w:tc>
          <w:tcPr>
            <w:tcW w:w="211" w:type="pct"/>
            <w:tcBorders>
              <w:top w:val="single" w:sz="8" w:space="0" w:color="auto"/>
              <w:left w:val="nil"/>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204" w:type="pct"/>
            <w:tcBorders>
              <w:top w:val="single" w:sz="8" w:space="0" w:color="auto"/>
              <w:left w:val="single" w:sz="4" w:space="0" w:color="auto"/>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B</w:t>
            </w:r>
          </w:p>
        </w:tc>
        <w:tc>
          <w:tcPr>
            <w:tcW w:w="211" w:type="pct"/>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204" w:type="pct"/>
            <w:tcBorders>
              <w:top w:val="single" w:sz="8" w:space="0" w:color="auto"/>
              <w:left w:val="nil"/>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C</w:t>
            </w:r>
          </w:p>
        </w:tc>
        <w:tc>
          <w:tcPr>
            <w:tcW w:w="211" w:type="pct"/>
            <w:tcBorders>
              <w:top w:val="single" w:sz="8" w:space="0" w:color="auto"/>
              <w:left w:val="nil"/>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209" w:type="pct"/>
            <w:tcBorders>
              <w:top w:val="single" w:sz="8" w:space="0" w:color="auto"/>
              <w:left w:val="single" w:sz="4" w:space="0" w:color="auto"/>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D</w:t>
            </w:r>
          </w:p>
        </w:tc>
        <w:tc>
          <w:tcPr>
            <w:tcW w:w="290" w:type="pct"/>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201" w:type="pct"/>
            <w:gridSpan w:val="2"/>
            <w:tcBorders>
              <w:top w:val="single" w:sz="8" w:space="0" w:color="auto"/>
              <w:left w:val="nil"/>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E</w:t>
            </w:r>
          </w:p>
        </w:tc>
        <w:tc>
          <w:tcPr>
            <w:tcW w:w="201" w:type="pct"/>
            <w:tcBorders>
              <w:top w:val="single" w:sz="8" w:space="0" w:color="auto"/>
              <w:left w:val="nil"/>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251" w:type="pct"/>
            <w:gridSpan w:val="3"/>
            <w:tcBorders>
              <w:top w:val="single" w:sz="8" w:space="0" w:color="auto"/>
              <w:left w:val="single" w:sz="4" w:space="0" w:color="auto"/>
              <w:bottom w:val="single" w:sz="4" w:space="0" w:color="auto"/>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F</w:t>
            </w:r>
          </w:p>
        </w:tc>
        <w:tc>
          <w:tcPr>
            <w:tcW w:w="136" w:type="pct"/>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90"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01" w:type="pct"/>
            <w:gridSpan w:val="2"/>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20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51" w:type="pct"/>
            <w:gridSpan w:val="3"/>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3</w:t>
            </w:r>
          </w:p>
        </w:tc>
        <w:tc>
          <w:tcPr>
            <w:tcW w:w="13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4</w:t>
            </w: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Sadzba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0,13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0,13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0,15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90"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01" w:type="pct"/>
            <w:gridSpan w:val="2"/>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51" w:type="pct"/>
            <w:gridSpan w:val="3"/>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0,21   </w:t>
            </w:r>
          </w:p>
        </w:tc>
        <w:tc>
          <w:tcPr>
            <w:tcW w:w="13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0,21   </w:t>
            </w: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51"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3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2014</w:t>
            </w:r>
          </w:p>
        </w:tc>
        <w:tc>
          <w:tcPr>
            <w:tcW w:w="377"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S5,S6</w:t>
            </w:r>
          </w:p>
        </w:tc>
        <w:tc>
          <w:tcPr>
            <w:tcW w:w="20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S3+,S4</w:t>
            </w:r>
          </w:p>
        </w:tc>
        <w:tc>
          <w:tcPr>
            <w:tcW w:w="21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S3, S2+</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S2, S1</w:t>
            </w: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0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0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51"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36"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300"/>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377"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499" w:type="pct"/>
            <w:gridSpan w:val="2"/>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89" w:type="pct"/>
            <w:gridSpan w:val="7"/>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w:t>
            </w:r>
          </w:p>
        </w:tc>
        <w:tc>
          <w:tcPr>
            <w:tcW w:w="975" w:type="pct"/>
            <w:gridSpan w:val="5"/>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683"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9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0,27   </w:t>
            </w:r>
          </w:p>
        </w:tc>
        <w:tc>
          <w:tcPr>
            <w:tcW w:w="29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0,29   </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2013</w:t>
            </w:r>
          </w:p>
        </w:tc>
        <w:tc>
          <w:tcPr>
            <w:tcW w:w="166"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S5</w:t>
            </w:r>
          </w:p>
        </w:tc>
        <w:tc>
          <w:tcPr>
            <w:tcW w:w="21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S4, S3+</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S3, S2+</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S2, S1</w:t>
            </w: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300"/>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377"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499" w:type="pct"/>
            <w:gridSpan w:val="2"/>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89" w:type="pct"/>
            <w:gridSpan w:val="7"/>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62"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26"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683"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9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0,27   </w:t>
            </w:r>
          </w:p>
        </w:tc>
        <w:tc>
          <w:tcPr>
            <w:tcW w:w="29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0,29   </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2012</w:t>
            </w:r>
          </w:p>
        </w:tc>
        <w:tc>
          <w:tcPr>
            <w:tcW w:w="166"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S5</w:t>
            </w:r>
          </w:p>
        </w:tc>
        <w:tc>
          <w:tcPr>
            <w:tcW w:w="21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S4, S3+</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S3, S2+</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S2, S1</w:t>
            </w: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300"/>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377"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499" w:type="pct"/>
            <w:gridSpan w:val="2"/>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89" w:type="pct"/>
            <w:gridSpan w:val="7"/>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62"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26"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683"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9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0,27   </w:t>
            </w:r>
          </w:p>
        </w:tc>
        <w:tc>
          <w:tcPr>
            <w:tcW w:w="29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0,29   </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2011</w:t>
            </w:r>
          </w:p>
        </w:tc>
        <w:tc>
          <w:tcPr>
            <w:tcW w:w="166"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S5</w:t>
            </w:r>
          </w:p>
        </w:tc>
        <w:tc>
          <w:tcPr>
            <w:tcW w:w="21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S4, S3+</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S3, S2+</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S2, S1</w:t>
            </w: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300"/>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377"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499" w:type="pct"/>
            <w:gridSpan w:val="2"/>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89" w:type="pct"/>
            <w:gridSpan w:val="7"/>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62"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26"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683"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9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0,27   </w:t>
            </w:r>
          </w:p>
        </w:tc>
        <w:tc>
          <w:tcPr>
            <w:tcW w:w="29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0,29   </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25"/>
        </w:trPr>
        <w:tc>
          <w:tcPr>
            <w:tcW w:w="33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66"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09"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9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2010</w:t>
            </w:r>
          </w:p>
        </w:tc>
        <w:tc>
          <w:tcPr>
            <w:tcW w:w="166"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S5</w:t>
            </w:r>
          </w:p>
        </w:tc>
        <w:tc>
          <w:tcPr>
            <w:tcW w:w="21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S4, S3+</w:t>
            </w:r>
          </w:p>
        </w:tc>
        <w:tc>
          <w:tcPr>
            <w:tcW w:w="415"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S3, S2+</w:t>
            </w:r>
          </w:p>
        </w:tc>
        <w:tc>
          <w:tcPr>
            <w:tcW w:w="209"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S2, S1</w:t>
            </w:r>
          </w:p>
        </w:tc>
        <w:tc>
          <w:tcPr>
            <w:tcW w:w="29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84"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F50873" w:rsidRPr="0048319F" w:rsidRDefault="00F50873" w:rsidP="0048319F">
            <w:pPr>
              <w:spacing w:before="0" w:after="0" w:line="240" w:lineRule="auto"/>
              <w:jc w:val="left"/>
              <w:rPr>
                <w:rFonts w:cs="Calibri"/>
                <w:color w:val="000000"/>
                <w:sz w:val="16"/>
                <w:szCs w:val="16"/>
                <w:lang w:eastAsia="sk-SK"/>
              </w:rPr>
            </w:pPr>
          </w:p>
        </w:tc>
      </w:tr>
      <w:tr w:rsidR="0048319F" w:rsidRPr="0048319F" w:rsidTr="00F50873">
        <w:trPr>
          <w:trHeight w:val="300"/>
        </w:trPr>
        <w:tc>
          <w:tcPr>
            <w:tcW w:w="334" w:type="pct"/>
            <w:tcBorders>
              <w:top w:val="single" w:sz="8" w:space="0" w:color="auto"/>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Kategória</w:t>
            </w:r>
          </w:p>
        </w:tc>
        <w:tc>
          <w:tcPr>
            <w:tcW w:w="377"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A</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B</w:t>
            </w:r>
          </w:p>
        </w:tc>
        <w:tc>
          <w:tcPr>
            <w:tcW w:w="415" w:type="pct"/>
            <w:gridSpan w:val="2"/>
            <w:tcBorders>
              <w:top w:val="single" w:sz="8" w:space="0" w:color="auto"/>
              <w:left w:val="nil"/>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C</w:t>
            </w:r>
          </w:p>
        </w:tc>
        <w:tc>
          <w:tcPr>
            <w:tcW w:w="499" w:type="pct"/>
            <w:gridSpan w:val="2"/>
            <w:tcBorders>
              <w:top w:val="single" w:sz="8" w:space="0" w:color="auto"/>
              <w:left w:val="nil"/>
              <w:bottom w:val="single" w:sz="4" w:space="0" w:color="auto"/>
              <w:right w:val="single" w:sz="8" w:space="0" w:color="000000"/>
            </w:tcBorders>
            <w:shd w:val="clear" w:color="000000" w:fill="C5D9F1"/>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r w:rsidRPr="0048319F">
              <w:rPr>
                <w:rFonts w:cs="Calibri"/>
                <w:color w:val="000000"/>
                <w:sz w:val="16"/>
                <w:szCs w:val="16"/>
                <w:lang w:eastAsia="sk-SK"/>
              </w:rPr>
              <w:t>D</w:t>
            </w:r>
          </w:p>
        </w:tc>
        <w:tc>
          <w:tcPr>
            <w:tcW w:w="789" w:type="pct"/>
            <w:gridSpan w:val="7"/>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62"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726"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c>
          <w:tcPr>
            <w:tcW w:w="683" w:type="pct"/>
            <w:gridSpan w:val="4"/>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center"/>
              <w:rPr>
                <w:rFonts w:cs="Calibri"/>
                <w:color w:val="000000"/>
                <w:sz w:val="16"/>
                <w:szCs w:val="16"/>
                <w:lang w:eastAsia="sk-SK"/>
              </w:rPr>
            </w:pPr>
          </w:p>
        </w:tc>
      </w:tr>
      <w:tr w:rsidR="00F50873" w:rsidRPr="0048319F" w:rsidTr="00F50873">
        <w:trPr>
          <w:trHeight w:val="225"/>
        </w:trPr>
        <w:tc>
          <w:tcPr>
            <w:tcW w:w="334" w:type="pct"/>
            <w:tcBorders>
              <w:top w:val="nil"/>
              <w:left w:val="single" w:sz="8" w:space="0" w:color="auto"/>
              <w:bottom w:val="single" w:sz="4"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Počet náprav</w:t>
            </w:r>
          </w:p>
        </w:tc>
        <w:tc>
          <w:tcPr>
            <w:tcW w:w="166"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4"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11"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209" w:type="pct"/>
            <w:tcBorders>
              <w:top w:val="nil"/>
              <w:left w:val="nil"/>
              <w:bottom w:val="single" w:sz="4"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do 3</w:t>
            </w:r>
          </w:p>
        </w:tc>
        <w:tc>
          <w:tcPr>
            <w:tcW w:w="290" w:type="pct"/>
            <w:tcBorders>
              <w:top w:val="nil"/>
              <w:left w:val="nil"/>
              <w:bottom w:val="single" w:sz="4"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4 a viac</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r w:rsidR="00F50873" w:rsidRPr="0048319F" w:rsidTr="00F50873">
        <w:trPr>
          <w:trHeight w:val="240"/>
        </w:trPr>
        <w:tc>
          <w:tcPr>
            <w:tcW w:w="334" w:type="pct"/>
            <w:tcBorders>
              <w:top w:val="nil"/>
              <w:left w:val="single" w:sz="8" w:space="0" w:color="auto"/>
              <w:bottom w:val="single" w:sz="8" w:space="0" w:color="auto"/>
              <w:right w:val="single" w:sz="4" w:space="0" w:color="auto"/>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r w:rsidRPr="0048319F">
              <w:rPr>
                <w:rFonts w:cs="Calibri"/>
                <w:color w:val="000000"/>
                <w:sz w:val="16"/>
                <w:szCs w:val="16"/>
                <w:lang w:eastAsia="sk-SK"/>
              </w:rPr>
              <w:t>Sazba mýta</w:t>
            </w:r>
          </w:p>
        </w:tc>
        <w:tc>
          <w:tcPr>
            <w:tcW w:w="166"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0,14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0,16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0,17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0,18   </w:t>
            </w:r>
          </w:p>
        </w:tc>
        <w:tc>
          <w:tcPr>
            <w:tcW w:w="204"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0,19   </w:t>
            </w:r>
          </w:p>
        </w:tc>
        <w:tc>
          <w:tcPr>
            <w:tcW w:w="211"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0,20   </w:t>
            </w:r>
          </w:p>
        </w:tc>
        <w:tc>
          <w:tcPr>
            <w:tcW w:w="209" w:type="pct"/>
            <w:tcBorders>
              <w:top w:val="nil"/>
              <w:left w:val="nil"/>
              <w:bottom w:val="single" w:sz="8" w:space="0" w:color="auto"/>
              <w:right w:val="single" w:sz="4"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0,27   </w:t>
            </w:r>
          </w:p>
        </w:tc>
        <w:tc>
          <w:tcPr>
            <w:tcW w:w="290" w:type="pct"/>
            <w:tcBorders>
              <w:top w:val="nil"/>
              <w:left w:val="nil"/>
              <w:bottom w:val="single" w:sz="8" w:space="0" w:color="auto"/>
              <w:right w:val="single" w:sz="8" w:space="0" w:color="auto"/>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6"/>
                <w:szCs w:val="16"/>
                <w:lang w:eastAsia="sk-SK"/>
              </w:rPr>
            </w:pPr>
            <w:r w:rsidRPr="0048319F">
              <w:rPr>
                <w:rFonts w:cs="Calibri"/>
                <w:color w:val="000000"/>
                <w:sz w:val="16"/>
                <w:szCs w:val="16"/>
                <w:lang w:eastAsia="sk-SK"/>
              </w:rPr>
              <w:t xml:space="preserve">0,29   </w:t>
            </w:r>
          </w:p>
        </w:tc>
        <w:tc>
          <w:tcPr>
            <w:tcW w:w="18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63" w:type="pct"/>
            <w:gridSpan w:val="3"/>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gridSpan w:val="2"/>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2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c>
          <w:tcPr>
            <w:tcW w:w="1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6"/>
                <w:szCs w:val="16"/>
                <w:lang w:eastAsia="sk-SK"/>
              </w:rPr>
            </w:pPr>
          </w:p>
        </w:tc>
      </w:tr>
    </w:tbl>
    <w:p w:rsidR="00F50873" w:rsidRDefault="00F50873">
      <w:pPr>
        <w:spacing w:before="0" w:after="0" w:line="240" w:lineRule="auto"/>
        <w:jc w:val="left"/>
        <w:rPr>
          <w:rStyle w:val="Siln"/>
          <w:sz w:val="24"/>
        </w:rPr>
      </w:pPr>
      <w:r>
        <w:rPr>
          <w:rStyle w:val="Siln"/>
          <w:sz w:val="24"/>
        </w:rPr>
        <w:br w:type="page"/>
      </w:r>
    </w:p>
    <w:p w:rsidR="009111C8" w:rsidRDefault="009111C8" w:rsidP="0021472A">
      <w:pPr>
        <w:pStyle w:val="Normaltext"/>
        <w:jc w:val="center"/>
        <w:rPr>
          <w:rStyle w:val="Siln"/>
          <w:sz w:val="24"/>
        </w:rPr>
      </w:pPr>
    </w:p>
    <w:p w:rsidR="0098463D" w:rsidRDefault="0048319F" w:rsidP="0021472A">
      <w:pPr>
        <w:pStyle w:val="Normaltext"/>
        <w:jc w:val="center"/>
        <w:rPr>
          <w:rStyle w:val="Siln"/>
          <w:sz w:val="24"/>
        </w:rPr>
      </w:pPr>
      <w:r>
        <w:rPr>
          <w:rStyle w:val="Siln"/>
          <w:sz w:val="24"/>
        </w:rPr>
        <w:t xml:space="preserve">Vývoj mýtnych sadzieb v Rakúsku </w:t>
      </w:r>
      <w:r w:rsidR="00F50873">
        <w:rPr>
          <w:rStyle w:val="Siln"/>
          <w:sz w:val="24"/>
        </w:rPr>
        <w:t>(2010 – 2019)</w:t>
      </w:r>
    </w:p>
    <w:tbl>
      <w:tblPr>
        <w:tblW w:w="5000" w:type="pct"/>
        <w:tblCellMar>
          <w:left w:w="70" w:type="dxa"/>
          <w:right w:w="70" w:type="dxa"/>
        </w:tblCellMar>
        <w:tblLook w:val="04A0" w:firstRow="1" w:lastRow="0" w:firstColumn="1" w:lastColumn="0" w:noHBand="0" w:noVBand="1"/>
      </w:tblPr>
      <w:tblGrid>
        <w:gridCol w:w="4113"/>
        <w:gridCol w:w="2300"/>
        <w:gridCol w:w="1612"/>
        <w:gridCol w:w="1762"/>
        <w:gridCol w:w="1672"/>
        <w:gridCol w:w="1672"/>
        <w:gridCol w:w="1013"/>
      </w:tblGrid>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Pr>
                <w:rFonts w:cs="Calibri"/>
                <w:color w:val="000000"/>
                <w:sz w:val="18"/>
                <w:szCs w:val="18"/>
                <w:lang w:eastAsia="sk-SK"/>
              </w:rPr>
              <w:t>2019</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AT</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 </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nápravy</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nápravy</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náprav</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 </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deň</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deň</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deň </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Drive type E/H2*</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0,1855</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0,1859</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0,2603</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0,2613</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0,3901</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0,3913</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EURO-emission class EURO VI</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0,1882</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0,1886</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0,2641</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0,2650</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0,3944</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0,3956</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EURO-emission class EURO V and EEV</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0,2024</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0,2028</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0,2840</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0,2849</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0,4188</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0,4199</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EURO-emission class EURO IV</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0,2087</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0,2091</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0,2928</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0,2937</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0,4288</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0,4300</w:t>
            </w: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EURO-emission class EURO 0 to III</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0,2287</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0,2291</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0,3208</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0,3217</w:t>
            </w:r>
          </w:p>
        </w:tc>
        <w:tc>
          <w:tcPr>
            <w:tcW w:w="591"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0,4608</w:t>
            </w:r>
          </w:p>
        </w:tc>
        <w:tc>
          <w:tcPr>
            <w:tcW w:w="358"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0,4620</w:t>
            </w: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2018</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 </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nápravy</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nápravy</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náprav</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deň</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deň</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deň </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0,1810</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0,1814</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0,2540</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0,2549</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0,3806</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0,3818</w:t>
            </w: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V - EEV</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0,1984</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0,1988</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0,2784</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0,2793</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0,4103</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0,4115</w:t>
            </w: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0,2047</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0,2051</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0,2872</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0,2881</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0,4204</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0,4216</w:t>
            </w:r>
          </w:p>
        </w:tc>
      </w:tr>
      <w:tr w:rsidR="0048319F" w:rsidRPr="0048319F" w:rsidTr="0048319F">
        <w:trPr>
          <w:trHeight w:val="240"/>
        </w:trPr>
        <w:tc>
          <w:tcPr>
            <w:tcW w:w="1454"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0,2247</w:t>
            </w:r>
          </w:p>
        </w:tc>
        <w:tc>
          <w:tcPr>
            <w:tcW w:w="570"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0,2251</w:t>
            </w:r>
          </w:p>
        </w:tc>
        <w:tc>
          <w:tcPr>
            <w:tcW w:w="623"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0,3152</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0,3161</w:t>
            </w:r>
          </w:p>
        </w:tc>
        <w:tc>
          <w:tcPr>
            <w:tcW w:w="591"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0,4524</w:t>
            </w:r>
          </w:p>
        </w:tc>
        <w:tc>
          <w:tcPr>
            <w:tcW w:w="358" w:type="pct"/>
            <w:tcBorders>
              <w:top w:val="nil"/>
              <w:left w:val="nil"/>
              <w:bottom w:val="nil"/>
              <w:right w:val="nil"/>
            </w:tcBorders>
            <w:shd w:val="clear" w:color="000000" w:fill="F2F2F2"/>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0,4536</w:t>
            </w: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2017</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 </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w:t>
            </w: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deň</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deň</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deň </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noc</w:t>
            </w: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0,1780</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0,1784</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0,2498</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0,2508</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0,3744</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0,3755</w:t>
            </w: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V - EEV</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0,1966</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0,1970</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0,2759</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0,2768</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0,4066</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0,4077</w:t>
            </w: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0,2029</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0,2033</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0,2847</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0,2856</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0,4167</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0,4178</w:t>
            </w:r>
          </w:p>
        </w:tc>
      </w:tr>
      <w:tr w:rsidR="0048319F" w:rsidRPr="0048319F" w:rsidTr="0048319F">
        <w:trPr>
          <w:trHeight w:val="240"/>
        </w:trPr>
        <w:tc>
          <w:tcPr>
            <w:tcW w:w="1454"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0,2229</w:t>
            </w:r>
          </w:p>
        </w:tc>
        <w:tc>
          <w:tcPr>
            <w:tcW w:w="570"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0,2233</w:t>
            </w:r>
          </w:p>
        </w:tc>
        <w:tc>
          <w:tcPr>
            <w:tcW w:w="623"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0,3127</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0,3136</w:t>
            </w:r>
          </w:p>
        </w:tc>
        <w:tc>
          <w:tcPr>
            <w:tcW w:w="591"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0,4487</w:t>
            </w:r>
          </w:p>
        </w:tc>
        <w:tc>
          <w:tcPr>
            <w:tcW w:w="358" w:type="pct"/>
            <w:tcBorders>
              <w:top w:val="nil"/>
              <w:left w:val="nil"/>
              <w:bottom w:val="nil"/>
              <w:right w:val="nil"/>
            </w:tcBorders>
            <w:shd w:val="clear" w:color="000000" w:fill="DDD9C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0,4489</w:t>
            </w: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2016</w:t>
            </w:r>
          </w:p>
        </w:tc>
        <w:tc>
          <w:tcPr>
            <w:tcW w:w="81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62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62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0,1620</w:t>
            </w:r>
          </w:p>
        </w:tc>
        <w:tc>
          <w:tcPr>
            <w:tcW w:w="570"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0,2268</w:t>
            </w:r>
          </w:p>
        </w:tc>
        <w:tc>
          <w:tcPr>
            <w:tcW w:w="62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0,3402</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EEV</w:t>
            </w:r>
          </w:p>
        </w:tc>
        <w:tc>
          <w:tcPr>
            <w:tcW w:w="81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0,1670</w:t>
            </w:r>
          </w:p>
        </w:tc>
        <w:tc>
          <w:tcPr>
            <w:tcW w:w="570"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0,2338</w:t>
            </w:r>
          </w:p>
        </w:tc>
        <w:tc>
          <w:tcPr>
            <w:tcW w:w="62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0,3507</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 V</w:t>
            </w:r>
          </w:p>
        </w:tc>
        <w:tc>
          <w:tcPr>
            <w:tcW w:w="81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0,1850</w:t>
            </w:r>
          </w:p>
        </w:tc>
        <w:tc>
          <w:tcPr>
            <w:tcW w:w="570"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0,2590</w:t>
            </w:r>
          </w:p>
        </w:tc>
        <w:tc>
          <w:tcPr>
            <w:tcW w:w="62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0,3885</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0,2080</w:t>
            </w:r>
          </w:p>
        </w:tc>
        <w:tc>
          <w:tcPr>
            <w:tcW w:w="570"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0,2921</w:t>
            </w:r>
          </w:p>
        </w:tc>
        <w:tc>
          <w:tcPr>
            <w:tcW w:w="623" w:type="pct"/>
            <w:tcBorders>
              <w:top w:val="nil"/>
              <w:left w:val="nil"/>
              <w:bottom w:val="nil"/>
              <w:right w:val="nil"/>
            </w:tcBorders>
            <w:shd w:val="clear" w:color="000000" w:fill="C5D9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0,4368</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2015</w:t>
            </w:r>
          </w:p>
        </w:tc>
        <w:tc>
          <w:tcPr>
            <w:tcW w:w="81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62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62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0,1560</w:t>
            </w:r>
          </w:p>
        </w:tc>
        <w:tc>
          <w:tcPr>
            <w:tcW w:w="570"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0,2184</w:t>
            </w:r>
          </w:p>
        </w:tc>
        <w:tc>
          <w:tcPr>
            <w:tcW w:w="62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0,3276</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EEV</w:t>
            </w:r>
          </w:p>
        </w:tc>
        <w:tc>
          <w:tcPr>
            <w:tcW w:w="81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0,1700</w:t>
            </w:r>
          </w:p>
        </w:tc>
        <w:tc>
          <w:tcPr>
            <w:tcW w:w="570"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0,2380</w:t>
            </w:r>
          </w:p>
        </w:tc>
        <w:tc>
          <w:tcPr>
            <w:tcW w:w="62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0,3570</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 V</w:t>
            </w:r>
          </w:p>
        </w:tc>
        <w:tc>
          <w:tcPr>
            <w:tcW w:w="81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0,1880</w:t>
            </w:r>
          </w:p>
        </w:tc>
        <w:tc>
          <w:tcPr>
            <w:tcW w:w="570"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0,2632</w:t>
            </w:r>
          </w:p>
        </w:tc>
        <w:tc>
          <w:tcPr>
            <w:tcW w:w="62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0,3948</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0,2110</w:t>
            </w:r>
          </w:p>
        </w:tc>
        <w:tc>
          <w:tcPr>
            <w:tcW w:w="570"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0,2954</w:t>
            </w:r>
          </w:p>
        </w:tc>
        <w:tc>
          <w:tcPr>
            <w:tcW w:w="623" w:type="pct"/>
            <w:tcBorders>
              <w:top w:val="nil"/>
              <w:left w:val="nil"/>
              <w:bottom w:val="nil"/>
              <w:right w:val="nil"/>
            </w:tcBorders>
            <w:shd w:val="clear" w:color="000000" w:fill="DBE5F1"/>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0,4431</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2014</w:t>
            </w:r>
          </w:p>
        </w:tc>
        <w:tc>
          <w:tcPr>
            <w:tcW w:w="81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62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62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0,1620</w:t>
            </w:r>
          </w:p>
        </w:tc>
        <w:tc>
          <w:tcPr>
            <w:tcW w:w="570"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0,2268</w:t>
            </w:r>
          </w:p>
        </w:tc>
        <w:tc>
          <w:tcPr>
            <w:tcW w:w="62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0,3402</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EEV</w:t>
            </w:r>
          </w:p>
        </w:tc>
        <w:tc>
          <w:tcPr>
            <w:tcW w:w="81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0,1670</w:t>
            </w:r>
          </w:p>
        </w:tc>
        <w:tc>
          <w:tcPr>
            <w:tcW w:w="570"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0,2338</w:t>
            </w:r>
          </w:p>
        </w:tc>
        <w:tc>
          <w:tcPr>
            <w:tcW w:w="62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0,3507</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 V</w:t>
            </w:r>
          </w:p>
        </w:tc>
        <w:tc>
          <w:tcPr>
            <w:tcW w:w="81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0,1850</w:t>
            </w:r>
          </w:p>
        </w:tc>
        <w:tc>
          <w:tcPr>
            <w:tcW w:w="570"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0,2590</w:t>
            </w:r>
          </w:p>
        </w:tc>
        <w:tc>
          <w:tcPr>
            <w:tcW w:w="62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0,3885</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0,2080</w:t>
            </w:r>
          </w:p>
        </w:tc>
        <w:tc>
          <w:tcPr>
            <w:tcW w:w="570"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0,2921</w:t>
            </w:r>
          </w:p>
        </w:tc>
        <w:tc>
          <w:tcPr>
            <w:tcW w:w="623" w:type="pct"/>
            <w:tcBorders>
              <w:top w:val="nil"/>
              <w:left w:val="nil"/>
              <w:bottom w:val="nil"/>
              <w:right w:val="nil"/>
            </w:tcBorders>
            <w:shd w:val="clear" w:color="000000" w:fill="F2DDDC"/>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0,4368</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2013</w:t>
            </w:r>
          </w:p>
        </w:tc>
        <w:tc>
          <w:tcPr>
            <w:tcW w:w="81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62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62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0,1490</w:t>
            </w:r>
          </w:p>
        </w:tc>
        <w:tc>
          <w:tcPr>
            <w:tcW w:w="570"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0,2086</w:t>
            </w:r>
          </w:p>
        </w:tc>
        <w:tc>
          <w:tcPr>
            <w:tcW w:w="62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0,3129</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EEV</w:t>
            </w:r>
          </w:p>
        </w:tc>
        <w:tc>
          <w:tcPr>
            <w:tcW w:w="81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0,1550</w:t>
            </w:r>
          </w:p>
        </w:tc>
        <w:tc>
          <w:tcPr>
            <w:tcW w:w="570"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0,2170</w:t>
            </w:r>
          </w:p>
        </w:tc>
        <w:tc>
          <w:tcPr>
            <w:tcW w:w="62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0,3255</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 V</w:t>
            </w:r>
          </w:p>
        </w:tc>
        <w:tc>
          <w:tcPr>
            <w:tcW w:w="81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0,1700</w:t>
            </w:r>
          </w:p>
        </w:tc>
        <w:tc>
          <w:tcPr>
            <w:tcW w:w="570"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0,2380</w:t>
            </w:r>
          </w:p>
        </w:tc>
        <w:tc>
          <w:tcPr>
            <w:tcW w:w="62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0,3570</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0,1930</w:t>
            </w:r>
          </w:p>
        </w:tc>
        <w:tc>
          <w:tcPr>
            <w:tcW w:w="570"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0,2702</w:t>
            </w:r>
          </w:p>
        </w:tc>
        <w:tc>
          <w:tcPr>
            <w:tcW w:w="623" w:type="pct"/>
            <w:tcBorders>
              <w:top w:val="nil"/>
              <w:left w:val="nil"/>
              <w:bottom w:val="nil"/>
              <w:right w:val="nil"/>
            </w:tcBorders>
            <w:shd w:val="clear" w:color="000000" w:fill="EAF1DD"/>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0,4053</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2012</w:t>
            </w:r>
          </w:p>
        </w:tc>
        <w:tc>
          <w:tcPr>
            <w:tcW w:w="81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62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62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VI</w:t>
            </w:r>
          </w:p>
        </w:tc>
        <w:tc>
          <w:tcPr>
            <w:tcW w:w="81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0,1460</w:t>
            </w:r>
          </w:p>
        </w:tc>
        <w:tc>
          <w:tcPr>
            <w:tcW w:w="570"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0,2044</w:t>
            </w:r>
          </w:p>
        </w:tc>
        <w:tc>
          <w:tcPr>
            <w:tcW w:w="62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0,3066</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EEV</w:t>
            </w:r>
          </w:p>
        </w:tc>
        <w:tc>
          <w:tcPr>
            <w:tcW w:w="81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0,1560</w:t>
            </w:r>
          </w:p>
        </w:tc>
        <w:tc>
          <w:tcPr>
            <w:tcW w:w="570"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0,2184</w:t>
            </w:r>
          </w:p>
        </w:tc>
        <w:tc>
          <w:tcPr>
            <w:tcW w:w="62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0,3276</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IV, V</w:t>
            </w:r>
          </w:p>
        </w:tc>
        <w:tc>
          <w:tcPr>
            <w:tcW w:w="81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0,1780</w:t>
            </w:r>
          </w:p>
        </w:tc>
        <w:tc>
          <w:tcPr>
            <w:tcW w:w="570"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0,2492</w:t>
            </w:r>
          </w:p>
        </w:tc>
        <w:tc>
          <w:tcPr>
            <w:tcW w:w="62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0,3738</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D Emisná trieda EURO 0 - III</w:t>
            </w:r>
          </w:p>
        </w:tc>
        <w:tc>
          <w:tcPr>
            <w:tcW w:w="81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0,2056</w:t>
            </w:r>
          </w:p>
        </w:tc>
        <w:tc>
          <w:tcPr>
            <w:tcW w:w="570"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0,2880</w:t>
            </w:r>
          </w:p>
        </w:tc>
        <w:tc>
          <w:tcPr>
            <w:tcW w:w="623" w:type="pct"/>
            <w:tcBorders>
              <w:top w:val="nil"/>
              <w:left w:val="nil"/>
              <w:bottom w:val="nil"/>
              <w:right w:val="nil"/>
            </w:tcBorders>
            <w:shd w:val="clear" w:color="000000" w:fill="DBEEF3"/>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0,4321</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p>
        </w:tc>
        <w:tc>
          <w:tcPr>
            <w:tcW w:w="81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70"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623"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2011</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kategória 2</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3 </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kategória 4+ </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sadzby</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 xml:space="preserve"> 2 osi</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3 osi</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4 a viac osí</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Emisná trieda EURO EEV a VI</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0,1460</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0,2044</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0,3066</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B Emisná trieda EURO IV a V</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0,1560</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0,2184</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0,3276</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r w:rsidR="0048319F" w:rsidRPr="0048319F" w:rsidTr="0048319F">
        <w:trPr>
          <w:trHeight w:val="240"/>
        </w:trPr>
        <w:tc>
          <w:tcPr>
            <w:tcW w:w="1454"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left"/>
              <w:rPr>
                <w:rFonts w:cs="Calibri"/>
                <w:color w:val="000000"/>
                <w:sz w:val="18"/>
                <w:szCs w:val="18"/>
                <w:lang w:eastAsia="sk-SK"/>
              </w:rPr>
            </w:pPr>
            <w:r w:rsidRPr="0048319F">
              <w:rPr>
                <w:rFonts w:cs="Calibri"/>
                <w:color w:val="000000"/>
                <w:sz w:val="18"/>
                <w:szCs w:val="18"/>
                <w:lang w:eastAsia="sk-SK"/>
              </w:rPr>
              <w:t>C Emisná trieda EURO 0 až III</w:t>
            </w:r>
          </w:p>
        </w:tc>
        <w:tc>
          <w:tcPr>
            <w:tcW w:w="81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0,1780</w:t>
            </w:r>
          </w:p>
        </w:tc>
        <w:tc>
          <w:tcPr>
            <w:tcW w:w="570"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0,2492</w:t>
            </w:r>
          </w:p>
        </w:tc>
        <w:tc>
          <w:tcPr>
            <w:tcW w:w="623" w:type="pct"/>
            <w:tcBorders>
              <w:top w:val="nil"/>
              <w:left w:val="nil"/>
              <w:bottom w:val="nil"/>
              <w:right w:val="nil"/>
            </w:tcBorders>
            <w:shd w:val="clear" w:color="000000" w:fill="FDE9D9"/>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r w:rsidRPr="0048319F">
              <w:rPr>
                <w:rFonts w:cs="Calibri"/>
                <w:color w:val="000000"/>
                <w:sz w:val="18"/>
                <w:szCs w:val="18"/>
                <w:lang w:eastAsia="sk-SK"/>
              </w:rPr>
              <w:t>0,3738</w:t>
            </w: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591"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c>
          <w:tcPr>
            <w:tcW w:w="358" w:type="pct"/>
            <w:tcBorders>
              <w:top w:val="nil"/>
              <w:left w:val="nil"/>
              <w:bottom w:val="nil"/>
              <w:right w:val="nil"/>
            </w:tcBorders>
            <w:shd w:val="clear" w:color="auto" w:fill="auto"/>
            <w:noWrap/>
            <w:vAlign w:val="bottom"/>
            <w:hideMark/>
          </w:tcPr>
          <w:p w:rsidR="0048319F" w:rsidRPr="0048319F" w:rsidRDefault="0048319F" w:rsidP="0048319F">
            <w:pPr>
              <w:spacing w:before="0" w:after="0" w:line="240" w:lineRule="auto"/>
              <w:jc w:val="right"/>
              <w:rPr>
                <w:rFonts w:cs="Calibri"/>
                <w:color w:val="000000"/>
                <w:sz w:val="18"/>
                <w:szCs w:val="18"/>
                <w:lang w:eastAsia="sk-SK"/>
              </w:rPr>
            </w:pPr>
          </w:p>
        </w:tc>
      </w:tr>
    </w:tbl>
    <w:p w:rsidR="0021472A" w:rsidRPr="0021472A" w:rsidRDefault="0021472A" w:rsidP="0021472A">
      <w:pPr>
        <w:pStyle w:val="Normaltext"/>
      </w:pPr>
    </w:p>
    <w:sectPr w:rsidR="0021472A" w:rsidRPr="0021472A" w:rsidSect="00135588">
      <w:pgSz w:w="16840" w:h="11907" w:orient="landscape" w:code="9"/>
      <w:pgMar w:top="1418" w:right="1418" w:bottom="1134" w:left="1418" w:header="720" w:footer="204" w:gutter="0"/>
      <w:pgNumType w:start="1"/>
      <w:cols w:space="24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0D3F" w:rsidRDefault="00C40D3F" w:rsidP="0025522E">
      <w:r>
        <w:separator/>
      </w:r>
    </w:p>
    <w:p w:rsidR="00C40D3F" w:rsidRDefault="00C40D3F" w:rsidP="0025522E"/>
    <w:p w:rsidR="00C40D3F" w:rsidRDefault="00C40D3F" w:rsidP="0025522E"/>
    <w:p w:rsidR="00C40D3F" w:rsidRDefault="00C40D3F" w:rsidP="0025522E"/>
    <w:p w:rsidR="00C40D3F" w:rsidRDefault="00C40D3F" w:rsidP="0025522E"/>
    <w:p w:rsidR="00C40D3F" w:rsidRDefault="00C40D3F" w:rsidP="0025522E"/>
  </w:endnote>
  <w:endnote w:type="continuationSeparator" w:id="0">
    <w:p w:rsidR="00C40D3F" w:rsidRDefault="00C40D3F" w:rsidP="0025522E">
      <w:r>
        <w:continuationSeparator/>
      </w:r>
    </w:p>
    <w:p w:rsidR="00C40D3F" w:rsidRDefault="00C40D3F" w:rsidP="0025522E"/>
    <w:p w:rsidR="00C40D3F" w:rsidRDefault="00C40D3F" w:rsidP="0025522E"/>
    <w:p w:rsidR="00C40D3F" w:rsidRDefault="00C40D3F" w:rsidP="0025522E"/>
    <w:p w:rsidR="00C40D3F" w:rsidRDefault="00C40D3F" w:rsidP="0025522E"/>
    <w:p w:rsidR="00C40D3F" w:rsidRDefault="00C40D3F" w:rsidP="002552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wis721 Md CE">
    <w:altName w:val="Arial"/>
    <w:charset w:val="00"/>
    <w:family w:val="swiss"/>
    <w:pitch w:val="variable"/>
    <w:sig w:usb0="00000087" w:usb1="00000000" w:usb2="00000000" w:usb3="00000000" w:csb0="0000001B" w:csb1="00000000"/>
  </w:font>
  <w:font w:name="Cambria">
    <w:panose1 w:val="02040503050406030204"/>
    <w:charset w:val="EE"/>
    <w:family w:val="roman"/>
    <w:pitch w:val="variable"/>
    <w:sig w:usb0="E00006FF" w:usb1="420024FF" w:usb2="02000000" w:usb3="00000000" w:csb0="0000019F" w:csb1="00000000"/>
  </w:font>
  <w:font w:name="Segoe UI Semibold">
    <w:panose1 w:val="020B07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D75A8E" w:rsidRDefault="00E47B23" w:rsidP="00437336">
    <w:pPr>
      <w:pStyle w:val="Pta"/>
      <w:jc w:val="left"/>
    </w:pPr>
  </w:p>
  <w:p w:rsidR="00E47B23" w:rsidRDefault="00E47B23"/>
  <w:p w:rsidR="00E47B23" w:rsidRDefault="00E47B23"/>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E47B23">
    <w:pPr>
      <w:pStyle w:val="Pta"/>
    </w:pPr>
    <w:r>
      <w:rPr>
        <w:noProof/>
        <w:lang w:eastAsia="sk-SK"/>
      </w:rPr>
      <w:drawing>
        <wp:anchor distT="0" distB="0" distL="114300" distR="114300" simplePos="0" relativeHeight="251669504" behindDoc="1" locked="0" layoutInCell="1" allowOverlap="1">
          <wp:simplePos x="0" y="0"/>
          <wp:positionH relativeFrom="page">
            <wp:posOffset>383540</wp:posOffset>
          </wp:positionH>
          <wp:positionV relativeFrom="page">
            <wp:posOffset>8811895</wp:posOffset>
          </wp:positionV>
          <wp:extent cx="1080135" cy="1080135"/>
          <wp:effectExtent l="0" t="0" r="5715" b="5715"/>
          <wp:wrapNone/>
          <wp:docPr id="127" name="Obrázok 127" descr="certznak 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ertznak 90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135" cy="1080135"/>
                  </a:xfrm>
                  <a:prstGeom prst="rect">
                    <a:avLst/>
                  </a:prstGeom>
                  <a:noFill/>
                  <a:ln>
                    <a:noFill/>
                  </a:ln>
                </pic:spPr>
              </pic:pic>
            </a:graphicData>
          </a:graphic>
        </wp:anchor>
      </w:drawing>
    </w:r>
  </w:p>
  <w:p w:rsidR="00E47B23" w:rsidRDefault="00E47B23"/>
  <w:p w:rsidR="00E47B23" w:rsidRDefault="00E47B23"/>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D75A8E" w:rsidRDefault="00E47B23" w:rsidP="00437336">
    <w:pPr>
      <w:pStyle w:val="Pta"/>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C40D3F" w:rsidP="002F58D0">
    <w:pPr>
      <w:pStyle w:val="Pta"/>
    </w:pPr>
    <w:r>
      <w:fldChar w:fldCharType="begin"/>
    </w:r>
    <w:r>
      <w:instrText xml:space="preserve"> PAGE </w:instrText>
    </w:r>
    <w:r>
      <w:fldChar w:fldCharType="separate"/>
    </w:r>
    <w:r w:rsidR="0085251A">
      <w:rPr>
        <w:noProof/>
      </w:rPr>
      <w:t>II</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96" w:type="dxa"/>
      <w:tblBorders>
        <w:right w:val="single" w:sz="4" w:space="0" w:color="auto"/>
        <w:insideH w:val="single" w:sz="4" w:space="0" w:color="auto"/>
        <w:insideV w:val="single" w:sz="4" w:space="0" w:color="auto"/>
      </w:tblBorders>
      <w:tblLook w:val="04A0" w:firstRow="1" w:lastRow="0" w:firstColumn="1" w:lastColumn="0" w:noHBand="0" w:noVBand="1"/>
    </w:tblPr>
    <w:tblGrid>
      <w:gridCol w:w="2693"/>
      <w:gridCol w:w="5102"/>
      <w:gridCol w:w="567"/>
      <w:gridCol w:w="567"/>
      <w:gridCol w:w="567"/>
    </w:tblGrid>
    <w:tr w:rsidR="00E47B23" w:rsidRPr="00151CA6" w:rsidTr="00151CA6">
      <w:trPr>
        <w:trHeight w:val="567"/>
      </w:trPr>
      <w:tc>
        <w:tcPr>
          <w:tcW w:w="2693" w:type="dxa"/>
          <w:shd w:val="clear" w:color="auto" w:fill="auto"/>
          <w:vAlign w:val="center"/>
        </w:tcPr>
        <w:p w:rsidR="00E47B23" w:rsidRPr="00151CA6" w:rsidRDefault="00E47B23" w:rsidP="00151CA6">
          <w:pPr>
            <w:keepLines/>
            <w:tabs>
              <w:tab w:val="center" w:pos="4320"/>
              <w:tab w:val="right" w:pos="8640"/>
            </w:tabs>
            <w:spacing w:before="0" w:after="0" w:line="240" w:lineRule="auto"/>
            <w:jc w:val="left"/>
            <w:rPr>
              <w:color w:val="29527B"/>
              <w:spacing w:val="-4"/>
              <w:sz w:val="16"/>
              <w:szCs w:val="16"/>
            </w:rPr>
          </w:pPr>
          <w:r w:rsidRPr="00151CA6">
            <w:rPr>
              <w:spacing w:val="-4"/>
              <w:sz w:val="16"/>
              <w:szCs w:val="16"/>
            </w:rPr>
            <w:t xml:space="preserve">Strana  </w:t>
          </w:r>
          <w:r w:rsidRPr="00151CA6">
            <w:rPr>
              <w:spacing w:val="-4"/>
              <w:sz w:val="16"/>
              <w:szCs w:val="16"/>
            </w:rPr>
            <w:fldChar w:fldCharType="begin"/>
          </w:r>
          <w:r w:rsidRPr="00151CA6">
            <w:rPr>
              <w:spacing w:val="-4"/>
              <w:sz w:val="16"/>
              <w:szCs w:val="16"/>
            </w:rPr>
            <w:instrText>PAGE   \* MERGEFORMAT</w:instrText>
          </w:r>
          <w:r w:rsidRPr="00151CA6">
            <w:rPr>
              <w:spacing w:val="-4"/>
              <w:sz w:val="16"/>
              <w:szCs w:val="16"/>
            </w:rPr>
            <w:fldChar w:fldCharType="separate"/>
          </w:r>
          <w:r>
            <w:rPr>
              <w:noProof/>
              <w:spacing w:val="-4"/>
              <w:sz w:val="16"/>
              <w:szCs w:val="16"/>
            </w:rPr>
            <w:t>120</w:t>
          </w:r>
          <w:r w:rsidRPr="00151CA6">
            <w:rPr>
              <w:spacing w:val="-4"/>
              <w:sz w:val="16"/>
              <w:szCs w:val="16"/>
            </w:rPr>
            <w:fldChar w:fldCharType="end"/>
          </w:r>
        </w:p>
      </w:tc>
      <w:tc>
        <w:tcPr>
          <w:tcW w:w="5102" w:type="dxa"/>
          <w:tcBorders>
            <w:right w:val="nil"/>
          </w:tcBorders>
          <w:vAlign w:val="center"/>
        </w:tcPr>
        <w:p w:rsidR="00E47B23" w:rsidRPr="00151CA6" w:rsidRDefault="00C40D3F" w:rsidP="00151CA6">
          <w:pPr>
            <w:keepLines/>
            <w:tabs>
              <w:tab w:val="center" w:pos="4320"/>
              <w:tab w:val="right" w:pos="8640"/>
            </w:tabs>
            <w:spacing w:before="0" w:after="0" w:line="240" w:lineRule="auto"/>
            <w:ind w:left="-47"/>
            <w:jc w:val="left"/>
            <w:rPr>
              <w:spacing w:val="-4"/>
              <w:sz w:val="16"/>
              <w:szCs w:val="16"/>
            </w:rPr>
          </w:pPr>
          <w:r>
            <w:fldChar w:fldCharType="begin"/>
          </w:r>
          <w:r>
            <w:instrText xml:space="preserve"> STYLEREF  "Nadpis 9;Druh správy"  \* MERGEFORMAT </w:instrText>
          </w:r>
          <w:r>
            <w:fldChar w:fldCharType="separate"/>
          </w:r>
          <w:r w:rsidR="00E47B23" w:rsidRPr="001E4C1C">
            <w:rPr>
              <w:noProof/>
              <w:spacing w:val="-4"/>
              <w:sz w:val="16"/>
              <w:szCs w:val="16"/>
            </w:rPr>
            <w:t>Priebežná správa</w:t>
          </w:r>
          <w:r>
            <w:rPr>
              <w:noProof/>
              <w:spacing w:val="-4"/>
              <w:sz w:val="16"/>
              <w:szCs w:val="16"/>
            </w:rPr>
            <w:fldChar w:fldCharType="end"/>
          </w:r>
        </w:p>
      </w:tc>
      <w:tc>
        <w:tcPr>
          <w:tcW w:w="567" w:type="dxa"/>
          <w:tcBorders>
            <w:top w:val="nil"/>
            <w:left w:val="nil"/>
            <w:bottom w:val="nil"/>
            <w:right w:val="nil"/>
          </w:tcBorders>
          <w:shd w:val="clear" w:color="auto" w:fill="D9D9D9"/>
          <w:vAlign w:val="center"/>
        </w:tcPr>
        <w:p w:rsidR="00E47B23" w:rsidRPr="00151CA6" w:rsidRDefault="00E47B23" w:rsidP="00151CA6">
          <w:pPr>
            <w:keepLines/>
            <w:tabs>
              <w:tab w:val="center" w:pos="4320"/>
              <w:tab w:val="right" w:pos="8640"/>
            </w:tabs>
            <w:spacing w:before="0" w:after="0" w:line="240" w:lineRule="auto"/>
            <w:jc w:val="right"/>
            <w:rPr>
              <w:color w:val="29527B"/>
              <w:spacing w:val="-4"/>
              <w:sz w:val="16"/>
              <w:szCs w:val="16"/>
            </w:rPr>
          </w:pPr>
        </w:p>
      </w:tc>
      <w:tc>
        <w:tcPr>
          <w:tcW w:w="567" w:type="dxa"/>
          <w:tcBorders>
            <w:top w:val="nil"/>
            <w:left w:val="nil"/>
            <w:bottom w:val="nil"/>
            <w:right w:val="nil"/>
          </w:tcBorders>
          <w:shd w:val="clear" w:color="auto" w:fill="7F7F7F"/>
          <w:vAlign w:val="center"/>
        </w:tcPr>
        <w:p w:rsidR="00E47B23" w:rsidRPr="00151CA6" w:rsidRDefault="00E47B23" w:rsidP="00151CA6">
          <w:pPr>
            <w:keepLines/>
            <w:tabs>
              <w:tab w:val="center" w:pos="4320"/>
              <w:tab w:val="right" w:pos="8640"/>
            </w:tabs>
            <w:spacing w:before="0" w:after="0" w:line="240" w:lineRule="auto"/>
            <w:jc w:val="right"/>
            <w:rPr>
              <w:color w:val="29527B"/>
              <w:spacing w:val="-4"/>
              <w:sz w:val="16"/>
              <w:szCs w:val="16"/>
            </w:rPr>
          </w:pPr>
        </w:p>
      </w:tc>
      <w:tc>
        <w:tcPr>
          <w:tcW w:w="567" w:type="dxa"/>
          <w:tcBorders>
            <w:top w:val="nil"/>
            <w:left w:val="nil"/>
            <w:bottom w:val="nil"/>
            <w:right w:val="nil"/>
          </w:tcBorders>
          <w:shd w:val="clear" w:color="auto" w:fill="29527B"/>
          <w:vAlign w:val="center"/>
        </w:tcPr>
        <w:p w:rsidR="00E47B23" w:rsidRPr="00151CA6" w:rsidRDefault="00E47B23" w:rsidP="00151CA6">
          <w:pPr>
            <w:keepLines/>
            <w:tabs>
              <w:tab w:val="center" w:pos="4320"/>
              <w:tab w:val="right" w:pos="8640"/>
            </w:tabs>
            <w:spacing w:before="0" w:after="0" w:line="240" w:lineRule="auto"/>
            <w:jc w:val="right"/>
            <w:rPr>
              <w:color w:val="29527B"/>
              <w:spacing w:val="-4"/>
              <w:sz w:val="16"/>
              <w:szCs w:val="16"/>
            </w:rPr>
          </w:pPr>
        </w:p>
      </w:tc>
    </w:tr>
  </w:tbl>
  <w:p w:rsidR="00E47B23" w:rsidRPr="00D75A8E" w:rsidRDefault="00E47B23" w:rsidP="00437336">
    <w:pPr>
      <w:pStyle w:val="Pta"/>
      <w:jc w:val="left"/>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0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5211"/>
      <w:gridCol w:w="2694"/>
    </w:tblGrid>
    <w:tr w:rsidR="00E47B23" w:rsidRPr="007815A4" w:rsidTr="006D40C6">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5211"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85251A">
            <w:rPr>
              <w:noProof/>
            </w:rPr>
            <w:t>Záverečná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85251A">
            <w:rPr>
              <w:noProof/>
            </w:rPr>
            <w:t>24</w:t>
          </w:r>
          <w:r w:rsidR="00C40D3F">
            <w:rPr>
              <w:noProof/>
            </w:rPr>
            <w:fldChar w:fldCharType="end"/>
          </w:r>
        </w:p>
      </w:tc>
    </w:tr>
  </w:tbl>
  <w:p w:rsidR="00E47B23" w:rsidRDefault="00E47B23" w:rsidP="002F58D0">
    <w:pPr>
      <w:pStyle w:val="Pta"/>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14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9747"/>
      <w:gridCol w:w="2694"/>
    </w:tblGrid>
    <w:tr w:rsidR="00E47B23" w:rsidRPr="007815A4" w:rsidTr="00E85785">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9747"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53</w:t>
          </w:r>
          <w:r w:rsidR="00C40D3F">
            <w:rPr>
              <w:noProof/>
            </w:rPr>
            <w:fldChar w:fldCharType="end"/>
          </w:r>
        </w:p>
      </w:tc>
    </w:tr>
  </w:tbl>
  <w:p w:rsidR="00E47B23" w:rsidRDefault="00E47B23" w:rsidP="002F58D0">
    <w:pPr>
      <w:pStyle w:val="Pta"/>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0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5211"/>
      <w:gridCol w:w="2694"/>
    </w:tblGrid>
    <w:tr w:rsidR="00E47B23" w:rsidRPr="007815A4" w:rsidTr="006D40C6">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5211"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w:instrText>
          </w:r>
          <w:r w:rsidR="00C40D3F">
            <w:instrText>FORMAT</w:instrText>
          </w:r>
          <w:r w:rsidR="00C40D3F">
            <w:fldChar w:fldCharType="separate"/>
          </w:r>
          <w:r w:rsidR="00552C02">
            <w:rPr>
              <w:noProof/>
            </w:rPr>
            <w:t>102</w:t>
          </w:r>
          <w:r w:rsidR="00C40D3F">
            <w:rPr>
              <w:noProof/>
            </w:rPr>
            <w:fldChar w:fldCharType="end"/>
          </w:r>
        </w:p>
      </w:tc>
    </w:tr>
  </w:tbl>
  <w:p w:rsidR="00E47B23" w:rsidRDefault="00E47B23" w:rsidP="002F58D0">
    <w:pPr>
      <w:pStyle w:val="Pta"/>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00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9606"/>
      <w:gridCol w:w="2694"/>
    </w:tblGrid>
    <w:tr w:rsidR="00E47B23" w:rsidRPr="007815A4" w:rsidTr="000D0CD4">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9606"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105</w:t>
          </w:r>
          <w:r w:rsidR="00C40D3F">
            <w:rPr>
              <w:noProof/>
            </w:rPr>
            <w:fldChar w:fldCharType="end"/>
          </w:r>
        </w:p>
      </w:tc>
    </w:tr>
  </w:tbl>
  <w:p w:rsidR="00E47B23" w:rsidRDefault="00E47B23" w:rsidP="002F58D0">
    <w:pPr>
      <w:pStyle w:val="Pta"/>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0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5211"/>
      <w:gridCol w:w="2694"/>
    </w:tblGrid>
    <w:tr w:rsidR="00E47B23" w:rsidRPr="007815A4" w:rsidTr="006D40C6">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5211"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106</w:t>
          </w:r>
          <w:r w:rsidR="00C40D3F">
            <w:rPr>
              <w:noProof/>
            </w:rPr>
            <w:fldChar w:fldCharType="end"/>
          </w:r>
        </w:p>
      </w:tc>
    </w:tr>
  </w:tbl>
  <w:p w:rsidR="00E47B23" w:rsidRDefault="00E47B23" w:rsidP="002F58D0">
    <w:pPr>
      <w:pStyle w:val="Pta"/>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14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9747"/>
      <w:gridCol w:w="2694"/>
    </w:tblGrid>
    <w:tr w:rsidR="00E47B23" w:rsidRPr="007815A4" w:rsidTr="00C0517C">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9747"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107</w:t>
          </w:r>
          <w:r w:rsidR="00C40D3F">
            <w:rPr>
              <w:noProof/>
            </w:rPr>
            <w:fldChar w:fldCharType="end"/>
          </w:r>
        </w:p>
      </w:tc>
    </w:tr>
  </w:tbl>
  <w:p w:rsidR="00E47B23" w:rsidRDefault="00E47B23" w:rsidP="002F58D0">
    <w:pPr>
      <w:pStyle w:val="Pta"/>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0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5211"/>
      <w:gridCol w:w="2694"/>
    </w:tblGrid>
    <w:tr w:rsidR="00E47B23" w:rsidRPr="007815A4" w:rsidTr="006D40C6">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5211"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115</w:t>
          </w:r>
          <w:r w:rsidR="00C40D3F">
            <w:rPr>
              <w:noProof/>
            </w:rPr>
            <w:fldChar w:fldCharType="end"/>
          </w:r>
        </w:p>
      </w:tc>
    </w:tr>
  </w:tbl>
  <w:p w:rsidR="00E47B23" w:rsidRDefault="00E47B23" w:rsidP="002F58D0">
    <w:pPr>
      <w:pStyle w:val="Pta"/>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14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9747"/>
      <w:gridCol w:w="2694"/>
    </w:tblGrid>
    <w:tr w:rsidR="00E47B23" w:rsidRPr="007815A4" w:rsidTr="00CA1819">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9747"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116</w:t>
          </w:r>
          <w:r w:rsidR="00C40D3F">
            <w:rPr>
              <w:noProof/>
            </w:rPr>
            <w:fldChar w:fldCharType="end"/>
          </w:r>
        </w:p>
      </w:tc>
    </w:tr>
  </w:tbl>
  <w:p w:rsidR="00E47B23" w:rsidRDefault="00E47B23" w:rsidP="002F58D0">
    <w:pPr>
      <w:pStyle w:val="Pta"/>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6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5070"/>
      <w:gridCol w:w="2694"/>
    </w:tblGrid>
    <w:tr w:rsidR="00E47B23" w:rsidRPr="007815A4" w:rsidTr="00CA1819">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5070"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128</w:t>
          </w:r>
          <w:r w:rsidR="00C40D3F">
            <w:rPr>
              <w:noProof/>
            </w:rPr>
            <w:fldChar w:fldCharType="end"/>
          </w:r>
        </w:p>
      </w:tc>
    </w:tr>
  </w:tbl>
  <w:p w:rsidR="00E47B23" w:rsidRDefault="00E47B23" w:rsidP="002F58D0">
    <w:pPr>
      <w:pStyle w:val="Pta"/>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0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5211"/>
      <w:gridCol w:w="2694"/>
    </w:tblGrid>
    <w:tr w:rsidR="00E47B23" w:rsidRPr="007815A4" w:rsidTr="006D40C6">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5211"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r w:rsidRPr="007815A4">
            <w:t>Strana</w:t>
          </w:r>
          <w:r>
            <w:t xml:space="preserve"> </w:t>
          </w:r>
          <w:r w:rsidRPr="007815A4">
            <w:t xml:space="preserve"> </w:t>
          </w:r>
          <w:r w:rsidR="00C40D3F">
            <w:fldChar w:fldCharType="begin"/>
          </w:r>
          <w:r w:rsidR="00C40D3F">
            <w:instrText>PAGE   \* MERGEFORMAT</w:instrText>
          </w:r>
          <w:r w:rsidR="00C40D3F">
            <w:fldChar w:fldCharType="separate"/>
          </w:r>
          <w:r w:rsidR="00552C02">
            <w:rPr>
              <w:noProof/>
            </w:rPr>
            <w:t>134</w:t>
          </w:r>
          <w:r w:rsidR="00C40D3F">
            <w:rPr>
              <w:noProof/>
            </w:rPr>
            <w:fldChar w:fldCharType="end"/>
          </w:r>
        </w:p>
      </w:tc>
    </w:tr>
  </w:tbl>
  <w:p w:rsidR="00E47B23" w:rsidRDefault="00E47B23" w:rsidP="002F58D0">
    <w:pPr>
      <w:pStyle w:val="Pta"/>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96" w:type="dxa"/>
      <w:tblBorders>
        <w:right w:val="single" w:sz="4" w:space="0" w:color="auto"/>
        <w:insideH w:val="single" w:sz="4" w:space="0" w:color="auto"/>
        <w:insideV w:val="single" w:sz="4" w:space="0" w:color="auto"/>
      </w:tblBorders>
      <w:tblLook w:val="04A0" w:firstRow="1" w:lastRow="0" w:firstColumn="1" w:lastColumn="0" w:noHBand="0" w:noVBand="1"/>
    </w:tblPr>
    <w:tblGrid>
      <w:gridCol w:w="2693"/>
      <w:gridCol w:w="5102"/>
      <w:gridCol w:w="567"/>
      <w:gridCol w:w="567"/>
      <w:gridCol w:w="567"/>
    </w:tblGrid>
    <w:tr w:rsidR="00E47B23" w:rsidRPr="00151CA6" w:rsidTr="00151CA6">
      <w:trPr>
        <w:trHeight w:val="567"/>
      </w:trPr>
      <w:tc>
        <w:tcPr>
          <w:tcW w:w="2693" w:type="dxa"/>
          <w:shd w:val="clear" w:color="auto" w:fill="auto"/>
          <w:vAlign w:val="center"/>
        </w:tcPr>
        <w:p w:rsidR="00E47B23" w:rsidRPr="00151CA6" w:rsidRDefault="00E47B23" w:rsidP="00151CA6">
          <w:pPr>
            <w:keepLines/>
            <w:tabs>
              <w:tab w:val="center" w:pos="4320"/>
              <w:tab w:val="right" w:pos="8640"/>
            </w:tabs>
            <w:spacing w:before="0" w:after="0" w:line="240" w:lineRule="auto"/>
            <w:jc w:val="left"/>
            <w:rPr>
              <w:color w:val="29527B"/>
              <w:spacing w:val="-4"/>
              <w:sz w:val="16"/>
              <w:szCs w:val="16"/>
            </w:rPr>
          </w:pPr>
          <w:r w:rsidRPr="00151CA6">
            <w:rPr>
              <w:spacing w:val="-4"/>
              <w:sz w:val="16"/>
              <w:szCs w:val="16"/>
            </w:rPr>
            <w:t xml:space="preserve">Strana  </w:t>
          </w:r>
          <w:r w:rsidRPr="00151CA6">
            <w:rPr>
              <w:spacing w:val="-4"/>
              <w:sz w:val="16"/>
              <w:szCs w:val="16"/>
            </w:rPr>
            <w:fldChar w:fldCharType="begin"/>
          </w:r>
          <w:r w:rsidRPr="00151CA6">
            <w:rPr>
              <w:spacing w:val="-4"/>
              <w:sz w:val="16"/>
              <w:szCs w:val="16"/>
            </w:rPr>
            <w:instrText>PAGE   \* MERGEFORMAT</w:instrText>
          </w:r>
          <w:r w:rsidRPr="00151CA6">
            <w:rPr>
              <w:spacing w:val="-4"/>
              <w:sz w:val="16"/>
              <w:szCs w:val="16"/>
            </w:rPr>
            <w:fldChar w:fldCharType="separate"/>
          </w:r>
          <w:r>
            <w:rPr>
              <w:noProof/>
              <w:spacing w:val="-4"/>
              <w:sz w:val="16"/>
              <w:szCs w:val="16"/>
            </w:rPr>
            <w:t>6</w:t>
          </w:r>
          <w:r w:rsidRPr="00151CA6">
            <w:rPr>
              <w:spacing w:val="-4"/>
              <w:sz w:val="16"/>
              <w:szCs w:val="16"/>
            </w:rPr>
            <w:fldChar w:fldCharType="end"/>
          </w:r>
        </w:p>
      </w:tc>
      <w:tc>
        <w:tcPr>
          <w:tcW w:w="5102" w:type="dxa"/>
          <w:tcBorders>
            <w:right w:val="nil"/>
          </w:tcBorders>
          <w:vAlign w:val="center"/>
        </w:tcPr>
        <w:p w:rsidR="00E47B23" w:rsidRPr="00151CA6" w:rsidRDefault="00C40D3F" w:rsidP="00151CA6">
          <w:pPr>
            <w:keepLines/>
            <w:tabs>
              <w:tab w:val="center" w:pos="4320"/>
              <w:tab w:val="right" w:pos="8640"/>
            </w:tabs>
            <w:spacing w:before="0" w:after="0" w:line="240" w:lineRule="auto"/>
            <w:ind w:left="-47"/>
            <w:jc w:val="left"/>
            <w:rPr>
              <w:spacing w:val="-4"/>
              <w:sz w:val="16"/>
              <w:szCs w:val="16"/>
            </w:rPr>
          </w:pPr>
          <w:r>
            <w:fldChar w:fldCharType="begin"/>
          </w:r>
          <w:r>
            <w:instrText xml:space="preserve"> STYLEREF  "Nadpis 9;Druh správy"  \* MERGEFORMAT </w:instrText>
          </w:r>
          <w:r>
            <w:fldChar w:fldCharType="separate"/>
          </w:r>
          <w:r w:rsidR="00E47B23" w:rsidRPr="001E4C1C">
            <w:rPr>
              <w:noProof/>
              <w:spacing w:val="-4"/>
              <w:sz w:val="16"/>
              <w:szCs w:val="16"/>
            </w:rPr>
            <w:t>Priebežná správa</w:t>
          </w:r>
          <w:r>
            <w:rPr>
              <w:noProof/>
              <w:spacing w:val="-4"/>
              <w:sz w:val="16"/>
              <w:szCs w:val="16"/>
            </w:rPr>
            <w:fldChar w:fldCharType="end"/>
          </w:r>
        </w:p>
      </w:tc>
      <w:tc>
        <w:tcPr>
          <w:tcW w:w="567" w:type="dxa"/>
          <w:tcBorders>
            <w:top w:val="nil"/>
            <w:left w:val="nil"/>
            <w:bottom w:val="nil"/>
            <w:right w:val="nil"/>
          </w:tcBorders>
          <w:shd w:val="clear" w:color="auto" w:fill="D9D9D9"/>
          <w:vAlign w:val="center"/>
        </w:tcPr>
        <w:p w:rsidR="00E47B23" w:rsidRPr="00151CA6" w:rsidRDefault="00E47B23" w:rsidP="00151CA6">
          <w:pPr>
            <w:keepLines/>
            <w:tabs>
              <w:tab w:val="center" w:pos="4320"/>
              <w:tab w:val="right" w:pos="8640"/>
            </w:tabs>
            <w:spacing w:before="0" w:after="0" w:line="240" w:lineRule="auto"/>
            <w:jc w:val="right"/>
            <w:rPr>
              <w:color w:val="29527B"/>
              <w:spacing w:val="-4"/>
              <w:sz w:val="16"/>
              <w:szCs w:val="16"/>
            </w:rPr>
          </w:pPr>
        </w:p>
      </w:tc>
      <w:tc>
        <w:tcPr>
          <w:tcW w:w="567" w:type="dxa"/>
          <w:tcBorders>
            <w:top w:val="nil"/>
            <w:left w:val="nil"/>
            <w:bottom w:val="nil"/>
            <w:right w:val="nil"/>
          </w:tcBorders>
          <w:shd w:val="clear" w:color="auto" w:fill="7F7F7F"/>
          <w:vAlign w:val="center"/>
        </w:tcPr>
        <w:p w:rsidR="00E47B23" w:rsidRPr="00151CA6" w:rsidRDefault="00E47B23" w:rsidP="00151CA6">
          <w:pPr>
            <w:keepLines/>
            <w:tabs>
              <w:tab w:val="center" w:pos="4320"/>
              <w:tab w:val="right" w:pos="8640"/>
            </w:tabs>
            <w:spacing w:before="0" w:after="0" w:line="240" w:lineRule="auto"/>
            <w:jc w:val="right"/>
            <w:rPr>
              <w:color w:val="29527B"/>
              <w:spacing w:val="-4"/>
              <w:sz w:val="16"/>
              <w:szCs w:val="16"/>
            </w:rPr>
          </w:pPr>
        </w:p>
      </w:tc>
      <w:tc>
        <w:tcPr>
          <w:tcW w:w="567" w:type="dxa"/>
          <w:tcBorders>
            <w:top w:val="nil"/>
            <w:left w:val="nil"/>
            <w:bottom w:val="nil"/>
            <w:right w:val="nil"/>
          </w:tcBorders>
          <w:shd w:val="clear" w:color="auto" w:fill="29527B"/>
          <w:vAlign w:val="center"/>
        </w:tcPr>
        <w:p w:rsidR="00E47B23" w:rsidRPr="00151CA6" w:rsidRDefault="00E47B23" w:rsidP="00151CA6">
          <w:pPr>
            <w:keepLines/>
            <w:tabs>
              <w:tab w:val="center" w:pos="4320"/>
              <w:tab w:val="right" w:pos="8640"/>
            </w:tabs>
            <w:spacing w:before="0" w:after="0" w:line="240" w:lineRule="auto"/>
            <w:jc w:val="right"/>
            <w:rPr>
              <w:color w:val="29527B"/>
              <w:spacing w:val="-4"/>
              <w:sz w:val="16"/>
              <w:szCs w:val="16"/>
            </w:rPr>
          </w:pPr>
        </w:p>
      </w:tc>
    </w:tr>
  </w:tbl>
  <w:p w:rsidR="00E47B23" w:rsidRPr="00D75A8E" w:rsidRDefault="00E47B23" w:rsidP="00437336">
    <w:pPr>
      <w:pStyle w:val="Pta"/>
      <w:jc w:val="left"/>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14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67"/>
      <w:gridCol w:w="567"/>
      <w:gridCol w:w="567"/>
      <w:gridCol w:w="9747"/>
      <w:gridCol w:w="2694"/>
    </w:tblGrid>
    <w:tr w:rsidR="00E47B23" w:rsidRPr="007815A4" w:rsidTr="00B60712">
      <w:trPr>
        <w:trHeight w:val="565"/>
      </w:trPr>
      <w:tc>
        <w:tcPr>
          <w:tcW w:w="567" w:type="dxa"/>
          <w:tcBorders>
            <w:top w:val="nil"/>
            <w:left w:val="nil"/>
            <w:bottom w:val="nil"/>
            <w:right w:val="nil"/>
          </w:tcBorders>
          <w:shd w:val="clear" w:color="auto" w:fill="29527B"/>
          <w:vAlign w:val="center"/>
        </w:tcPr>
        <w:p w:rsidR="00E47B23" w:rsidRPr="007815A4" w:rsidRDefault="00E47B23" w:rsidP="006D40C6">
          <w:pPr>
            <w:pStyle w:val="Pta"/>
            <w:spacing w:before="0"/>
            <w:jc w:val="left"/>
          </w:pPr>
        </w:p>
      </w:tc>
      <w:tc>
        <w:tcPr>
          <w:tcW w:w="567" w:type="dxa"/>
          <w:tcBorders>
            <w:top w:val="nil"/>
            <w:left w:val="nil"/>
            <w:bottom w:val="nil"/>
            <w:right w:val="nil"/>
          </w:tcBorders>
          <w:shd w:val="clear" w:color="auto" w:fill="7F7F7F"/>
          <w:vAlign w:val="center"/>
        </w:tcPr>
        <w:p w:rsidR="00E47B23" w:rsidRPr="007815A4" w:rsidRDefault="00E47B23" w:rsidP="006D40C6">
          <w:pPr>
            <w:pStyle w:val="Pta"/>
            <w:spacing w:before="0"/>
          </w:pPr>
        </w:p>
      </w:tc>
      <w:tc>
        <w:tcPr>
          <w:tcW w:w="567" w:type="dxa"/>
          <w:tcBorders>
            <w:top w:val="nil"/>
            <w:left w:val="nil"/>
            <w:bottom w:val="nil"/>
            <w:right w:val="nil"/>
          </w:tcBorders>
          <w:shd w:val="clear" w:color="auto" w:fill="D9D9D9"/>
          <w:vAlign w:val="center"/>
        </w:tcPr>
        <w:p w:rsidR="00E47B23" w:rsidRPr="007815A4" w:rsidRDefault="00E47B23" w:rsidP="006D40C6">
          <w:pPr>
            <w:pStyle w:val="Pta"/>
            <w:spacing w:before="0"/>
            <w:jc w:val="left"/>
          </w:pPr>
        </w:p>
      </w:tc>
      <w:tc>
        <w:tcPr>
          <w:tcW w:w="9747" w:type="dxa"/>
          <w:tcBorders>
            <w:top w:val="nil"/>
            <w:left w:val="nil"/>
            <w:bottom w:val="nil"/>
            <w:right w:val="single" w:sz="8" w:space="0" w:color="404040"/>
          </w:tcBorders>
          <w:shd w:val="clear" w:color="auto" w:fill="auto"/>
          <w:vAlign w:val="center"/>
        </w:tcPr>
        <w:p w:rsidR="00E47B23" w:rsidRPr="007815A4" w:rsidRDefault="00C40D3F" w:rsidP="006D40C6">
          <w:pPr>
            <w:pStyle w:val="Pta"/>
            <w:spacing w:before="0"/>
          </w:pPr>
          <w:r>
            <w:fldChar w:fldCharType="begin"/>
          </w:r>
          <w:r>
            <w:instrText xml:space="preserve"> STYLEREF  "Nadpis 9;Druh správy"  \* MERGEFORMAT </w:instrText>
          </w:r>
          <w:r>
            <w:fldChar w:fldCharType="separate"/>
          </w:r>
          <w:r w:rsidR="00552C02">
            <w:rPr>
              <w:noProof/>
            </w:rPr>
            <w:t>Priebežná správa</w:t>
          </w:r>
          <w:r>
            <w:rPr>
              <w:noProof/>
            </w:rPr>
            <w:fldChar w:fldCharType="end"/>
          </w:r>
        </w:p>
      </w:tc>
      <w:tc>
        <w:tcPr>
          <w:tcW w:w="2694" w:type="dxa"/>
          <w:tcBorders>
            <w:top w:val="nil"/>
            <w:left w:val="single" w:sz="8" w:space="0" w:color="404040"/>
            <w:bottom w:val="nil"/>
            <w:right w:val="nil"/>
          </w:tcBorders>
          <w:shd w:val="clear" w:color="auto" w:fill="auto"/>
          <w:vAlign w:val="center"/>
        </w:tcPr>
        <w:p w:rsidR="00E47B23" w:rsidRPr="007815A4" w:rsidRDefault="00E47B23" w:rsidP="006D40C6">
          <w:pPr>
            <w:pStyle w:val="Pta"/>
            <w:spacing w:before="0"/>
          </w:pPr>
        </w:p>
      </w:tc>
    </w:tr>
  </w:tbl>
  <w:p w:rsidR="00E47B23" w:rsidRDefault="00E47B23" w:rsidP="002F58D0">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0D3F" w:rsidRPr="00540837" w:rsidRDefault="00C40D3F" w:rsidP="001C4743">
      <w:pPr>
        <w:pStyle w:val="Textpoznmkypodiarou"/>
      </w:pP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p>
  </w:footnote>
  <w:footnote w:type="continuationSeparator" w:id="0">
    <w:p w:rsidR="00C40D3F" w:rsidRPr="00540837" w:rsidRDefault="00C40D3F" w:rsidP="001C4743">
      <w:pPr>
        <w:pStyle w:val="Textpoznmkypodiarou"/>
      </w:pP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r>
        <w:sym w:font="Symbol" w:char="F0BE"/>
      </w:r>
    </w:p>
  </w:footnote>
  <w:footnote w:type="continuationNotice" w:id="1">
    <w:p w:rsidR="00C40D3F" w:rsidRDefault="00C40D3F" w:rsidP="00387E32">
      <w:pPr>
        <w:pStyle w:val="Textpoznmkypodiarou"/>
      </w:pPr>
      <w:r>
        <w:t>(footnote continued)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C40D3F">
    <w:pPr>
      <w:pStyle w:val="Hlavika"/>
    </w:pPr>
    <w:r>
      <w:rPr>
        <w:noProof/>
        <w:lang w:eastAsia="sk-SK"/>
      </w:rPr>
      <w:pict w14:anchorId="73FA5BAD">
        <v:group id="Group 46" o:spid="_x0000_s2087" style="position:absolute;left:0;text-align:left;margin-left:342.45pt;margin-top:14.2pt;width:126.35pt;height:37.2pt;z-index:251676160" coordorigin="2021,7162" coordsize="2527,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0" o:spid="_x0000_s2089" type="#_x0000_t75" alt="logo" style="position:absolute;left:2021;top:7162;width:1887;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51" o:spid="_x0000_s2088" type="#_x0000_t32" style="position:absolute;left:4548;top:7162;width:0;height:7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" strokeweight="1pt"/>
        </v:group>
      </w:pict>
    </w:r>
  </w:p>
  <w:p w:rsidR="00E47B23" w:rsidRDefault="00E47B23"/>
  <w:p w:rsidR="00E47B23" w:rsidRDefault="00E47B2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E47B23" w:rsidP="0025522E">
    <w:r>
      <w:rPr>
        <w:noProof/>
        <w:lang w:eastAsia="sk-SK"/>
      </w:rPr>
      <w:drawing>
        <wp:anchor distT="0" distB="0" distL="114300" distR="114300" simplePos="0" relativeHeight="251694592" behindDoc="1" locked="0" layoutInCell="1" allowOverlap="1">
          <wp:simplePos x="0" y="0"/>
          <wp:positionH relativeFrom="page">
            <wp:posOffset>1866900</wp:posOffset>
          </wp:positionH>
          <wp:positionV relativeFrom="page">
            <wp:posOffset>662940</wp:posOffset>
          </wp:positionV>
          <wp:extent cx="1871980" cy="738505"/>
          <wp:effectExtent l="0" t="0" r="0" b="0"/>
          <wp:wrapNone/>
          <wp:docPr id="128" name="Obrázok 12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1980" cy="738505"/>
                  </a:xfrm>
                  <a:prstGeom prst="rect">
                    <a:avLst/>
                  </a:prstGeom>
                  <a:noFill/>
                  <a:ln>
                    <a:noFill/>
                  </a:ln>
                </pic:spPr>
              </pic:pic>
            </a:graphicData>
          </a:graphic>
        </wp:anchor>
      </w:drawing>
    </w:r>
  </w:p>
  <w:p w:rsidR="00E47B23" w:rsidRDefault="00E47B23"/>
  <w:p w:rsidR="00E47B23" w:rsidRDefault="00E47B2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E47B23" w:rsidP="0025522E">
    <w:r>
      <w:rPr>
        <w:noProof/>
        <w:lang w:eastAsia="sk-SK"/>
      </w:rPr>
      <w:drawing>
        <wp:anchor distT="0" distB="0" distL="114300" distR="114300" simplePos="0" relativeHeight="251661312" behindDoc="1" locked="0" layoutInCell="1" allowOverlap="1">
          <wp:simplePos x="0" y="0"/>
          <wp:positionH relativeFrom="page">
            <wp:posOffset>1781175</wp:posOffset>
          </wp:positionH>
          <wp:positionV relativeFrom="page">
            <wp:posOffset>786765</wp:posOffset>
          </wp:positionV>
          <wp:extent cx="1871980" cy="738505"/>
          <wp:effectExtent l="0" t="0" r="0" b="4445"/>
          <wp:wrapNone/>
          <wp:docPr id="126" name="Obrázok 126"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1980" cy="738505"/>
                  </a:xfrm>
                  <a:prstGeom prst="rect">
                    <a:avLst/>
                  </a:prstGeom>
                  <a:noFill/>
                  <a:ln>
                    <a:noFill/>
                  </a:ln>
                </pic:spPr>
              </pic:pic>
            </a:graphicData>
          </a:graphic>
        </wp:anchor>
      </w:drawing>
    </w:r>
  </w:p>
  <w:p w:rsidR="00E47B23" w:rsidRDefault="00E47B23"/>
  <w:p w:rsidR="00E47B23" w:rsidRDefault="00E47B23"/>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C40D3F" w:rsidP="00AB0A40">
    <w:pPr>
      <w:ind w:left="2694"/>
    </w:pPr>
    <w:r>
      <w:rPr>
        <w:smallCaps/>
        <w:noProof/>
        <w:lang w:eastAsia="sk-SK"/>
      </w:rPr>
      <w:pict w14:anchorId="6FF07523">
        <v:group id="Group 149" o:spid="_x0000_s2084" style="position:absolute;left:0;text-align:left;margin-left:1.05pt;margin-top:5.65pt;width:126.35pt;height:37.2pt;z-index:251663872" coordorigin="2021,7162" coordsize="2527,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0" o:spid="_x0000_s2086" type="#_x0000_t75" alt="logo" style="position:absolute;left:2021;top:7162;width:1887;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">
            <v:imagedata r:id="rId1" o:title="logo"/>
          </v:shape>
          <v:shapetype id="_x0000_t32" coordsize="21600,21600" o:spt="32" o:oned="t" path="m,l21600,21600e" filled="f">
            <v:path arrowok="t" fillok="f" o:connecttype="none"/>
            <o:lock v:ext="edit" shapetype="t"/>
          </v:shapetype>
          <v:shape id="AutoShape 151" o:spid="_x0000_s2085" type="#_x0000_t32" style="position:absolute;left:4548;top:7162;width:0;height:7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" strokeweight="1pt"/>
        </v:group>
      </w:pict>
    </w:r>
    <w:r>
      <w:fldChar w:fldCharType="begin"/>
    </w:r>
    <w:r>
      <w:instrText xml:space="preserve"> STYLEREF  "Title Cover" \l  \* MERGEFORMAT </w:instrText>
    </w:r>
    <w:r>
      <w:fldChar w:fldCharType="separate"/>
    </w:r>
    <w:r w:rsidR="00E47B23">
      <w:rPr>
        <w:noProof/>
      </w:rPr>
      <w:t>Komparatívna analýza systémov spoplatnenia ETC</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87373C" w:rsidRDefault="00C40D3F" w:rsidP="0025522E">
    <w:pPr>
      <w:pStyle w:val="Hlavika"/>
      <w:rPr>
        <w:caps/>
        <w:smallCaps/>
      </w:rPr>
    </w:pPr>
    <w:r>
      <w:fldChar w:fldCharType="begin"/>
    </w:r>
    <w:r>
      <w:instrText xml:space="preserve"> STYLEREF  "Title Cover"  \* MERGEFORMAT </w:instrText>
    </w:r>
    <w:r>
      <w:fldChar w:fldCharType="separate"/>
    </w:r>
    <w:r w:rsidR="0085251A" w:rsidRPr="0085251A">
      <w:rPr>
        <w:caps/>
        <w:noProof/>
      </w:rPr>
      <w:t>Komparatívna analýza systémov spoplatnenia ETC</w:t>
    </w:r>
    <w:r>
      <w:rPr>
        <w:caps/>
        <w:noProof/>
      </w:rPr>
      <w:fldChar w:fldCharType="end"/>
    </w:r>
    <w:r>
      <w:rPr>
        <w:caps/>
        <w:smallCaps/>
        <w:noProof/>
        <w:lang w:eastAsia="sk-SK"/>
      </w:rPr>
      <w:pict w14:anchorId="162CA67F">
        <v:group id="Group 115" o:spid="_x0000_s2081" style="position:absolute;left:0;text-align:left;margin-left:342.5pt;margin-top:1.5pt;width:126.75pt;height:37.2pt;z-index:251654656;mso-position-horizontal-relative:text;mso-position-vertical-relative:text"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&#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3" o:spid="_x0000_s2083"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">
            <v:imagedata r:id="rId1" o:title="logo"/>
          </v:shape>
          <v:shapetype id="_x0000_t32" coordsize="21600,21600" o:spt="32" o:oned="t" path="m,l21600,21600e" filled="f">
            <v:path arrowok="t" fillok="f" o:connecttype="none"/>
            <o:lock v:ext="edit" shapetype="t"/>
          </v:shapetype>
          <v:shape id="AutoShape 114" o:spid="_x0000_s2082"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" strokeweight="1pt"/>
        </v:group>
      </w:pic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E47B23" w:rsidP="0025522E">
    <w:r>
      <w:rPr>
        <w:noProof/>
        <w:lang w:eastAsia="sk-SK"/>
      </w:rPr>
      <w:drawing>
        <wp:anchor distT="0" distB="0" distL="114300" distR="114300" simplePos="0" relativeHeight="251658240" behindDoc="0" locked="0" layoutInCell="1" allowOverlap="1">
          <wp:simplePos x="0" y="0"/>
          <wp:positionH relativeFrom="page">
            <wp:posOffset>1188085</wp:posOffset>
          </wp:positionH>
          <wp:positionV relativeFrom="page">
            <wp:posOffset>9145270</wp:posOffset>
          </wp:positionV>
          <wp:extent cx="1080135" cy="1080135"/>
          <wp:effectExtent l="0" t="0" r="5715" b="5715"/>
          <wp:wrapNone/>
          <wp:docPr id="62" name="Obrázok 62" descr="certznak 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ertznak 90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135" cy="1080135"/>
                  </a:xfrm>
                  <a:prstGeom prst="rect">
                    <a:avLst/>
                  </a:prstGeom>
                  <a:noFill/>
                  <a:ln>
                    <a:noFill/>
                  </a:ln>
                </pic:spPr>
              </pic:pic>
            </a:graphicData>
          </a:graphic>
        </wp:anchor>
      </w:drawing>
    </w:r>
    <w:r w:rsidR="00C40D3F">
      <w:rPr>
        <w:noProof/>
        <w:lang w:eastAsia="sk-SK"/>
      </w:rPr>
      <w:pict w14:anchorId="178DABFA">
        <v:group id="Kresliace plátno 57" o:spid="_x0000_s2076" editas="canvas" style="position:absolute;left:0;text-align:left;margin-left:0;margin-top:0;width:374.8pt;height:847.35pt;z-index:-251665920;mso-position-horizontal-relative:page;mso-position-vertical-relative:page" coordsize="47599,1076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80" type="#_x0000_t75" style="position:absolute;width:47599;height:107613;visibility:visible">
            <v:fill o:detectmouseclick="t"/>
            <v:path o:connecttype="none"/>
          </v:shape>
          <v:line id="Line 59" o:spid="_x0000_s2079" style="position:absolute;flip:x;visibility:visible" from="10795,3956" to="10801,10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" strokecolor="#29527b"/>
          <v:shapetype id="_x0000_t202" coordsize="21600,21600" o:spt="202" path="m,l,21600r21600,l21600,xe">
            <v:stroke joinstyle="miter"/>
            <v:path gradientshapeok="t" o:connecttype="rect"/>
          </v:shapetype>
          <v:shape id="Text Box 60" o:spid="_x0000_s2078" type="#_x0000_t202" style="position:absolute;left:23755;top:89998;width:16319;height:165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style="mso-next-textbox:#Text Box 60" inset="0,0,0,0">
              <w:txbxContent>
                <w:p w:rsidR="00E47B23" w:rsidRPr="00AD3CDE" w:rsidRDefault="00E47B23" w:rsidP="00387E32">
                  <w:pPr>
                    <w:pStyle w:val="Basicinfoheader"/>
                  </w:pPr>
                  <w:r w:rsidRPr="00AD3CDE">
                    <w:t>Číslo projektu:</w:t>
                  </w:r>
                </w:p>
                <w:p w:rsidR="00E47B23" w:rsidRPr="00AD3CDE" w:rsidRDefault="00E47B23" w:rsidP="00387E32">
                  <w:pPr>
                    <w:pStyle w:val="Basicinfoheader"/>
                  </w:pPr>
                  <w:r w:rsidRPr="00AD3CDE">
                    <w:t>Zákazník:</w:t>
                  </w:r>
                </w:p>
                <w:p w:rsidR="00E47B23" w:rsidRPr="00AD3CDE" w:rsidRDefault="00E47B23" w:rsidP="00387E32">
                  <w:pPr>
                    <w:pStyle w:val="Basicinfoheader"/>
                  </w:pPr>
                  <w:r w:rsidRPr="00AD3CDE">
                    <w:t>Dátum publikovania:</w:t>
                  </w:r>
                </w:p>
                <w:p w:rsidR="00E47B23" w:rsidRPr="00AD3CDE" w:rsidRDefault="00E47B23" w:rsidP="00387E32">
                  <w:pPr>
                    <w:pStyle w:val="Basicinfoheader"/>
                  </w:pPr>
                  <w:r w:rsidRPr="00AD3CDE">
                    <w:t>Generálny riaditeľ:</w:t>
                  </w:r>
                </w:p>
                <w:p w:rsidR="00E47B23" w:rsidRPr="00AD3CDE" w:rsidRDefault="00E47B23" w:rsidP="00387E32">
                  <w:pPr>
                    <w:pStyle w:val="Basicinfoheader"/>
                  </w:pPr>
                  <w:r w:rsidRPr="00AD3CDE">
                    <w:t xml:space="preserve">Manažér </w:t>
                  </w:r>
                  <w:r>
                    <w:t>p</w:t>
                  </w:r>
                  <w:r w:rsidRPr="00AD3CDE">
                    <w:t>rojektu:</w:t>
                  </w:r>
                </w:p>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p w:rsidR="00E47B23" w:rsidRDefault="00E47B23" w:rsidP="0025522E"/>
                <w:p w:rsidR="00E47B23" w:rsidRDefault="00E47B23" w:rsidP="0025522E"/>
                <w:p w:rsidR="00E47B23" w:rsidRDefault="00E47B23" w:rsidP="0025522E"/>
                <w:p w:rsidR="00E47B23" w:rsidRPr="00AD3CDE" w:rsidRDefault="00E47B23" w:rsidP="0025522E">
                  <w:r w:rsidRPr="00AD3CDE">
                    <w:t>Číslo projektu:</w:t>
                  </w:r>
                </w:p>
                <w:p w:rsidR="00E47B23" w:rsidRPr="00AD3CDE" w:rsidRDefault="00E47B23" w:rsidP="0025522E">
                  <w:r w:rsidRPr="00AD3CDE">
                    <w:t>Zákazník:</w:t>
                  </w:r>
                </w:p>
                <w:p w:rsidR="00E47B23" w:rsidRPr="00AD3CDE" w:rsidRDefault="00E47B23" w:rsidP="0025522E">
                  <w:r w:rsidRPr="00AD3CDE">
                    <w:t>Dátum publikovania:</w:t>
                  </w:r>
                </w:p>
                <w:p w:rsidR="00E47B23" w:rsidRPr="00AD3CDE" w:rsidRDefault="00E47B23" w:rsidP="0025522E">
                  <w:r w:rsidRPr="00AD3CDE">
                    <w:t>Generálny riaditeľ:</w:t>
                  </w:r>
                </w:p>
                <w:p w:rsidR="00E47B23" w:rsidRPr="00AD3CDE" w:rsidRDefault="00E47B23" w:rsidP="0025522E">
                  <w:r w:rsidRPr="00AD3CDE">
                    <w:t xml:space="preserve">Manažér </w:t>
                  </w:r>
                  <w:r>
                    <w:t>p</w:t>
                  </w:r>
                  <w:r w:rsidRPr="00AD3CDE">
                    <w:t>rojektu:</w:t>
                  </w:r>
                </w:p>
                <w:p w:rsidR="00E47B23" w:rsidRDefault="00E47B23" w:rsidP="0025522E"/>
              </w:txbxContent>
            </v:textbox>
          </v:shape>
          <v:shape id="Picture 61" o:spid="_x0000_s2077" type="#_x0000_t75" alt="logo" style="position:absolute;left:13061;top:7867;width:18720;height:73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">
            <v:imagedata r:id="rId2" o:title="logo"/>
          </v:shape>
          <w10:wrap anchorx="page" anchory="page"/>
        </v:group>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Default="00C40D3F" w:rsidP="00AB0A40">
    <w:pPr>
      <w:ind w:left="2694"/>
    </w:pPr>
    <w:r>
      <w:rPr>
        <w:smallCaps/>
        <w:noProof/>
        <w:lang w:eastAsia="sk-SK"/>
      </w:rPr>
      <w:pict w14:anchorId="6A44D9C0">
        <v:group id="_x0000_s2073" style="position:absolute;left:0;text-align:left;margin-left:1.05pt;margin-top:5.65pt;width:126.35pt;height:37.2pt;z-index:251678208" coordorigin="2021,7162" coordsize="2527,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0" o:spid="_x0000_s2075" type="#_x0000_t75" alt="logo" style="position:absolute;left:2021;top:7162;width:1887;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51" o:spid="_x0000_s2074" type="#_x0000_t32" style="position:absolute;left:4548;top:7162;width:0;height:7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" strokeweight="1pt"/>
        </v:group>
      </w:pict>
    </w:r>
    <w:r>
      <w:fldChar w:fldCharType="begin"/>
    </w:r>
    <w:r>
      <w:instrText xml:space="preserve"> STYLEREF  "Title Cover" \l  \* MERGEFORMAT </w:instrText>
    </w:r>
    <w:r>
      <w:fldChar w:fldCharType="separate"/>
    </w:r>
    <w:r w:rsidR="00E47B23" w:rsidRPr="001E4C1C">
      <w:rPr>
        <w:smallCaps/>
        <w:noProof/>
      </w:rPr>
      <w:t>Komparatívna analýza systémov spoplatnenia ETC</w:t>
    </w:r>
    <w:r>
      <w:rPr>
        <w:smallCaps/>
        <w:noProof/>
      </w:rPr>
      <w:fldChar w:fldCharType="end"/>
    </w:r>
  </w:p>
  <w:p w:rsidR="00E47B23" w:rsidRPr="00546C93" w:rsidRDefault="00C40D3F" w:rsidP="00546C93">
    <w:pPr>
      <w:ind w:left="2694"/>
    </w:pPr>
    <w:r>
      <w:fldChar w:fldCharType="begin"/>
    </w:r>
    <w:r>
      <w:instrText xml:space="preserve"> STYLEREF  "Nadpis 1" \l  \* MERGEFORMAT </w:instrText>
    </w:r>
    <w:r>
      <w:fldChar w:fldCharType="separate"/>
    </w:r>
    <w:r w:rsidR="00E47B23">
      <w:rPr>
        <w:noProof/>
      </w:rPr>
      <w:t>Analýza systémov elektronického výberu mýta v SR a zahraničí</w:t>
    </w:r>
    <w:r>
      <w:rPr>
        <w:noProof/>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AB0A40" w:rsidRDefault="00C40D3F" w:rsidP="0025522E">
    <w:pPr>
      <w:rPr>
        <w:smallCaps/>
      </w:rPr>
    </w:pPr>
    <w:r>
      <w:rPr>
        <w:smallCaps/>
        <w:noProof/>
        <w:lang w:eastAsia="sk-SK"/>
      </w:rPr>
      <w:pict w14:anchorId="037FA32D">
        <v:group id="_x0000_s2070" style="position:absolute;left:0;text-align:left;margin-left:340.1pt;margin-top:5.7pt;width:126.75pt;height:37.2pt;z-index:251665920"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72"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">
            <v:imagedata r:id="rId1" o:title="logo"/>
          </v:shape>
          <v:shapetype id="_x0000_t32" coordsize="21600,21600" o:spt="32" o:oned="t" path="m,l21600,21600e" filled="f">
            <v:path arrowok="t" fillok="f" o:connecttype="none"/>
            <o:lock v:ext="edit" shapetype="t"/>
          </v:shapetype>
          <v:shape id="AutoShape 142" o:spid="_x0000_s2071"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" strokeweight="1pt"/>
        </v:group>
      </w:pict>
    </w:r>
    <w:r>
      <w:fldChar w:fldCharType="begin"/>
    </w:r>
    <w:r>
      <w:instrText xml:space="preserve"> STYLEREF  "Title Cover" \l  \* MERGEFORMAT </w:instrText>
    </w:r>
    <w:r>
      <w:fldChar w:fldCharType="separate"/>
    </w:r>
    <w:r w:rsidR="0085251A" w:rsidRPr="0085251A">
      <w:rPr>
        <w:smallCaps/>
        <w:noProof/>
      </w:rPr>
      <w:t>Komparatívna analýza systémov spoplatnenia</w:t>
    </w:r>
    <w:r w:rsidR="0085251A">
      <w:rPr>
        <w:noProof/>
      </w:rPr>
      <w:t xml:space="preserve"> ETC</w:t>
    </w:r>
    <w:r>
      <w:rPr>
        <w:noProof/>
      </w:rPr>
      <w:fldChar w:fldCharType="end"/>
    </w:r>
  </w:p>
  <w:p w:rsidR="00E47B23" w:rsidRPr="008F403D" w:rsidRDefault="00C40D3F" w:rsidP="00546C93">
    <w:pPr>
      <w:rPr>
        <w:smallCaps/>
        <w:sz w:val="19"/>
        <w:szCs w:val="19"/>
      </w:rPr>
    </w:pPr>
    <w:r>
      <w:fldChar w:fldCharType="begin"/>
    </w:r>
    <w:r>
      <w:instrText xml:space="preserve"> STYLEREF  "Nadpis 1" \l  \* MERGEFORMAT </w:instrText>
    </w:r>
    <w:r>
      <w:fldChar w:fldCharType="separate"/>
    </w:r>
    <w:r w:rsidR="0085251A" w:rsidRPr="0085251A">
      <w:rPr>
        <w:smallCaps/>
        <w:noProof/>
        <w:sz w:val="19"/>
        <w:szCs w:val="19"/>
      </w:rPr>
      <w:t>Analýza systémov elektronického výberu mýta v SR a zahraničí</w:t>
    </w:r>
    <w:r>
      <w:rPr>
        <w:smallCaps/>
        <w:noProof/>
        <w:sz w:val="19"/>
        <w:szCs w:val="19"/>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AC7C1C" w:rsidRDefault="00E47B23" w:rsidP="0025522E">
    <w:pPr>
      <w:pStyle w:val="Hlavika"/>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E85785" w:rsidRDefault="00C40D3F" w:rsidP="0025522E">
    <w:pPr>
      <w:rPr>
        <w:smallCaps/>
      </w:rPr>
    </w:pPr>
    <w:r>
      <w:rPr>
        <w:noProof/>
        <w:lang w:eastAsia="sk-SK"/>
      </w:rPr>
      <w:pict w14:anchorId="46766E1B">
        <v:group id="_x0000_s2067" style="position:absolute;left:0;text-align:left;margin-left:571.85pt;margin-top:-7.95pt;width:126.75pt;height:37.2pt;z-index:251666944"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GUKcnQ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69"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68"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 ETC</w:t>
    </w:r>
    <w:r>
      <w:rPr>
        <w:smallCaps/>
        <w:noProof/>
      </w:rPr>
      <w:fldChar w:fldCharType="end"/>
    </w:r>
  </w:p>
  <w:p w:rsidR="00E47B23" w:rsidRPr="008F403D" w:rsidRDefault="00C40D3F" w:rsidP="00E85785">
    <w:pPr>
      <w:rPr>
        <w:smallCaps/>
        <w:sz w:val="19"/>
        <w:szCs w:val="19"/>
      </w:rPr>
    </w:pPr>
    <w:r>
      <w:fldChar w:fldCharType="begin"/>
    </w:r>
    <w:r>
      <w:instrText xml:space="preserve"> STYLEREF  "Nadpis 1" \l  \* MERGEFORMAT </w:instrText>
    </w:r>
    <w:r>
      <w:fldChar w:fldCharType="separate"/>
    </w:r>
    <w:r w:rsidR="00552C02">
      <w:rPr>
        <w:smallCaps/>
        <w:noProof/>
        <w:sz w:val="19"/>
        <w:szCs w:val="19"/>
      </w:rPr>
      <w:t>Analýza systémov elektronického výberu mýta v SR a zahraničí</w:t>
    </w:r>
    <w:r>
      <w:rPr>
        <w:smallCaps/>
        <w:noProof/>
        <w:sz w:val="19"/>
        <w:szCs w:val="19"/>
      </w:rPr>
      <w:fldChar w:fldCharType="end"/>
    </w:r>
  </w:p>
  <w:p w:rsidR="00E47B23" w:rsidRDefault="00E47B23" w:rsidP="0025522E"/>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5E97E201">
        <v:group id="Group 140" o:spid="_x0000_s2064" style="position:absolute;left:0;text-align:left;margin-left:340.1pt;margin-top:5.7pt;width:126.75pt;height:37.2pt;z-index:251661824"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47onQ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66"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65"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Analýza očakávanej a dosiahnutej výnosnosti EMS na základe vybraných ukazovateľov</w:t>
    </w:r>
    <w:r>
      <w:rPr>
        <w:smallCaps/>
        <w:noProof/>
        <w:sz w:val="19"/>
        <w:szCs w:val="19"/>
      </w:rPr>
      <w:fldChar w:fldCharType="end"/>
    </w:r>
  </w:p>
  <w:p w:rsidR="00E47B23" w:rsidRPr="00B54463" w:rsidRDefault="00E47B23" w:rsidP="0025522E"/>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635A0AF6">
        <v:group id="_x0000_s2091" style="position:absolute;left:0;text-align:left;margin-left:558.9pt;margin-top:3.3pt;width:126.75pt;height:37.2pt;z-index:251696640"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47onQ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92"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93"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Analýza očakávanej a dosiahnutej výnosnosti EMS na základe vybraných ukazovateľov</w:t>
    </w:r>
    <w:r>
      <w:rPr>
        <w:smallCaps/>
        <w:noProof/>
        <w:sz w:val="19"/>
        <w:szCs w:val="19"/>
      </w:rPr>
      <w:fldChar w:fldCharType="end"/>
    </w:r>
  </w:p>
  <w:p w:rsidR="00E47B23" w:rsidRPr="00B54463" w:rsidRDefault="00E47B23" w:rsidP="0025522E"/>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5DE44A2F">
        <v:group id="_x0000_s2094" style="position:absolute;left:0;text-align:left;margin-left:340.1pt;margin-top:5.7pt;width:126.75pt;height:37.2pt;z-index:251698688"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47onQ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95"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96"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Analýza očakávanej a dosiahnutej výnosnosti EMS na základe vybraných ukazovateľov</w:t>
    </w:r>
    <w:r>
      <w:rPr>
        <w:smallCaps/>
        <w:noProof/>
        <w:sz w:val="19"/>
        <w:szCs w:val="19"/>
      </w:rPr>
      <w:fldChar w:fldCharType="end"/>
    </w:r>
  </w:p>
  <w:p w:rsidR="00E47B23" w:rsidRPr="00B54463" w:rsidRDefault="00E47B23" w:rsidP="0025522E"/>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2F43A9CF">
        <v:group id="_x0000_s2097" style="position:absolute;left:0;text-align:left;margin-left:565.45pt;margin-top:5.7pt;width:126.75pt;height:37.2pt;z-index:251700736"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47onQ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98"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99"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Analýza očakávanej a dosiahnutej výnosnosti EMS na základe vybraných ukazovateľov</w:t>
    </w:r>
    <w:r>
      <w:rPr>
        <w:smallCaps/>
        <w:noProof/>
        <w:sz w:val="19"/>
        <w:szCs w:val="19"/>
      </w:rPr>
      <w:fldChar w:fldCharType="end"/>
    </w:r>
  </w:p>
  <w:p w:rsidR="00E47B23" w:rsidRPr="00B54463" w:rsidRDefault="00E47B23" w:rsidP="0025522E"/>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65F664FB">
        <v:group id="_x0000_s2100" style="position:absolute;left:0;text-align:left;margin-left:340.1pt;margin-top:5.7pt;width:126.75pt;height:37.2pt;z-index:251702784"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47onQ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101"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102"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Návrh opatrení na zvýšenie efektívnosti elektronického výberu mýta v SR</w:t>
    </w:r>
    <w:r>
      <w:rPr>
        <w:smallCaps/>
        <w:noProof/>
        <w:sz w:val="19"/>
        <w:szCs w:val="19"/>
      </w:rPr>
      <w:fldChar w:fldCharType="end"/>
    </w:r>
  </w:p>
  <w:p w:rsidR="00E47B23" w:rsidRPr="00B54463" w:rsidRDefault="00E47B23" w:rsidP="0025522E"/>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4A1139F3">
        <v:group id="_x0000_s2061" style="position:absolute;left:0;text-align:left;margin-left:572pt;margin-top:5.7pt;width:126.75pt;height:37.2pt;z-index:251686400"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63"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62"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Návrh opatrení na zvýšenie efektívnosti elektronického výberu mýta v SR</w:t>
    </w:r>
    <w:r>
      <w:rPr>
        <w:smallCaps/>
        <w:noProof/>
        <w:sz w:val="19"/>
        <w:szCs w:val="19"/>
      </w:rPr>
      <w:fldChar w:fldCharType="end"/>
    </w:r>
  </w:p>
  <w:p w:rsidR="00E47B23" w:rsidRPr="00B54463" w:rsidRDefault="00E47B23" w:rsidP="0025522E"/>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26DF5576">
        <v:group id="_x0000_s2058" style="position:absolute;left:0;text-align:left;margin-left:340.1pt;margin-top:5.7pt;width:126.75pt;height:37.2pt;z-index:251690496"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VC/ing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60"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">
            <v:imagedata r:id="rId1" o:title="logo"/>
          </v:shape>
          <v:shapetype id="_x0000_t32" coordsize="21600,21600" o:spt="32" o:oned="t" path="m,l21600,21600e" filled="f">
            <v:path arrowok="t" fillok="f" o:connecttype="none"/>
            <o:lock v:ext="edit" shapetype="t"/>
          </v:shapetype>
          <v:shape id="AutoShape 142" o:spid="_x0000_s2059"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" strokeweight="1pt"/>
        </v:group>
      </w:pict>
    </w:r>
    <w:r>
      <w:fldChar w:fldCharType="begin"/>
    </w:r>
    <w:r>
      <w:instrText xml:space="preserve"> STY</w:instrText>
    </w:r>
    <w:r>
      <w:instrText xml:space="preserve">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3A0250">
    <w:pPr>
      <w:rPr>
        <w:smallCaps/>
        <w:sz w:val="19"/>
        <w:szCs w:val="19"/>
      </w:rPr>
    </w:pPr>
    <w:r>
      <w:fldChar w:fldCharType="begin"/>
    </w:r>
    <w:r>
      <w:instrText xml:space="preserve"> STYLEREF  "Nadpis 1" \l  \* MERGEFORMAT </w:instrText>
    </w:r>
    <w:r>
      <w:fldChar w:fldCharType="separate"/>
    </w:r>
    <w:r w:rsidR="00552C02">
      <w:rPr>
        <w:smallCaps/>
        <w:noProof/>
        <w:sz w:val="19"/>
        <w:szCs w:val="19"/>
      </w:rPr>
      <w:t>Závery a odporúčania</w:t>
    </w:r>
    <w:r>
      <w:rPr>
        <w:smallCaps/>
        <w:noProof/>
        <w:sz w:val="19"/>
        <w:szCs w:val="19"/>
      </w:rPr>
      <w:fldChar w:fldCharType="end"/>
    </w:r>
  </w:p>
  <w:p w:rsidR="00E47B23" w:rsidRPr="00B54463" w:rsidRDefault="00E47B23" w:rsidP="0025522E"/>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6202D606">
        <v:group id="_x0000_s2055" style="position:absolute;left:0;text-align:left;margin-left:340.1pt;margin-top:5.7pt;width:126.75pt;height:37.2pt;z-index:251680256"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57"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">
            <v:imagedata r:id="rId1" o:title="logo"/>
          </v:shape>
          <v:shapetype id="_x0000_t32" coordsize="21600,21600" o:spt="32" o:oned="t" path="m,l21600,21600e" filled="f">
            <v:path arrowok="t" fillok="f" o:connecttype="none"/>
            <o:lock v:ext="edit" shapetype="t"/>
          </v:shapetype>
          <v:shape id="AutoShape 142" o:spid="_x0000_s2056"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5647A" w:rsidRDefault="00C40D3F" w:rsidP="009C58A8">
    <w:pPr>
      <w:rPr>
        <w:smallCaps/>
        <w:sz w:val="19"/>
        <w:szCs w:val="19"/>
      </w:rPr>
    </w:pPr>
    <w:r>
      <w:fldChar w:fldCharType="begin"/>
    </w:r>
    <w:r>
      <w:instrText xml:space="preserve"> STYLEREF  "Nadpis 1" \l  \* MERGEFORMAT </w:instrText>
    </w:r>
    <w:r>
      <w:fldChar w:fldCharType="separate"/>
    </w:r>
    <w:r w:rsidR="00552C02">
      <w:rPr>
        <w:smallCaps/>
        <w:noProof/>
        <w:sz w:val="19"/>
        <w:szCs w:val="19"/>
      </w:rPr>
      <w:t>Prílohy</w:t>
    </w:r>
    <w:r>
      <w:rPr>
        <w:smallCaps/>
        <w:noProof/>
        <w:sz w:val="19"/>
        <w:szCs w:val="19"/>
      </w:rPr>
      <w:fldChar w:fldCharType="end"/>
    </w:r>
  </w:p>
  <w:p w:rsidR="00E47B23" w:rsidRPr="00B54463" w:rsidRDefault="00E47B23" w:rsidP="0025522E"/>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5F2300" w:rsidRDefault="00C40D3F" w:rsidP="00404B50">
    <w:pPr>
      <w:ind w:left="2835"/>
      <w:rPr>
        <w:smallCaps/>
      </w:rPr>
    </w:pPr>
    <w:r>
      <w:rPr>
        <w:smallCaps/>
        <w:noProof/>
        <w:lang w:eastAsia="sk-SK"/>
      </w:rPr>
      <w:pict w14:anchorId="0BFE7426">
        <v:group id="_x0000_s2052" style="position:absolute;left:0;text-align:left;margin-left:1.05pt;margin-top:5.65pt;width:126.35pt;height:37.2pt;z-index:251684352" coordorigin="2021,7162" coordsize="2527,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0" o:spid="_x0000_s2054" type="#_x0000_t75" alt="logo" style="position:absolute;left:2021;top:7162;width:1887;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">
            <v:imagedata r:id="rId1" o:title="logo"/>
          </v:shape>
          <v:shapetype id="_x0000_t32" coordsize="21600,21600" o:spt="32" o:oned="t" path="m,l21600,21600e" filled="f">
            <v:path arrowok="t" fillok="f" o:connecttype="none"/>
            <o:lock v:ext="edit" shapetype="t"/>
          </v:shapetype>
          <v:shape id="AutoShape 151" o:spid="_x0000_s2053" type="#_x0000_t32" style="position:absolute;left:4548;top:7162;width:0;height:7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" strokeweight="1pt"/>
        </v:group>
      </w:pict>
    </w:r>
    <w:r>
      <w:fldChar w:fldCharType="begin"/>
    </w:r>
    <w:r>
      <w:instrText xml:space="preserve"> STYLEREF  "Title Cover" \l  \* MERGEFORMAT </w:instrText>
    </w:r>
    <w:r>
      <w:fldChar w:fldCharType="separate"/>
    </w:r>
    <w:r w:rsidR="00E47B23" w:rsidRPr="001E4C1C">
      <w:rPr>
        <w:smallCaps/>
        <w:noProof/>
      </w:rPr>
      <w:t>Komparatívna analýza systémov spoplatnenia ETC</w:t>
    </w:r>
    <w:r>
      <w:rPr>
        <w:smallCaps/>
        <w:noProof/>
      </w:rPr>
      <w:fldChar w:fldCharType="end"/>
    </w:r>
  </w:p>
  <w:p w:rsidR="00E47B23" w:rsidRPr="009C58A8" w:rsidRDefault="00C40D3F" w:rsidP="005F2300">
    <w:pPr>
      <w:ind w:left="2835"/>
      <w:rPr>
        <w:sz w:val="20"/>
      </w:rPr>
    </w:pPr>
    <w:r>
      <w:fldChar w:fldCharType="begin"/>
    </w:r>
    <w:r>
      <w:instrText xml:space="preserve"> STYLEREF  "Nadpis 1" \l  \* MERGEFORMAT </w:instrText>
    </w:r>
    <w:r>
      <w:fldChar w:fldCharType="separate"/>
    </w:r>
    <w:r w:rsidR="00E47B23" w:rsidRPr="001E4C1C">
      <w:rPr>
        <w:noProof/>
        <w:sz w:val="20"/>
      </w:rPr>
      <w:t>Prílohy</w:t>
    </w:r>
    <w:r>
      <w:rPr>
        <w:noProof/>
        <w:sz w:val="20"/>
      </w:rPr>
      <w:fldChar w:fldCharType="end"/>
    </w:r>
  </w:p>
  <w:p w:rsidR="00E47B23" w:rsidRPr="00AC7C1C" w:rsidRDefault="00E47B23" w:rsidP="0025522E">
    <w:pPr>
      <w:pStyle w:val="Hlavika"/>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47B23" w:rsidRPr="009C58A8" w:rsidRDefault="00C40D3F" w:rsidP="0025522E">
    <w:pPr>
      <w:rPr>
        <w:smallCaps/>
      </w:rPr>
    </w:pPr>
    <w:r>
      <w:rPr>
        <w:smallCaps/>
        <w:noProof/>
        <w:lang w:eastAsia="sk-SK"/>
      </w:rPr>
      <w:pict w14:anchorId="170D5931">
        <v:group id="_x0000_s2049" style="position:absolute;left:0;text-align:left;margin-left:575.75pt;margin-top:3.3pt;width:126.75pt;height:37.2pt;z-index:251682304" coordorigin="8220,4326" coordsize="2535,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1" o:spid="_x0000_s2051" type="#_x0000_t75" alt="logo" style="position:absolute;left:8869;top:4326;width:1886;height:7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">
            <v:imagedata r:id="rId1" o:title="logo"/>
          </v:shape>
          <v:shapetype id="_x0000_t32" coordsize="21600,21600" o:spt="32" o:oned="t" path="m,l21600,21600e" filled="f">
            <v:path arrowok="t" fillok="f" o:connecttype="none"/>
            <o:lock v:ext="edit" shapetype="t"/>
          </v:shapetype>
          <v:shape id="AutoShape 142" o:spid="_x0000_s2050" type="#_x0000_t32" style="position:absolute;left:8220;top:4326;width:0;height:6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" strokeweight="1pt"/>
        </v:group>
      </w:pict>
    </w:r>
    <w:r>
      <w:fldChar w:fldCharType="begin"/>
    </w:r>
    <w:r>
      <w:instrText xml:space="preserve"> STYLEREF  "Title Cover" \l  \* MERGEFORMAT </w:instrText>
    </w:r>
    <w:r>
      <w:fldChar w:fldCharType="separate"/>
    </w:r>
    <w:r w:rsidR="00552C02" w:rsidRPr="00552C02">
      <w:rPr>
        <w:smallCaps/>
        <w:noProof/>
      </w:rPr>
      <w:t>Komparatívna analýza systémov spoplatnenia</w:t>
    </w:r>
    <w:r w:rsidR="00552C02">
      <w:rPr>
        <w:noProof/>
      </w:rPr>
      <w:t xml:space="preserve"> ETC</w:t>
    </w:r>
    <w:r>
      <w:rPr>
        <w:noProof/>
      </w:rPr>
      <w:fldChar w:fldCharType="end"/>
    </w:r>
  </w:p>
  <w:p w:rsidR="00E47B23" w:rsidRPr="008F403D" w:rsidRDefault="00C40D3F" w:rsidP="009C58A8">
    <w:pPr>
      <w:rPr>
        <w:smallCaps/>
        <w:sz w:val="19"/>
        <w:szCs w:val="19"/>
      </w:rPr>
    </w:pPr>
    <w:r>
      <w:fldChar w:fldCharType="begin"/>
    </w:r>
    <w:r>
      <w:instrText xml:space="preserve"> STYLEREF  "Nadpis 1" \l  \* MERGEFORMAT </w:instrText>
    </w:r>
    <w:r>
      <w:fldChar w:fldCharType="separate"/>
    </w:r>
    <w:r w:rsidR="00552C02" w:rsidRPr="00552C02">
      <w:rPr>
        <w:smallCaps/>
        <w:noProof/>
        <w:sz w:val="19"/>
        <w:szCs w:val="19"/>
      </w:rPr>
      <w:t>Prílohy</w:t>
    </w:r>
    <w:r>
      <w:rPr>
        <w:smallCaps/>
        <w:noProof/>
        <w:sz w:val="19"/>
        <w:szCs w:val="19"/>
      </w:rPr>
      <w:fldChar w:fldCharType="end"/>
    </w:r>
  </w:p>
  <w:p w:rsidR="00E47B23" w:rsidRPr="00B54463" w:rsidRDefault="00E47B23" w:rsidP="0025522E"/>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794DAB2"/>
    <w:lvl w:ilvl="0">
      <w:start w:val="1"/>
      <w:numFmt w:val="decimal"/>
      <w:pStyle w:val="slovanzoznam5"/>
      <w:lvlText w:val="%1."/>
      <w:lvlJc w:val="left"/>
      <w:pPr>
        <w:tabs>
          <w:tab w:val="num" w:pos="1492"/>
        </w:tabs>
        <w:ind w:left="1492" w:hanging="360"/>
      </w:pPr>
    </w:lvl>
  </w:abstractNum>
  <w:abstractNum w:abstractNumId="1" w15:restartNumberingAfterBreak="0">
    <w:nsid w:val="FFFFFF7D"/>
    <w:multiLevelType w:val="singleLevel"/>
    <w:tmpl w:val="88964212"/>
    <w:lvl w:ilvl="0">
      <w:start w:val="1"/>
      <w:numFmt w:val="decimal"/>
      <w:pStyle w:val="slovanzoznam4"/>
      <w:lvlText w:val="%1."/>
      <w:lvlJc w:val="left"/>
      <w:pPr>
        <w:tabs>
          <w:tab w:val="num" w:pos="1209"/>
        </w:tabs>
        <w:ind w:left="1209" w:hanging="360"/>
      </w:pPr>
    </w:lvl>
  </w:abstractNum>
  <w:abstractNum w:abstractNumId="2" w15:restartNumberingAfterBreak="0">
    <w:nsid w:val="FFFFFF7E"/>
    <w:multiLevelType w:val="singleLevel"/>
    <w:tmpl w:val="2A184118"/>
    <w:lvl w:ilvl="0">
      <w:start w:val="1"/>
      <w:numFmt w:val="decimal"/>
      <w:pStyle w:val="slovanzoznam3"/>
      <w:lvlText w:val="%1."/>
      <w:lvlJc w:val="left"/>
      <w:pPr>
        <w:tabs>
          <w:tab w:val="num" w:pos="926"/>
        </w:tabs>
        <w:ind w:left="926" w:hanging="360"/>
      </w:pPr>
    </w:lvl>
  </w:abstractNum>
  <w:abstractNum w:abstractNumId="3" w15:restartNumberingAfterBreak="0">
    <w:nsid w:val="FFFFFF7F"/>
    <w:multiLevelType w:val="singleLevel"/>
    <w:tmpl w:val="CA081DC4"/>
    <w:lvl w:ilvl="0">
      <w:start w:val="1"/>
      <w:numFmt w:val="decimal"/>
      <w:pStyle w:val="slovanzoznam2"/>
      <w:lvlText w:val="%1."/>
      <w:lvlJc w:val="left"/>
      <w:pPr>
        <w:tabs>
          <w:tab w:val="num" w:pos="643"/>
        </w:tabs>
        <w:ind w:left="643" w:hanging="360"/>
      </w:pPr>
    </w:lvl>
  </w:abstractNum>
  <w:abstractNum w:abstractNumId="4" w15:restartNumberingAfterBreak="0">
    <w:nsid w:val="FFFFFF80"/>
    <w:multiLevelType w:val="singleLevel"/>
    <w:tmpl w:val="7160E160"/>
    <w:lvl w:ilvl="0">
      <w:start w:val="1"/>
      <w:numFmt w:val="bullet"/>
      <w:pStyle w:val="Zo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736916C"/>
    <w:lvl w:ilvl="0">
      <w:start w:val="1"/>
      <w:numFmt w:val="bullet"/>
      <w:pStyle w:val="Zo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AA63E78"/>
    <w:lvl w:ilvl="0">
      <w:start w:val="1"/>
      <w:numFmt w:val="bullet"/>
      <w:pStyle w:val="Zo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09A3B98"/>
    <w:lvl w:ilvl="0">
      <w:start w:val="1"/>
      <w:numFmt w:val="bullet"/>
      <w:pStyle w:val="Zo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36D06E"/>
    <w:lvl w:ilvl="0">
      <w:start w:val="1"/>
      <w:numFmt w:val="decimal"/>
      <w:pStyle w:val="slovanzoznam"/>
      <w:lvlText w:val="%1."/>
      <w:lvlJc w:val="left"/>
      <w:pPr>
        <w:tabs>
          <w:tab w:val="num" w:pos="360"/>
        </w:tabs>
        <w:ind w:left="360" w:hanging="360"/>
      </w:pPr>
    </w:lvl>
  </w:abstractNum>
  <w:abstractNum w:abstractNumId="9" w15:restartNumberingAfterBreak="0">
    <w:nsid w:val="FFFFFF89"/>
    <w:multiLevelType w:val="singleLevel"/>
    <w:tmpl w:val="4F4C8DCE"/>
    <w:lvl w:ilvl="0">
      <w:start w:val="1"/>
      <w:numFmt w:val="bullet"/>
      <w:pStyle w:val="Zoznamsodrkami"/>
      <w:lvlText w:val=""/>
      <w:lvlJc w:val="left"/>
      <w:pPr>
        <w:tabs>
          <w:tab w:val="num" w:pos="360"/>
        </w:tabs>
        <w:ind w:left="360" w:hanging="360"/>
      </w:pPr>
      <w:rPr>
        <w:rFonts w:ascii="Symbol" w:hAnsi="Symbol" w:hint="default"/>
      </w:rPr>
    </w:lvl>
  </w:abstractNum>
  <w:abstractNum w:abstractNumId="10" w15:restartNumberingAfterBreak="0">
    <w:nsid w:val="04636943"/>
    <w:multiLevelType w:val="hybridMultilevel"/>
    <w:tmpl w:val="F95CC67A"/>
    <w:lvl w:ilvl="0" w:tplc="041B0001">
      <w:start w:val="1"/>
      <w:numFmt w:val="bullet"/>
      <w:lvlText w:val=""/>
      <w:lvlJc w:val="left"/>
      <w:pPr>
        <w:ind w:left="764" w:hanging="360"/>
      </w:pPr>
      <w:rPr>
        <w:rFonts w:ascii="Symbol" w:hAnsi="Symbol" w:hint="default"/>
      </w:rPr>
    </w:lvl>
    <w:lvl w:ilvl="1" w:tplc="041B0003" w:tentative="1">
      <w:start w:val="1"/>
      <w:numFmt w:val="bullet"/>
      <w:lvlText w:val="o"/>
      <w:lvlJc w:val="left"/>
      <w:pPr>
        <w:ind w:left="1484" w:hanging="360"/>
      </w:pPr>
      <w:rPr>
        <w:rFonts w:ascii="Courier New" w:hAnsi="Courier New" w:cs="Courier New" w:hint="default"/>
      </w:rPr>
    </w:lvl>
    <w:lvl w:ilvl="2" w:tplc="041B0005" w:tentative="1">
      <w:start w:val="1"/>
      <w:numFmt w:val="bullet"/>
      <w:lvlText w:val=""/>
      <w:lvlJc w:val="left"/>
      <w:pPr>
        <w:ind w:left="2204" w:hanging="360"/>
      </w:pPr>
      <w:rPr>
        <w:rFonts w:ascii="Wingdings" w:hAnsi="Wingdings" w:hint="default"/>
      </w:rPr>
    </w:lvl>
    <w:lvl w:ilvl="3" w:tplc="041B0001" w:tentative="1">
      <w:start w:val="1"/>
      <w:numFmt w:val="bullet"/>
      <w:lvlText w:val=""/>
      <w:lvlJc w:val="left"/>
      <w:pPr>
        <w:ind w:left="2924" w:hanging="360"/>
      </w:pPr>
      <w:rPr>
        <w:rFonts w:ascii="Symbol" w:hAnsi="Symbol" w:hint="default"/>
      </w:rPr>
    </w:lvl>
    <w:lvl w:ilvl="4" w:tplc="041B0003" w:tentative="1">
      <w:start w:val="1"/>
      <w:numFmt w:val="bullet"/>
      <w:lvlText w:val="o"/>
      <w:lvlJc w:val="left"/>
      <w:pPr>
        <w:ind w:left="3644" w:hanging="360"/>
      </w:pPr>
      <w:rPr>
        <w:rFonts w:ascii="Courier New" w:hAnsi="Courier New" w:cs="Courier New" w:hint="default"/>
      </w:rPr>
    </w:lvl>
    <w:lvl w:ilvl="5" w:tplc="041B0005" w:tentative="1">
      <w:start w:val="1"/>
      <w:numFmt w:val="bullet"/>
      <w:lvlText w:val=""/>
      <w:lvlJc w:val="left"/>
      <w:pPr>
        <w:ind w:left="4364" w:hanging="360"/>
      </w:pPr>
      <w:rPr>
        <w:rFonts w:ascii="Wingdings" w:hAnsi="Wingdings" w:hint="default"/>
      </w:rPr>
    </w:lvl>
    <w:lvl w:ilvl="6" w:tplc="041B0001" w:tentative="1">
      <w:start w:val="1"/>
      <w:numFmt w:val="bullet"/>
      <w:lvlText w:val=""/>
      <w:lvlJc w:val="left"/>
      <w:pPr>
        <w:ind w:left="5084" w:hanging="360"/>
      </w:pPr>
      <w:rPr>
        <w:rFonts w:ascii="Symbol" w:hAnsi="Symbol" w:hint="default"/>
      </w:rPr>
    </w:lvl>
    <w:lvl w:ilvl="7" w:tplc="041B0003" w:tentative="1">
      <w:start w:val="1"/>
      <w:numFmt w:val="bullet"/>
      <w:lvlText w:val="o"/>
      <w:lvlJc w:val="left"/>
      <w:pPr>
        <w:ind w:left="5804" w:hanging="360"/>
      </w:pPr>
      <w:rPr>
        <w:rFonts w:ascii="Courier New" w:hAnsi="Courier New" w:cs="Courier New" w:hint="default"/>
      </w:rPr>
    </w:lvl>
    <w:lvl w:ilvl="8" w:tplc="041B0005" w:tentative="1">
      <w:start w:val="1"/>
      <w:numFmt w:val="bullet"/>
      <w:lvlText w:val=""/>
      <w:lvlJc w:val="left"/>
      <w:pPr>
        <w:ind w:left="6524" w:hanging="360"/>
      </w:pPr>
      <w:rPr>
        <w:rFonts w:ascii="Wingdings" w:hAnsi="Wingdings" w:hint="default"/>
      </w:rPr>
    </w:lvl>
  </w:abstractNum>
  <w:abstractNum w:abstractNumId="11" w15:restartNumberingAfterBreak="0">
    <w:nsid w:val="05B40A31"/>
    <w:multiLevelType w:val="hybridMultilevel"/>
    <w:tmpl w:val="3136568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6C42FC4"/>
    <w:multiLevelType w:val="hybridMultilevel"/>
    <w:tmpl w:val="4128FDB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06FA6072"/>
    <w:multiLevelType w:val="multilevel"/>
    <w:tmpl w:val="FC4ECF44"/>
    <w:lvl w:ilvl="0">
      <w:start w:val="1"/>
      <w:numFmt w:val="decimal"/>
      <w:pStyle w:val="Hlavikazoznamucitci"/>
      <w:suff w:val="space"/>
      <w:lvlText w:val="%1."/>
      <w:lvlJc w:val="right"/>
      <w:pPr>
        <w:ind w:left="170" w:hanging="170"/>
      </w:pPr>
      <w:rPr>
        <w:rFonts w:hint="default"/>
      </w:rPr>
    </w:lvl>
    <w:lvl w:ilvl="1">
      <w:start w:val="1"/>
      <w:numFmt w:val="decimal"/>
      <w:suff w:val="space"/>
      <w:lvlText w:val="%1.%2."/>
      <w:lvlJc w:val="right"/>
      <w:pPr>
        <w:ind w:left="340" w:hanging="340"/>
      </w:pPr>
      <w:rPr>
        <w:rFonts w:hint="default"/>
      </w:rPr>
    </w:lvl>
    <w:lvl w:ilvl="2">
      <w:start w:val="1"/>
      <w:numFmt w:val="decimal"/>
      <w:suff w:val="space"/>
      <w:lvlText w:val="%1.%2.%3."/>
      <w:lvlJc w:val="right"/>
      <w:pPr>
        <w:ind w:left="510" w:hanging="510"/>
      </w:pPr>
      <w:rPr>
        <w:rFonts w:hint="default"/>
      </w:rPr>
    </w:lvl>
    <w:lvl w:ilvl="3">
      <w:start w:val="1"/>
      <w:numFmt w:val="decimal"/>
      <w:suff w:val="space"/>
      <w:lvlText w:val="%1.%2.%3.%4."/>
      <w:lvlJc w:val="right"/>
      <w:pPr>
        <w:ind w:left="680" w:hanging="680"/>
      </w:pPr>
      <w:rPr>
        <w:rFonts w:hint="default"/>
      </w:rPr>
    </w:lvl>
    <w:lvl w:ilvl="4">
      <w:start w:val="1"/>
      <w:numFmt w:val="decimal"/>
      <w:suff w:val="space"/>
      <w:lvlText w:val="%1.%2.%3.%4.%5."/>
      <w:lvlJc w:val="right"/>
      <w:pPr>
        <w:ind w:left="851" w:hanging="851"/>
      </w:pPr>
      <w:rPr>
        <w:rFonts w:hint="default"/>
      </w:rPr>
    </w:lvl>
    <w:lvl w:ilvl="5">
      <w:start w:val="1"/>
      <w:numFmt w:val="decimal"/>
      <w:suff w:val="space"/>
      <w:lvlText w:val="%1.%2.%3.%4.%5.%6."/>
      <w:lvlJc w:val="right"/>
      <w:pPr>
        <w:ind w:left="1021" w:hanging="1021"/>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none"/>
      <w:lvlText w:val=""/>
      <w:lvlJc w:val="left"/>
      <w:pPr>
        <w:tabs>
          <w:tab w:val="num" w:pos="4680"/>
        </w:tabs>
        <w:ind w:left="4320" w:hanging="1440"/>
      </w:pPr>
      <w:rPr>
        <w:rFonts w:hint="default"/>
      </w:rPr>
    </w:lvl>
  </w:abstractNum>
  <w:abstractNum w:abstractNumId="14" w15:restartNumberingAfterBreak="0">
    <w:nsid w:val="09826420"/>
    <w:multiLevelType w:val="hybridMultilevel"/>
    <w:tmpl w:val="E30AA106"/>
    <w:lvl w:ilvl="0" w:tplc="041B0001">
      <w:start w:val="1"/>
      <w:numFmt w:val="bullet"/>
      <w:lvlText w:val=""/>
      <w:lvlJc w:val="left"/>
      <w:pPr>
        <w:ind w:left="1494" w:hanging="360"/>
      </w:pPr>
      <w:rPr>
        <w:rFonts w:ascii="Symbol" w:hAnsi="Symbol" w:hint="default"/>
      </w:rPr>
    </w:lvl>
    <w:lvl w:ilvl="1" w:tplc="041B0003" w:tentative="1">
      <w:start w:val="1"/>
      <w:numFmt w:val="bullet"/>
      <w:lvlText w:val="o"/>
      <w:lvlJc w:val="left"/>
      <w:pPr>
        <w:ind w:left="2214" w:hanging="360"/>
      </w:pPr>
      <w:rPr>
        <w:rFonts w:ascii="Courier New" w:hAnsi="Courier New" w:cs="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cs="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cs="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15" w15:restartNumberingAfterBreak="0">
    <w:nsid w:val="09A12177"/>
    <w:multiLevelType w:val="hybridMultilevel"/>
    <w:tmpl w:val="37E6BEF4"/>
    <w:lvl w:ilvl="0" w:tplc="5148BB2C">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0AA04A5B"/>
    <w:multiLevelType w:val="multilevel"/>
    <w:tmpl w:val="041B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60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400"/>
        </w:tabs>
        <w:ind w:left="2736" w:hanging="936"/>
      </w:pPr>
    </w:lvl>
    <w:lvl w:ilvl="6">
      <w:start w:val="1"/>
      <w:numFmt w:val="decimal"/>
      <w:lvlText w:val="%1.%2.%3.%4.%5.%6.%7."/>
      <w:lvlJc w:val="left"/>
      <w:pPr>
        <w:tabs>
          <w:tab w:val="num" w:pos="6120"/>
        </w:tabs>
        <w:ind w:left="3240" w:hanging="1080"/>
      </w:pPr>
    </w:lvl>
    <w:lvl w:ilvl="7">
      <w:start w:val="1"/>
      <w:numFmt w:val="decimal"/>
      <w:lvlText w:val="%1.%2.%3.%4.%5.%6.%7.%8."/>
      <w:lvlJc w:val="left"/>
      <w:pPr>
        <w:tabs>
          <w:tab w:val="num" w:pos="7200"/>
        </w:tabs>
        <w:ind w:left="3744" w:hanging="1224"/>
      </w:pPr>
    </w:lvl>
    <w:lvl w:ilvl="8">
      <w:start w:val="1"/>
      <w:numFmt w:val="decimal"/>
      <w:lvlText w:val="%1.%2.%3.%4.%5.%6.%7.%8.%9."/>
      <w:lvlJc w:val="left"/>
      <w:pPr>
        <w:tabs>
          <w:tab w:val="num" w:pos="7920"/>
        </w:tabs>
        <w:ind w:left="4320" w:hanging="1440"/>
      </w:pPr>
    </w:lvl>
  </w:abstractNum>
  <w:abstractNum w:abstractNumId="17" w15:restartNumberingAfterBreak="0">
    <w:nsid w:val="0B6B28BC"/>
    <w:multiLevelType w:val="hybridMultilevel"/>
    <w:tmpl w:val="F65EF5C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0C06654A"/>
    <w:multiLevelType w:val="hybridMultilevel"/>
    <w:tmpl w:val="461299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15760F7"/>
    <w:multiLevelType w:val="multilevel"/>
    <w:tmpl w:val="041B0023"/>
    <w:styleLink w:val="lnokalebosekcia"/>
    <w:lvl w:ilvl="0">
      <w:start w:val="1"/>
      <w:numFmt w:val="upperRoman"/>
      <w:lvlText w:val="Article %1."/>
      <w:lvlJc w:val="left"/>
      <w:pPr>
        <w:tabs>
          <w:tab w:val="num" w:pos="3240"/>
        </w:tabs>
        <w:ind w:left="0" w:firstLine="0"/>
      </w:pPr>
    </w:lvl>
    <w:lvl w:ilvl="1">
      <w:start w:val="1"/>
      <w:numFmt w:val="decimalZero"/>
      <w:isLgl/>
      <w:lvlText w:val="Section %1.%2"/>
      <w:lvlJc w:val="left"/>
      <w:pPr>
        <w:tabs>
          <w:tab w:val="num" w:pos="3600"/>
        </w:tabs>
        <w:ind w:left="0" w:firstLine="0"/>
      </w:pPr>
    </w:lvl>
    <w:lvl w:ilvl="2">
      <w:start w:val="1"/>
      <w:numFmt w:val="lowerLetter"/>
      <w:lvlText w:val="(%3)"/>
      <w:lvlJc w:val="left"/>
      <w:pPr>
        <w:tabs>
          <w:tab w:val="num" w:pos="136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728"/>
        </w:tabs>
        <w:ind w:left="1440" w:hanging="432"/>
      </w:pPr>
    </w:lvl>
    <w:lvl w:ilvl="8">
      <w:start w:val="1"/>
      <w:numFmt w:val="lowerRoman"/>
      <w:lvlText w:val="%9."/>
      <w:lvlJc w:val="right"/>
      <w:pPr>
        <w:tabs>
          <w:tab w:val="num" w:pos="1584"/>
        </w:tabs>
        <w:ind w:left="1584" w:hanging="144"/>
      </w:pPr>
    </w:lvl>
  </w:abstractNum>
  <w:abstractNum w:abstractNumId="20" w15:restartNumberingAfterBreak="0">
    <w:nsid w:val="129F1162"/>
    <w:multiLevelType w:val="hybridMultilevel"/>
    <w:tmpl w:val="3828E9B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2E17F20"/>
    <w:multiLevelType w:val="hybridMultilevel"/>
    <w:tmpl w:val="645CA3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173E6BCC"/>
    <w:multiLevelType w:val="hybridMultilevel"/>
    <w:tmpl w:val="7382B5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1B900CD5"/>
    <w:multiLevelType w:val="hybridMultilevel"/>
    <w:tmpl w:val="A0460768"/>
    <w:lvl w:ilvl="0" w:tplc="041B000F">
      <w:start w:val="1"/>
      <w:numFmt w:val="decimal"/>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1D143B21"/>
    <w:multiLevelType w:val="hybridMultilevel"/>
    <w:tmpl w:val="F3E8BD54"/>
    <w:lvl w:ilvl="0" w:tplc="041B001B">
      <w:start w:val="1"/>
      <w:numFmt w:val="low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1E6079EC"/>
    <w:multiLevelType w:val="hybridMultilevel"/>
    <w:tmpl w:val="2A4E3C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5E629D2"/>
    <w:multiLevelType w:val="hybridMultilevel"/>
    <w:tmpl w:val="28A0ED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6956BC1"/>
    <w:multiLevelType w:val="hybridMultilevel"/>
    <w:tmpl w:val="5EFA2CD6"/>
    <w:lvl w:ilvl="0" w:tplc="041B0013">
      <w:start w:val="1"/>
      <w:numFmt w:val="upp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26C6437E"/>
    <w:multiLevelType w:val="hybridMultilevel"/>
    <w:tmpl w:val="018463D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56D47628">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8852C0C"/>
    <w:multiLevelType w:val="hybridMultilevel"/>
    <w:tmpl w:val="26CE15D4"/>
    <w:lvl w:ilvl="0" w:tplc="EAEE524A">
      <w:start w:val="1"/>
      <w:numFmt w:val="upperLetter"/>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289E6710"/>
    <w:multiLevelType w:val="hybridMultilevel"/>
    <w:tmpl w:val="8FD8C4F6"/>
    <w:lvl w:ilvl="0" w:tplc="041B001B">
      <w:start w:val="1"/>
      <w:numFmt w:val="lowerRoman"/>
      <w:lvlText w:val="%1."/>
      <w:lvlJc w:val="righ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2DCF1618"/>
    <w:multiLevelType w:val="hybridMultilevel"/>
    <w:tmpl w:val="AA7C01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31276BE9"/>
    <w:multiLevelType w:val="hybridMultilevel"/>
    <w:tmpl w:val="1452EDA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35146E48"/>
    <w:multiLevelType w:val="hybridMultilevel"/>
    <w:tmpl w:val="2472A6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6344AD"/>
    <w:multiLevelType w:val="hybridMultilevel"/>
    <w:tmpl w:val="6FC2EE4C"/>
    <w:lvl w:ilvl="0" w:tplc="041B0003">
      <w:start w:val="1"/>
      <w:numFmt w:val="bullet"/>
      <w:lvlText w:val="o"/>
      <w:lvlJc w:val="left"/>
      <w:pPr>
        <w:ind w:left="720" w:hanging="360"/>
      </w:pPr>
      <w:rPr>
        <w:rFonts w:ascii="Courier New" w:hAnsi="Courier New" w:cs="Courier Ne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9B514A4"/>
    <w:multiLevelType w:val="hybridMultilevel"/>
    <w:tmpl w:val="AD343FCA"/>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41C8237E">
      <w:start w:val="1"/>
      <w:numFmt w:val="upperRoman"/>
      <w:lvlText w:val="%3."/>
      <w:lvlJc w:val="left"/>
      <w:pPr>
        <w:ind w:left="2700" w:hanging="72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3A1F050D"/>
    <w:multiLevelType w:val="hybridMultilevel"/>
    <w:tmpl w:val="BC30ED0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3C8C0FB8"/>
    <w:multiLevelType w:val="hybridMultilevel"/>
    <w:tmpl w:val="6A8C1886"/>
    <w:lvl w:ilvl="0" w:tplc="041B0001">
      <w:start w:val="1"/>
      <w:numFmt w:val="bullet"/>
      <w:lvlText w:val=""/>
      <w:lvlJc w:val="left"/>
      <w:pPr>
        <w:ind w:left="1800" w:hanging="360"/>
      </w:pPr>
      <w:rPr>
        <w:rFonts w:ascii="Symbol" w:hAnsi="Symbol" w:hint="default"/>
      </w:rPr>
    </w:lvl>
    <w:lvl w:ilvl="1" w:tplc="041B0003" w:tentative="1">
      <w:start w:val="1"/>
      <w:numFmt w:val="bullet"/>
      <w:lvlText w:val="o"/>
      <w:lvlJc w:val="left"/>
      <w:pPr>
        <w:ind w:left="2520" w:hanging="360"/>
      </w:pPr>
      <w:rPr>
        <w:rFonts w:ascii="Courier New" w:hAnsi="Courier New" w:cs="Courier New" w:hint="default"/>
      </w:rPr>
    </w:lvl>
    <w:lvl w:ilvl="2" w:tplc="041B0005" w:tentative="1">
      <w:start w:val="1"/>
      <w:numFmt w:val="bullet"/>
      <w:lvlText w:val=""/>
      <w:lvlJc w:val="left"/>
      <w:pPr>
        <w:ind w:left="3240" w:hanging="360"/>
      </w:pPr>
      <w:rPr>
        <w:rFonts w:ascii="Wingdings" w:hAnsi="Wingdings" w:hint="default"/>
      </w:rPr>
    </w:lvl>
    <w:lvl w:ilvl="3" w:tplc="041B0001" w:tentative="1">
      <w:start w:val="1"/>
      <w:numFmt w:val="bullet"/>
      <w:lvlText w:val=""/>
      <w:lvlJc w:val="left"/>
      <w:pPr>
        <w:ind w:left="3960" w:hanging="360"/>
      </w:pPr>
      <w:rPr>
        <w:rFonts w:ascii="Symbol" w:hAnsi="Symbol" w:hint="default"/>
      </w:rPr>
    </w:lvl>
    <w:lvl w:ilvl="4" w:tplc="041B0003" w:tentative="1">
      <w:start w:val="1"/>
      <w:numFmt w:val="bullet"/>
      <w:lvlText w:val="o"/>
      <w:lvlJc w:val="left"/>
      <w:pPr>
        <w:ind w:left="4680" w:hanging="360"/>
      </w:pPr>
      <w:rPr>
        <w:rFonts w:ascii="Courier New" w:hAnsi="Courier New" w:cs="Courier New" w:hint="default"/>
      </w:rPr>
    </w:lvl>
    <w:lvl w:ilvl="5" w:tplc="041B0005" w:tentative="1">
      <w:start w:val="1"/>
      <w:numFmt w:val="bullet"/>
      <w:lvlText w:val=""/>
      <w:lvlJc w:val="left"/>
      <w:pPr>
        <w:ind w:left="5400" w:hanging="360"/>
      </w:pPr>
      <w:rPr>
        <w:rFonts w:ascii="Wingdings" w:hAnsi="Wingdings" w:hint="default"/>
      </w:rPr>
    </w:lvl>
    <w:lvl w:ilvl="6" w:tplc="041B0001" w:tentative="1">
      <w:start w:val="1"/>
      <w:numFmt w:val="bullet"/>
      <w:lvlText w:val=""/>
      <w:lvlJc w:val="left"/>
      <w:pPr>
        <w:ind w:left="6120" w:hanging="360"/>
      </w:pPr>
      <w:rPr>
        <w:rFonts w:ascii="Symbol" w:hAnsi="Symbol" w:hint="default"/>
      </w:rPr>
    </w:lvl>
    <w:lvl w:ilvl="7" w:tplc="041B0003" w:tentative="1">
      <w:start w:val="1"/>
      <w:numFmt w:val="bullet"/>
      <w:lvlText w:val="o"/>
      <w:lvlJc w:val="left"/>
      <w:pPr>
        <w:ind w:left="6840" w:hanging="360"/>
      </w:pPr>
      <w:rPr>
        <w:rFonts w:ascii="Courier New" w:hAnsi="Courier New" w:cs="Courier New" w:hint="default"/>
      </w:rPr>
    </w:lvl>
    <w:lvl w:ilvl="8" w:tplc="041B0005" w:tentative="1">
      <w:start w:val="1"/>
      <w:numFmt w:val="bullet"/>
      <w:lvlText w:val=""/>
      <w:lvlJc w:val="left"/>
      <w:pPr>
        <w:ind w:left="7560" w:hanging="360"/>
      </w:pPr>
      <w:rPr>
        <w:rFonts w:ascii="Wingdings" w:hAnsi="Wingdings" w:hint="default"/>
      </w:rPr>
    </w:lvl>
  </w:abstractNum>
  <w:abstractNum w:abstractNumId="38" w15:restartNumberingAfterBreak="0">
    <w:nsid w:val="420172FF"/>
    <w:multiLevelType w:val="hybridMultilevel"/>
    <w:tmpl w:val="D6D6717A"/>
    <w:lvl w:ilvl="0" w:tplc="041B0001">
      <w:start w:val="1"/>
      <w:numFmt w:val="bullet"/>
      <w:lvlText w:val=""/>
      <w:lvlJc w:val="left"/>
      <w:pPr>
        <w:ind w:left="1126" w:hanging="360"/>
      </w:pPr>
      <w:rPr>
        <w:rFonts w:ascii="Symbol" w:hAnsi="Symbol" w:hint="default"/>
      </w:rPr>
    </w:lvl>
    <w:lvl w:ilvl="1" w:tplc="041B0003">
      <w:start w:val="1"/>
      <w:numFmt w:val="bullet"/>
      <w:lvlText w:val="o"/>
      <w:lvlJc w:val="left"/>
      <w:pPr>
        <w:ind w:left="1846" w:hanging="360"/>
      </w:pPr>
      <w:rPr>
        <w:rFonts w:ascii="Courier New" w:hAnsi="Courier New" w:cs="Courier New" w:hint="default"/>
      </w:rPr>
    </w:lvl>
    <w:lvl w:ilvl="2" w:tplc="041B0005" w:tentative="1">
      <w:start w:val="1"/>
      <w:numFmt w:val="bullet"/>
      <w:lvlText w:val=""/>
      <w:lvlJc w:val="left"/>
      <w:pPr>
        <w:ind w:left="2566" w:hanging="360"/>
      </w:pPr>
      <w:rPr>
        <w:rFonts w:ascii="Wingdings" w:hAnsi="Wingdings" w:hint="default"/>
      </w:rPr>
    </w:lvl>
    <w:lvl w:ilvl="3" w:tplc="041B0001" w:tentative="1">
      <w:start w:val="1"/>
      <w:numFmt w:val="bullet"/>
      <w:lvlText w:val=""/>
      <w:lvlJc w:val="left"/>
      <w:pPr>
        <w:ind w:left="3286" w:hanging="360"/>
      </w:pPr>
      <w:rPr>
        <w:rFonts w:ascii="Symbol" w:hAnsi="Symbol" w:hint="default"/>
      </w:rPr>
    </w:lvl>
    <w:lvl w:ilvl="4" w:tplc="041B0003" w:tentative="1">
      <w:start w:val="1"/>
      <w:numFmt w:val="bullet"/>
      <w:lvlText w:val="o"/>
      <w:lvlJc w:val="left"/>
      <w:pPr>
        <w:ind w:left="4006" w:hanging="360"/>
      </w:pPr>
      <w:rPr>
        <w:rFonts w:ascii="Courier New" w:hAnsi="Courier New" w:cs="Courier New" w:hint="default"/>
      </w:rPr>
    </w:lvl>
    <w:lvl w:ilvl="5" w:tplc="041B0005" w:tentative="1">
      <w:start w:val="1"/>
      <w:numFmt w:val="bullet"/>
      <w:lvlText w:val=""/>
      <w:lvlJc w:val="left"/>
      <w:pPr>
        <w:ind w:left="4726" w:hanging="360"/>
      </w:pPr>
      <w:rPr>
        <w:rFonts w:ascii="Wingdings" w:hAnsi="Wingdings" w:hint="default"/>
      </w:rPr>
    </w:lvl>
    <w:lvl w:ilvl="6" w:tplc="041B0001" w:tentative="1">
      <w:start w:val="1"/>
      <w:numFmt w:val="bullet"/>
      <w:lvlText w:val=""/>
      <w:lvlJc w:val="left"/>
      <w:pPr>
        <w:ind w:left="5446" w:hanging="360"/>
      </w:pPr>
      <w:rPr>
        <w:rFonts w:ascii="Symbol" w:hAnsi="Symbol" w:hint="default"/>
      </w:rPr>
    </w:lvl>
    <w:lvl w:ilvl="7" w:tplc="041B0003" w:tentative="1">
      <w:start w:val="1"/>
      <w:numFmt w:val="bullet"/>
      <w:lvlText w:val="o"/>
      <w:lvlJc w:val="left"/>
      <w:pPr>
        <w:ind w:left="6166" w:hanging="360"/>
      </w:pPr>
      <w:rPr>
        <w:rFonts w:ascii="Courier New" w:hAnsi="Courier New" w:cs="Courier New" w:hint="default"/>
      </w:rPr>
    </w:lvl>
    <w:lvl w:ilvl="8" w:tplc="041B0005" w:tentative="1">
      <w:start w:val="1"/>
      <w:numFmt w:val="bullet"/>
      <w:lvlText w:val=""/>
      <w:lvlJc w:val="left"/>
      <w:pPr>
        <w:ind w:left="6886" w:hanging="360"/>
      </w:pPr>
      <w:rPr>
        <w:rFonts w:ascii="Wingdings" w:hAnsi="Wingdings" w:hint="default"/>
      </w:rPr>
    </w:lvl>
  </w:abstractNum>
  <w:abstractNum w:abstractNumId="39" w15:restartNumberingAfterBreak="0">
    <w:nsid w:val="4503463B"/>
    <w:multiLevelType w:val="hybridMultilevel"/>
    <w:tmpl w:val="ED2C73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4C842E3B"/>
    <w:multiLevelType w:val="hybridMultilevel"/>
    <w:tmpl w:val="A6DE2A56"/>
    <w:lvl w:ilvl="0" w:tplc="041B000F">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CA9302E"/>
    <w:multiLevelType w:val="hybridMultilevel"/>
    <w:tmpl w:val="2062A5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52AE2645"/>
    <w:multiLevelType w:val="hybridMultilevel"/>
    <w:tmpl w:val="AACCF4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2DB72BD"/>
    <w:multiLevelType w:val="multilevel"/>
    <w:tmpl w:val="041B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54046031"/>
    <w:multiLevelType w:val="multilevel"/>
    <w:tmpl w:val="4E22F958"/>
    <w:lvl w:ilvl="0">
      <w:start w:val="1"/>
      <w:numFmt w:val="decimal"/>
      <w:pStyle w:val="Nadpis1"/>
      <w:suff w:val="space"/>
      <w:lvlText w:val="%1."/>
      <w:lvlJc w:val="left"/>
      <w:pPr>
        <w:ind w:left="0" w:firstLine="0"/>
      </w:pPr>
      <w:rPr>
        <w:rFonts w:hint="default"/>
      </w:rPr>
    </w:lvl>
    <w:lvl w:ilvl="1">
      <w:start w:val="1"/>
      <w:numFmt w:val="decimal"/>
      <w:pStyle w:val="Nadpis2"/>
      <w:suff w:val="space"/>
      <w:lvlText w:val="%1.%2"/>
      <w:lvlJc w:val="left"/>
      <w:pPr>
        <w:ind w:left="0" w:firstLine="0"/>
      </w:pPr>
      <w:rPr>
        <w:rFonts w:hint="default"/>
      </w:rPr>
    </w:lvl>
    <w:lvl w:ilvl="2">
      <w:start w:val="1"/>
      <w:numFmt w:val="decimal"/>
      <w:pStyle w:val="Nadpis3"/>
      <w:suff w:val="space"/>
      <w:lvlText w:val="%1.%2.%3"/>
      <w:lvlJc w:val="left"/>
      <w:pPr>
        <w:ind w:left="0" w:firstLine="0"/>
      </w:pPr>
      <w:rPr>
        <w:rFonts w:hint="default"/>
      </w:rPr>
    </w:lvl>
    <w:lvl w:ilvl="3">
      <w:start w:val="1"/>
      <w:numFmt w:val="decimal"/>
      <w:pStyle w:val="Nadpis4"/>
      <w:suff w:val="space"/>
      <w:lvlText w:val="%1.%2.%3.%4"/>
      <w:lvlJc w:val="left"/>
      <w:pPr>
        <w:ind w:left="0" w:firstLine="0"/>
      </w:pPr>
      <w:rPr>
        <w:rFonts w:hint="default"/>
      </w:rPr>
    </w:lvl>
    <w:lvl w:ilvl="4">
      <w:start w:val="1"/>
      <w:numFmt w:val="decimal"/>
      <w:pStyle w:val="Nadpis5"/>
      <w:suff w:val="space"/>
      <w:lvlText w:val="%1.%2.%3.%4.%5"/>
      <w:lvlJc w:val="left"/>
      <w:pPr>
        <w:ind w:left="0" w:firstLine="0"/>
      </w:pPr>
      <w:rPr>
        <w:rFonts w:hint="default"/>
      </w:rPr>
    </w:lvl>
    <w:lvl w:ilvl="5">
      <w:start w:val="1"/>
      <w:numFmt w:val="decimal"/>
      <w:pStyle w:val="Nadpis6"/>
      <w:suff w:val="space"/>
      <w:lvlText w:val="%1.%2.%3.%4.%5.%6"/>
      <w:lvlJc w:val="left"/>
      <w:pPr>
        <w:ind w:left="0" w:firstLine="0"/>
      </w:pPr>
      <w:rPr>
        <w:rFonts w:hint="default"/>
      </w:rPr>
    </w:lvl>
    <w:lvl w:ilvl="6">
      <w:start w:val="1"/>
      <w:numFmt w:val="decimal"/>
      <w:pStyle w:val="Nadpis7"/>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none"/>
      <w:suff w:val="space"/>
      <w:lvlText w:val=""/>
      <w:lvlJc w:val="left"/>
      <w:pPr>
        <w:ind w:left="0" w:firstLine="0"/>
      </w:pPr>
      <w:rPr>
        <w:rFonts w:hint="default"/>
      </w:rPr>
    </w:lvl>
  </w:abstractNum>
  <w:abstractNum w:abstractNumId="45" w15:restartNumberingAfterBreak="0">
    <w:nsid w:val="55637ECB"/>
    <w:multiLevelType w:val="hybridMultilevel"/>
    <w:tmpl w:val="28A45F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5BAA4219"/>
    <w:multiLevelType w:val="hybridMultilevel"/>
    <w:tmpl w:val="233074E8"/>
    <w:lvl w:ilvl="0" w:tplc="6470987E">
      <w:start w:val="1"/>
      <w:numFmt w:val="decimal"/>
      <w:lvlText w:val="%1."/>
      <w:lvlJc w:val="left"/>
      <w:pPr>
        <w:ind w:left="360" w:hanging="360"/>
      </w:pPr>
      <w:rPr>
        <w:rFonts w:hint="default"/>
        <w:b/>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7" w15:restartNumberingAfterBreak="0">
    <w:nsid w:val="61D203D7"/>
    <w:multiLevelType w:val="hybridMultilevel"/>
    <w:tmpl w:val="DEB2D418"/>
    <w:lvl w:ilvl="0" w:tplc="041B0001">
      <w:start w:val="1"/>
      <w:numFmt w:val="bullet"/>
      <w:lvlText w:val=""/>
      <w:lvlJc w:val="left"/>
      <w:pPr>
        <w:ind w:left="776" w:hanging="360"/>
      </w:pPr>
      <w:rPr>
        <w:rFonts w:ascii="Symbol" w:hAnsi="Symbol" w:hint="default"/>
      </w:rPr>
    </w:lvl>
    <w:lvl w:ilvl="1" w:tplc="041B0003" w:tentative="1">
      <w:start w:val="1"/>
      <w:numFmt w:val="bullet"/>
      <w:lvlText w:val="o"/>
      <w:lvlJc w:val="left"/>
      <w:pPr>
        <w:ind w:left="1496" w:hanging="360"/>
      </w:pPr>
      <w:rPr>
        <w:rFonts w:ascii="Courier New" w:hAnsi="Courier New" w:cs="Courier New" w:hint="default"/>
      </w:rPr>
    </w:lvl>
    <w:lvl w:ilvl="2" w:tplc="041B0005" w:tentative="1">
      <w:start w:val="1"/>
      <w:numFmt w:val="bullet"/>
      <w:lvlText w:val=""/>
      <w:lvlJc w:val="left"/>
      <w:pPr>
        <w:ind w:left="2216" w:hanging="360"/>
      </w:pPr>
      <w:rPr>
        <w:rFonts w:ascii="Wingdings" w:hAnsi="Wingdings" w:hint="default"/>
      </w:rPr>
    </w:lvl>
    <w:lvl w:ilvl="3" w:tplc="041B0001" w:tentative="1">
      <w:start w:val="1"/>
      <w:numFmt w:val="bullet"/>
      <w:lvlText w:val=""/>
      <w:lvlJc w:val="left"/>
      <w:pPr>
        <w:ind w:left="2936" w:hanging="360"/>
      </w:pPr>
      <w:rPr>
        <w:rFonts w:ascii="Symbol" w:hAnsi="Symbol" w:hint="default"/>
      </w:rPr>
    </w:lvl>
    <w:lvl w:ilvl="4" w:tplc="041B0003" w:tentative="1">
      <w:start w:val="1"/>
      <w:numFmt w:val="bullet"/>
      <w:lvlText w:val="o"/>
      <w:lvlJc w:val="left"/>
      <w:pPr>
        <w:ind w:left="3656" w:hanging="360"/>
      </w:pPr>
      <w:rPr>
        <w:rFonts w:ascii="Courier New" w:hAnsi="Courier New" w:cs="Courier New" w:hint="default"/>
      </w:rPr>
    </w:lvl>
    <w:lvl w:ilvl="5" w:tplc="041B0005" w:tentative="1">
      <w:start w:val="1"/>
      <w:numFmt w:val="bullet"/>
      <w:lvlText w:val=""/>
      <w:lvlJc w:val="left"/>
      <w:pPr>
        <w:ind w:left="4376" w:hanging="360"/>
      </w:pPr>
      <w:rPr>
        <w:rFonts w:ascii="Wingdings" w:hAnsi="Wingdings" w:hint="default"/>
      </w:rPr>
    </w:lvl>
    <w:lvl w:ilvl="6" w:tplc="041B0001" w:tentative="1">
      <w:start w:val="1"/>
      <w:numFmt w:val="bullet"/>
      <w:lvlText w:val=""/>
      <w:lvlJc w:val="left"/>
      <w:pPr>
        <w:ind w:left="5096" w:hanging="360"/>
      </w:pPr>
      <w:rPr>
        <w:rFonts w:ascii="Symbol" w:hAnsi="Symbol" w:hint="default"/>
      </w:rPr>
    </w:lvl>
    <w:lvl w:ilvl="7" w:tplc="041B0003" w:tentative="1">
      <w:start w:val="1"/>
      <w:numFmt w:val="bullet"/>
      <w:lvlText w:val="o"/>
      <w:lvlJc w:val="left"/>
      <w:pPr>
        <w:ind w:left="5816" w:hanging="360"/>
      </w:pPr>
      <w:rPr>
        <w:rFonts w:ascii="Courier New" w:hAnsi="Courier New" w:cs="Courier New" w:hint="default"/>
      </w:rPr>
    </w:lvl>
    <w:lvl w:ilvl="8" w:tplc="041B0005" w:tentative="1">
      <w:start w:val="1"/>
      <w:numFmt w:val="bullet"/>
      <w:lvlText w:val=""/>
      <w:lvlJc w:val="left"/>
      <w:pPr>
        <w:ind w:left="6536" w:hanging="360"/>
      </w:pPr>
      <w:rPr>
        <w:rFonts w:ascii="Wingdings" w:hAnsi="Wingdings" w:hint="default"/>
      </w:rPr>
    </w:lvl>
  </w:abstractNum>
  <w:abstractNum w:abstractNumId="48" w15:restartNumberingAfterBreak="0">
    <w:nsid w:val="6B0D19CE"/>
    <w:multiLevelType w:val="hybridMultilevel"/>
    <w:tmpl w:val="55B459C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6F1D74B1"/>
    <w:multiLevelType w:val="hybridMultilevel"/>
    <w:tmpl w:val="BAFC07CC"/>
    <w:lvl w:ilvl="0" w:tplc="041B0001">
      <w:start w:val="1"/>
      <w:numFmt w:val="bullet"/>
      <w:lvlText w:val=""/>
      <w:lvlJc w:val="left"/>
      <w:pPr>
        <w:ind w:left="1428" w:hanging="360"/>
      </w:pPr>
      <w:rPr>
        <w:rFonts w:ascii="Symbol" w:hAnsi="Symbol" w:hint="default"/>
      </w:rPr>
    </w:lvl>
    <w:lvl w:ilvl="1" w:tplc="9BC0A618">
      <w:start w:val="4"/>
      <w:numFmt w:val="bullet"/>
      <w:lvlText w:val="•"/>
      <w:lvlJc w:val="left"/>
      <w:pPr>
        <w:ind w:left="2928" w:hanging="1140"/>
      </w:pPr>
      <w:rPr>
        <w:rFonts w:ascii="Calibri" w:eastAsia="Times New Roman" w:hAnsi="Calibri" w:cs="Calibri"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50" w15:restartNumberingAfterBreak="0">
    <w:nsid w:val="78233389"/>
    <w:multiLevelType w:val="hybridMultilevel"/>
    <w:tmpl w:val="BCF228B4"/>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51" w15:restartNumberingAfterBreak="0">
    <w:nsid w:val="78AB163E"/>
    <w:multiLevelType w:val="hybridMultilevel"/>
    <w:tmpl w:val="F878B6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7E2C40B6"/>
    <w:multiLevelType w:val="hybridMultilevel"/>
    <w:tmpl w:val="9256985C"/>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3"/>
  </w:num>
  <w:num w:numId="12">
    <w:abstractNumId w:val="16"/>
  </w:num>
  <w:num w:numId="13">
    <w:abstractNumId w:val="43"/>
  </w:num>
  <w:num w:numId="14">
    <w:abstractNumId w:val="19"/>
  </w:num>
  <w:num w:numId="15">
    <w:abstractNumId w:val="17"/>
  </w:num>
  <w:num w:numId="16">
    <w:abstractNumId w:val="20"/>
  </w:num>
  <w:num w:numId="17">
    <w:abstractNumId w:val="11"/>
  </w:num>
  <w:num w:numId="18">
    <w:abstractNumId w:val="39"/>
  </w:num>
  <w:num w:numId="19">
    <w:abstractNumId w:val="21"/>
  </w:num>
  <w:num w:numId="20">
    <w:abstractNumId w:val="28"/>
  </w:num>
  <w:num w:numId="21">
    <w:abstractNumId w:val="50"/>
  </w:num>
  <w:num w:numId="22">
    <w:abstractNumId w:val="41"/>
  </w:num>
  <w:num w:numId="23">
    <w:abstractNumId w:val="38"/>
  </w:num>
  <w:num w:numId="24">
    <w:abstractNumId w:val="34"/>
  </w:num>
  <w:num w:numId="25">
    <w:abstractNumId w:val="48"/>
  </w:num>
  <w:num w:numId="26">
    <w:abstractNumId w:val="52"/>
  </w:num>
  <w:num w:numId="27">
    <w:abstractNumId w:val="10"/>
  </w:num>
  <w:num w:numId="28">
    <w:abstractNumId w:val="44"/>
  </w:num>
  <w:num w:numId="29">
    <w:abstractNumId w:val="23"/>
  </w:num>
  <w:num w:numId="30">
    <w:abstractNumId w:val="31"/>
  </w:num>
  <w:num w:numId="31">
    <w:abstractNumId w:val="36"/>
  </w:num>
  <w:num w:numId="32">
    <w:abstractNumId w:val="35"/>
  </w:num>
  <w:num w:numId="33">
    <w:abstractNumId w:val="30"/>
  </w:num>
  <w:num w:numId="34">
    <w:abstractNumId w:val="24"/>
  </w:num>
  <w:num w:numId="35">
    <w:abstractNumId w:val="27"/>
  </w:num>
  <w:num w:numId="36">
    <w:abstractNumId w:val="29"/>
  </w:num>
  <w:num w:numId="37">
    <w:abstractNumId w:val="49"/>
  </w:num>
  <w:num w:numId="38">
    <w:abstractNumId w:val="45"/>
  </w:num>
  <w:num w:numId="39">
    <w:abstractNumId w:val="18"/>
  </w:num>
  <w:num w:numId="40">
    <w:abstractNumId w:val="42"/>
  </w:num>
  <w:num w:numId="41">
    <w:abstractNumId w:val="46"/>
  </w:num>
  <w:num w:numId="42">
    <w:abstractNumId w:val="14"/>
  </w:num>
  <w:num w:numId="43">
    <w:abstractNumId w:val="37"/>
  </w:num>
  <w:num w:numId="44">
    <w:abstractNumId w:val="32"/>
  </w:num>
  <w:num w:numId="45">
    <w:abstractNumId w:val="26"/>
  </w:num>
  <w:num w:numId="46">
    <w:abstractNumId w:val="12"/>
  </w:num>
  <w:num w:numId="47">
    <w:abstractNumId w:val="47"/>
  </w:num>
  <w:num w:numId="48">
    <w:abstractNumId w:val="51"/>
  </w:num>
  <w:num w:numId="49">
    <w:abstractNumId w:val="40"/>
  </w:num>
  <w:num w:numId="50">
    <w:abstractNumId w:val="15"/>
  </w:num>
  <w:num w:numId="51">
    <w:abstractNumId w:val="25"/>
  </w:num>
  <w:num w:numId="52">
    <w:abstractNumId w:val="33"/>
  </w:num>
  <w:num w:numId="53">
    <w:abstractNumId w:val="2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1134"/>
  <w:hyphenationZone w:val="425"/>
  <w:clickAndTypeStyle w:val="Normaltext"/>
  <w:drawingGridHorizontalSpacing w:val="110"/>
  <w:drawingGridVerticalSpacing w:val="187"/>
  <w:displayHorizontalDrawingGridEvery w:val="2"/>
  <w:doNotShadeFormData/>
  <w:noPunctuationKerning/>
  <w:characterSpacingControl w:val="doNotCompress"/>
  <w:hdrShapeDefaults>
    <o:shapedefaults v:ext="edit" spidmax="2103" style="mso-wrap-style:none" fillcolor="white" stroke="f">
      <v:fill color="white"/>
      <v:stroke on="f"/>
      <o:colormru v:ext="edit" colors="#d2d2d2,#cdcdcd,#c8c8c8,#29527b"/>
    </o:shapedefaults>
    <o:shapelayout v:ext="edit">
      <o:idmap v:ext="edit" data="2"/>
      <o:rules v:ext="edit">
        <o:r id="V:Rule1" type="connector" idref="#AutoShape 151"/>
        <o:r id="V:Rule2" type="connector" idref="#AutoShape 151"/>
        <o:r id="V:Rule3" type="connector" idref="#AutoShape 142"/>
        <o:r id="V:Rule4" type="connector" idref="#AutoShape 142"/>
        <o:r id="V:Rule5" type="connector" idref="#AutoShape 142"/>
        <o:r id="V:Rule6" type="connector" idref="#AutoShape 142"/>
        <o:r id="V:Rule7" type="connector" idref="#AutoShape 142"/>
        <o:r id="V:Rule8" type="connector" idref="#AutoShape 142"/>
        <o:r id="V:Rule9" type="connector" idref="#AutoShape 142"/>
        <o:r id="V:Rule10" type="connector" idref="#AutoShape 142"/>
        <o:r id="V:Rule11" type="connector" idref="#AutoShape 142"/>
        <o:r id="V:Rule12" type="connector" idref="#AutoShape 151"/>
        <o:r id="V:Rule13" type="connector" idref="#AutoShape 142"/>
        <o:r id="V:Rule14" type="connector" idref="#AutoShape 114"/>
        <o:r id="V:Rule15" type="connector" idref="#AutoShape 151"/>
        <o:r id="V:Rule16" type="connector" idref="#AutoShape 142"/>
      </o:rules>
    </o:shapelayout>
  </w:hdrShapeDefaults>
  <w:footnotePr>
    <w:footnote w:id="-1"/>
    <w:footnote w:id="0"/>
    <w:footnote w:id="1"/>
  </w:footnotePr>
  <w:endnotePr>
    <w:endnote w:id="-1"/>
    <w:endnote w:id="0"/>
  </w:endnotePr>
  <w:compat>
    <w:compatSetting w:name="compatibilityMode" w:uri="http://schemas.microsoft.com/office/word" w:val="12"/>
  </w:compat>
  <w:rsids>
    <w:rsidRoot w:val="006707D1"/>
    <w:rsid w:val="00001036"/>
    <w:rsid w:val="000021C8"/>
    <w:rsid w:val="00003282"/>
    <w:rsid w:val="00006796"/>
    <w:rsid w:val="0000695C"/>
    <w:rsid w:val="000072DE"/>
    <w:rsid w:val="00007A55"/>
    <w:rsid w:val="0001011E"/>
    <w:rsid w:val="0001046D"/>
    <w:rsid w:val="00011F70"/>
    <w:rsid w:val="00014AD2"/>
    <w:rsid w:val="00015174"/>
    <w:rsid w:val="000151BF"/>
    <w:rsid w:val="00015C64"/>
    <w:rsid w:val="00020454"/>
    <w:rsid w:val="000228F8"/>
    <w:rsid w:val="00024AAC"/>
    <w:rsid w:val="00026623"/>
    <w:rsid w:val="0003019C"/>
    <w:rsid w:val="00031356"/>
    <w:rsid w:val="0003332A"/>
    <w:rsid w:val="00033EE7"/>
    <w:rsid w:val="000340B5"/>
    <w:rsid w:val="0003478F"/>
    <w:rsid w:val="00035A95"/>
    <w:rsid w:val="000376C5"/>
    <w:rsid w:val="0004194F"/>
    <w:rsid w:val="00043DAA"/>
    <w:rsid w:val="00044FA6"/>
    <w:rsid w:val="00045042"/>
    <w:rsid w:val="000477FA"/>
    <w:rsid w:val="0005027D"/>
    <w:rsid w:val="00053083"/>
    <w:rsid w:val="00054DB3"/>
    <w:rsid w:val="00057316"/>
    <w:rsid w:val="00061D46"/>
    <w:rsid w:val="00063151"/>
    <w:rsid w:val="00063760"/>
    <w:rsid w:val="00063AEE"/>
    <w:rsid w:val="00063D0A"/>
    <w:rsid w:val="000702AB"/>
    <w:rsid w:val="0007086E"/>
    <w:rsid w:val="00070D99"/>
    <w:rsid w:val="00071446"/>
    <w:rsid w:val="0007251A"/>
    <w:rsid w:val="0007309C"/>
    <w:rsid w:val="00074ED7"/>
    <w:rsid w:val="00076BB5"/>
    <w:rsid w:val="00076E61"/>
    <w:rsid w:val="00077443"/>
    <w:rsid w:val="000800AC"/>
    <w:rsid w:val="00080244"/>
    <w:rsid w:val="0008080F"/>
    <w:rsid w:val="00081B22"/>
    <w:rsid w:val="00083771"/>
    <w:rsid w:val="000859B3"/>
    <w:rsid w:val="00087428"/>
    <w:rsid w:val="00087707"/>
    <w:rsid w:val="00087881"/>
    <w:rsid w:val="00087EDE"/>
    <w:rsid w:val="0009114C"/>
    <w:rsid w:val="00091815"/>
    <w:rsid w:val="00093C8D"/>
    <w:rsid w:val="00094C82"/>
    <w:rsid w:val="000A2AE3"/>
    <w:rsid w:val="000A4510"/>
    <w:rsid w:val="000A6B9A"/>
    <w:rsid w:val="000B0293"/>
    <w:rsid w:val="000B055D"/>
    <w:rsid w:val="000B36C4"/>
    <w:rsid w:val="000B4450"/>
    <w:rsid w:val="000B61DA"/>
    <w:rsid w:val="000B6544"/>
    <w:rsid w:val="000B74A7"/>
    <w:rsid w:val="000B7B24"/>
    <w:rsid w:val="000B7CBC"/>
    <w:rsid w:val="000C0CA2"/>
    <w:rsid w:val="000C32C0"/>
    <w:rsid w:val="000C462F"/>
    <w:rsid w:val="000C53F9"/>
    <w:rsid w:val="000C56BE"/>
    <w:rsid w:val="000C6472"/>
    <w:rsid w:val="000C6A03"/>
    <w:rsid w:val="000C6B9B"/>
    <w:rsid w:val="000D0CD4"/>
    <w:rsid w:val="000D0F25"/>
    <w:rsid w:val="000D1001"/>
    <w:rsid w:val="000D1393"/>
    <w:rsid w:val="000D519E"/>
    <w:rsid w:val="000D5D13"/>
    <w:rsid w:val="000E0C24"/>
    <w:rsid w:val="000E0E6C"/>
    <w:rsid w:val="000E1653"/>
    <w:rsid w:val="000E1D51"/>
    <w:rsid w:val="000E249E"/>
    <w:rsid w:val="000E36BD"/>
    <w:rsid w:val="000E3E8D"/>
    <w:rsid w:val="000E70A2"/>
    <w:rsid w:val="000E7866"/>
    <w:rsid w:val="000F21F7"/>
    <w:rsid w:val="000F21FF"/>
    <w:rsid w:val="000F44CB"/>
    <w:rsid w:val="000F5305"/>
    <w:rsid w:val="000F5997"/>
    <w:rsid w:val="000F5A0F"/>
    <w:rsid w:val="00100FBD"/>
    <w:rsid w:val="00103935"/>
    <w:rsid w:val="00104F7F"/>
    <w:rsid w:val="001070C6"/>
    <w:rsid w:val="0010748C"/>
    <w:rsid w:val="001117C3"/>
    <w:rsid w:val="0011256D"/>
    <w:rsid w:val="00112A7A"/>
    <w:rsid w:val="00113B26"/>
    <w:rsid w:val="001143F3"/>
    <w:rsid w:val="0012091A"/>
    <w:rsid w:val="001215D0"/>
    <w:rsid w:val="001217D5"/>
    <w:rsid w:val="00121D8F"/>
    <w:rsid w:val="001220A9"/>
    <w:rsid w:val="00123709"/>
    <w:rsid w:val="00123A16"/>
    <w:rsid w:val="00123F15"/>
    <w:rsid w:val="0012530C"/>
    <w:rsid w:val="00126B3E"/>
    <w:rsid w:val="00126C2F"/>
    <w:rsid w:val="00132C56"/>
    <w:rsid w:val="00134051"/>
    <w:rsid w:val="00135588"/>
    <w:rsid w:val="00135E80"/>
    <w:rsid w:val="00140493"/>
    <w:rsid w:val="001424F0"/>
    <w:rsid w:val="001434A7"/>
    <w:rsid w:val="00143DEB"/>
    <w:rsid w:val="00146BA8"/>
    <w:rsid w:val="00151435"/>
    <w:rsid w:val="00151CA6"/>
    <w:rsid w:val="00152941"/>
    <w:rsid w:val="00153293"/>
    <w:rsid w:val="00154028"/>
    <w:rsid w:val="00160C52"/>
    <w:rsid w:val="001620ED"/>
    <w:rsid w:val="0016303B"/>
    <w:rsid w:val="0016377E"/>
    <w:rsid w:val="00164C68"/>
    <w:rsid w:val="00165036"/>
    <w:rsid w:val="001656F7"/>
    <w:rsid w:val="00166077"/>
    <w:rsid w:val="001661FF"/>
    <w:rsid w:val="001678BE"/>
    <w:rsid w:val="00170D30"/>
    <w:rsid w:val="00170EEB"/>
    <w:rsid w:val="001717D9"/>
    <w:rsid w:val="00171816"/>
    <w:rsid w:val="00172EE2"/>
    <w:rsid w:val="00174247"/>
    <w:rsid w:val="00174823"/>
    <w:rsid w:val="001752CF"/>
    <w:rsid w:val="0017652B"/>
    <w:rsid w:val="00177107"/>
    <w:rsid w:val="00177AB3"/>
    <w:rsid w:val="00177B6F"/>
    <w:rsid w:val="0018088A"/>
    <w:rsid w:val="00180C82"/>
    <w:rsid w:val="00181907"/>
    <w:rsid w:val="001828F9"/>
    <w:rsid w:val="00183705"/>
    <w:rsid w:val="00185310"/>
    <w:rsid w:val="00185531"/>
    <w:rsid w:val="00185A11"/>
    <w:rsid w:val="001866A6"/>
    <w:rsid w:val="00191012"/>
    <w:rsid w:val="00191325"/>
    <w:rsid w:val="001919FC"/>
    <w:rsid w:val="00192F62"/>
    <w:rsid w:val="00194005"/>
    <w:rsid w:val="00197480"/>
    <w:rsid w:val="00197F5B"/>
    <w:rsid w:val="001A09E5"/>
    <w:rsid w:val="001A151D"/>
    <w:rsid w:val="001A26CE"/>
    <w:rsid w:val="001A330D"/>
    <w:rsid w:val="001A332F"/>
    <w:rsid w:val="001A372F"/>
    <w:rsid w:val="001A378E"/>
    <w:rsid w:val="001A3816"/>
    <w:rsid w:val="001A4A8C"/>
    <w:rsid w:val="001A4BB7"/>
    <w:rsid w:val="001A6E24"/>
    <w:rsid w:val="001B133E"/>
    <w:rsid w:val="001B1830"/>
    <w:rsid w:val="001B19DD"/>
    <w:rsid w:val="001B2152"/>
    <w:rsid w:val="001B26BA"/>
    <w:rsid w:val="001B4F6E"/>
    <w:rsid w:val="001B57D3"/>
    <w:rsid w:val="001B60D2"/>
    <w:rsid w:val="001C4743"/>
    <w:rsid w:val="001C47D5"/>
    <w:rsid w:val="001C56AD"/>
    <w:rsid w:val="001D048D"/>
    <w:rsid w:val="001D3E0E"/>
    <w:rsid w:val="001D448B"/>
    <w:rsid w:val="001D5869"/>
    <w:rsid w:val="001E1543"/>
    <w:rsid w:val="001E19B6"/>
    <w:rsid w:val="001E2A12"/>
    <w:rsid w:val="001E4C1C"/>
    <w:rsid w:val="001E5958"/>
    <w:rsid w:val="001E5FA2"/>
    <w:rsid w:val="001F026F"/>
    <w:rsid w:val="001F048E"/>
    <w:rsid w:val="001F04E7"/>
    <w:rsid w:val="001F05FA"/>
    <w:rsid w:val="001F1EAB"/>
    <w:rsid w:val="001F37C2"/>
    <w:rsid w:val="002014D0"/>
    <w:rsid w:val="002030B2"/>
    <w:rsid w:val="00203E24"/>
    <w:rsid w:val="002047C2"/>
    <w:rsid w:val="002050DB"/>
    <w:rsid w:val="002063CC"/>
    <w:rsid w:val="00206D54"/>
    <w:rsid w:val="00212F2B"/>
    <w:rsid w:val="002131A6"/>
    <w:rsid w:val="00213622"/>
    <w:rsid w:val="0021472A"/>
    <w:rsid w:val="00215A33"/>
    <w:rsid w:val="00217D7F"/>
    <w:rsid w:val="002203F3"/>
    <w:rsid w:val="00220C8B"/>
    <w:rsid w:val="00221BBF"/>
    <w:rsid w:val="0022228E"/>
    <w:rsid w:val="00225B45"/>
    <w:rsid w:val="0022699D"/>
    <w:rsid w:val="00226A39"/>
    <w:rsid w:val="00231A88"/>
    <w:rsid w:val="00234CB7"/>
    <w:rsid w:val="00234E1B"/>
    <w:rsid w:val="00235085"/>
    <w:rsid w:val="00236525"/>
    <w:rsid w:val="00236956"/>
    <w:rsid w:val="002374CC"/>
    <w:rsid w:val="00237743"/>
    <w:rsid w:val="002424A2"/>
    <w:rsid w:val="00242629"/>
    <w:rsid w:val="00243778"/>
    <w:rsid w:val="00243941"/>
    <w:rsid w:val="0024612E"/>
    <w:rsid w:val="0024645C"/>
    <w:rsid w:val="00247910"/>
    <w:rsid w:val="00251F44"/>
    <w:rsid w:val="0025209E"/>
    <w:rsid w:val="00252F91"/>
    <w:rsid w:val="00253F30"/>
    <w:rsid w:val="00254176"/>
    <w:rsid w:val="00254390"/>
    <w:rsid w:val="0025522E"/>
    <w:rsid w:val="00261D1B"/>
    <w:rsid w:val="002627C5"/>
    <w:rsid w:val="00263F16"/>
    <w:rsid w:val="00264D4A"/>
    <w:rsid w:val="00265449"/>
    <w:rsid w:val="00266A07"/>
    <w:rsid w:val="00266F44"/>
    <w:rsid w:val="002704AF"/>
    <w:rsid w:val="00272277"/>
    <w:rsid w:val="002729D6"/>
    <w:rsid w:val="0027405F"/>
    <w:rsid w:val="002746A3"/>
    <w:rsid w:val="00274DF7"/>
    <w:rsid w:val="00277C58"/>
    <w:rsid w:val="002812CC"/>
    <w:rsid w:val="00281840"/>
    <w:rsid w:val="00282A4A"/>
    <w:rsid w:val="00283C90"/>
    <w:rsid w:val="00284C9B"/>
    <w:rsid w:val="002876AD"/>
    <w:rsid w:val="002903ED"/>
    <w:rsid w:val="00292EB7"/>
    <w:rsid w:val="002930DA"/>
    <w:rsid w:val="00293862"/>
    <w:rsid w:val="0029401B"/>
    <w:rsid w:val="002946C1"/>
    <w:rsid w:val="00296721"/>
    <w:rsid w:val="00296D71"/>
    <w:rsid w:val="002A01A5"/>
    <w:rsid w:val="002A3CC7"/>
    <w:rsid w:val="002A43E8"/>
    <w:rsid w:val="002A5E12"/>
    <w:rsid w:val="002A6478"/>
    <w:rsid w:val="002A7E56"/>
    <w:rsid w:val="002B0615"/>
    <w:rsid w:val="002B06C9"/>
    <w:rsid w:val="002B4716"/>
    <w:rsid w:val="002B5082"/>
    <w:rsid w:val="002B6317"/>
    <w:rsid w:val="002B66B5"/>
    <w:rsid w:val="002B7FD3"/>
    <w:rsid w:val="002C0A04"/>
    <w:rsid w:val="002C0F91"/>
    <w:rsid w:val="002C1DDA"/>
    <w:rsid w:val="002C1E74"/>
    <w:rsid w:val="002C4879"/>
    <w:rsid w:val="002C5137"/>
    <w:rsid w:val="002C58B3"/>
    <w:rsid w:val="002C5D7A"/>
    <w:rsid w:val="002C7CEE"/>
    <w:rsid w:val="002D033F"/>
    <w:rsid w:val="002D0736"/>
    <w:rsid w:val="002D266B"/>
    <w:rsid w:val="002D2DE1"/>
    <w:rsid w:val="002D4113"/>
    <w:rsid w:val="002D4686"/>
    <w:rsid w:val="002D5AB3"/>
    <w:rsid w:val="002D6914"/>
    <w:rsid w:val="002E0ACE"/>
    <w:rsid w:val="002E2EA9"/>
    <w:rsid w:val="002E352D"/>
    <w:rsid w:val="002E367D"/>
    <w:rsid w:val="002E677A"/>
    <w:rsid w:val="002E6E20"/>
    <w:rsid w:val="002E7464"/>
    <w:rsid w:val="002F030E"/>
    <w:rsid w:val="002F413C"/>
    <w:rsid w:val="002F470D"/>
    <w:rsid w:val="002F523D"/>
    <w:rsid w:val="002F58D0"/>
    <w:rsid w:val="002F7F58"/>
    <w:rsid w:val="00300ED8"/>
    <w:rsid w:val="0030103D"/>
    <w:rsid w:val="00301EC1"/>
    <w:rsid w:val="00305ADB"/>
    <w:rsid w:val="003067A7"/>
    <w:rsid w:val="003101BD"/>
    <w:rsid w:val="0031037B"/>
    <w:rsid w:val="0031321E"/>
    <w:rsid w:val="00314308"/>
    <w:rsid w:val="0031435A"/>
    <w:rsid w:val="00314973"/>
    <w:rsid w:val="00314D74"/>
    <w:rsid w:val="0031713F"/>
    <w:rsid w:val="003200A5"/>
    <w:rsid w:val="003202AC"/>
    <w:rsid w:val="0032353B"/>
    <w:rsid w:val="0032702B"/>
    <w:rsid w:val="00327FF6"/>
    <w:rsid w:val="003329CD"/>
    <w:rsid w:val="00332DD7"/>
    <w:rsid w:val="003340E3"/>
    <w:rsid w:val="003402CF"/>
    <w:rsid w:val="00341824"/>
    <w:rsid w:val="00343218"/>
    <w:rsid w:val="00343465"/>
    <w:rsid w:val="003454D8"/>
    <w:rsid w:val="00346207"/>
    <w:rsid w:val="00346A65"/>
    <w:rsid w:val="00350D5C"/>
    <w:rsid w:val="0035156D"/>
    <w:rsid w:val="00353196"/>
    <w:rsid w:val="003604F7"/>
    <w:rsid w:val="003625CC"/>
    <w:rsid w:val="0036316E"/>
    <w:rsid w:val="00363DBF"/>
    <w:rsid w:val="003655C9"/>
    <w:rsid w:val="00365D04"/>
    <w:rsid w:val="003661DB"/>
    <w:rsid w:val="00366E58"/>
    <w:rsid w:val="0036725E"/>
    <w:rsid w:val="0037035E"/>
    <w:rsid w:val="00371ED4"/>
    <w:rsid w:val="00373717"/>
    <w:rsid w:val="003749F7"/>
    <w:rsid w:val="003751B1"/>
    <w:rsid w:val="003758A1"/>
    <w:rsid w:val="00377087"/>
    <w:rsid w:val="003805F8"/>
    <w:rsid w:val="00380A2A"/>
    <w:rsid w:val="0038105B"/>
    <w:rsid w:val="00381AB2"/>
    <w:rsid w:val="003823B8"/>
    <w:rsid w:val="003824B8"/>
    <w:rsid w:val="00383A3D"/>
    <w:rsid w:val="00383B2C"/>
    <w:rsid w:val="00383F58"/>
    <w:rsid w:val="003845E5"/>
    <w:rsid w:val="00384C65"/>
    <w:rsid w:val="00384E9F"/>
    <w:rsid w:val="00385C90"/>
    <w:rsid w:val="00387E32"/>
    <w:rsid w:val="0039092D"/>
    <w:rsid w:val="0039344E"/>
    <w:rsid w:val="00393FC5"/>
    <w:rsid w:val="0039458A"/>
    <w:rsid w:val="00395ACA"/>
    <w:rsid w:val="00396FA4"/>
    <w:rsid w:val="003A0250"/>
    <w:rsid w:val="003A39A0"/>
    <w:rsid w:val="003A3ABD"/>
    <w:rsid w:val="003A4D3A"/>
    <w:rsid w:val="003A6628"/>
    <w:rsid w:val="003A6AD0"/>
    <w:rsid w:val="003A729F"/>
    <w:rsid w:val="003B17C9"/>
    <w:rsid w:val="003B2076"/>
    <w:rsid w:val="003B4389"/>
    <w:rsid w:val="003B446C"/>
    <w:rsid w:val="003B6EDA"/>
    <w:rsid w:val="003B73B2"/>
    <w:rsid w:val="003B7E26"/>
    <w:rsid w:val="003C0C42"/>
    <w:rsid w:val="003C1045"/>
    <w:rsid w:val="003C113D"/>
    <w:rsid w:val="003C3816"/>
    <w:rsid w:val="003C4724"/>
    <w:rsid w:val="003C52CC"/>
    <w:rsid w:val="003C559A"/>
    <w:rsid w:val="003C588A"/>
    <w:rsid w:val="003C658E"/>
    <w:rsid w:val="003D0983"/>
    <w:rsid w:val="003D1107"/>
    <w:rsid w:val="003D157E"/>
    <w:rsid w:val="003D1A53"/>
    <w:rsid w:val="003D1D53"/>
    <w:rsid w:val="003D3E0E"/>
    <w:rsid w:val="003D5D7B"/>
    <w:rsid w:val="003D5DA7"/>
    <w:rsid w:val="003D679A"/>
    <w:rsid w:val="003E1B8A"/>
    <w:rsid w:val="003E4C0B"/>
    <w:rsid w:val="003E5259"/>
    <w:rsid w:val="003E5C76"/>
    <w:rsid w:val="003E7247"/>
    <w:rsid w:val="003F311A"/>
    <w:rsid w:val="003F355D"/>
    <w:rsid w:val="003F3AD3"/>
    <w:rsid w:val="003F4725"/>
    <w:rsid w:val="00402AF5"/>
    <w:rsid w:val="00403103"/>
    <w:rsid w:val="00403EF5"/>
    <w:rsid w:val="00404B50"/>
    <w:rsid w:val="00404ED1"/>
    <w:rsid w:val="00405194"/>
    <w:rsid w:val="004054DF"/>
    <w:rsid w:val="0040566A"/>
    <w:rsid w:val="00405DB2"/>
    <w:rsid w:val="004073B6"/>
    <w:rsid w:val="00410683"/>
    <w:rsid w:val="0041094F"/>
    <w:rsid w:val="0041212B"/>
    <w:rsid w:val="00412F03"/>
    <w:rsid w:val="004130D5"/>
    <w:rsid w:val="004133F0"/>
    <w:rsid w:val="0041372F"/>
    <w:rsid w:val="00413A92"/>
    <w:rsid w:val="00413B3C"/>
    <w:rsid w:val="0041496A"/>
    <w:rsid w:val="004151DB"/>
    <w:rsid w:val="00415A75"/>
    <w:rsid w:val="00416DED"/>
    <w:rsid w:val="004202AC"/>
    <w:rsid w:val="004205F2"/>
    <w:rsid w:val="0042170A"/>
    <w:rsid w:val="004220DE"/>
    <w:rsid w:val="0042220A"/>
    <w:rsid w:val="0042246F"/>
    <w:rsid w:val="00422F9F"/>
    <w:rsid w:val="004233D9"/>
    <w:rsid w:val="004242A9"/>
    <w:rsid w:val="004251A0"/>
    <w:rsid w:val="00426C74"/>
    <w:rsid w:val="00426F3D"/>
    <w:rsid w:val="004278E8"/>
    <w:rsid w:val="00430A8B"/>
    <w:rsid w:val="00430CAF"/>
    <w:rsid w:val="004310E8"/>
    <w:rsid w:val="00432EBD"/>
    <w:rsid w:val="0043332C"/>
    <w:rsid w:val="00436F97"/>
    <w:rsid w:val="00437336"/>
    <w:rsid w:val="004373A4"/>
    <w:rsid w:val="00437FAC"/>
    <w:rsid w:val="004419A6"/>
    <w:rsid w:val="00441A07"/>
    <w:rsid w:val="0044204D"/>
    <w:rsid w:val="0044305B"/>
    <w:rsid w:val="004446AB"/>
    <w:rsid w:val="00446719"/>
    <w:rsid w:val="00446946"/>
    <w:rsid w:val="004477CD"/>
    <w:rsid w:val="00447E26"/>
    <w:rsid w:val="004505EA"/>
    <w:rsid w:val="00450FDC"/>
    <w:rsid w:val="00452AA3"/>
    <w:rsid w:val="00452D33"/>
    <w:rsid w:val="0045461B"/>
    <w:rsid w:val="00455F1B"/>
    <w:rsid w:val="004560F4"/>
    <w:rsid w:val="00460521"/>
    <w:rsid w:val="00460E22"/>
    <w:rsid w:val="00464977"/>
    <w:rsid w:val="00465512"/>
    <w:rsid w:val="00465CB4"/>
    <w:rsid w:val="00467001"/>
    <w:rsid w:val="00471F6D"/>
    <w:rsid w:val="004720DE"/>
    <w:rsid w:val="00474635"/>
    <w:rsid w:val="00475765"/>
    <w:rsid w:val="00476BFD"/>
    <w:rsid w:val="004806BD"/>
    <w:rsid w:val="00480D58"/>
    <w:rsid w:val="0048319F"/>
    <w:rsid w:val="00483335"/>
    <w:rsid w:val="00484877"/>
    <w:rsid w:val="004904F1"/>
    <w:rsid w:val="00491297"/>
    <w:rsid w:val="00493794"/>
    <w:rsid w:val="00494BBB"/>
    <w:rsid w:val="004965D4"/>
    <w:rsid w:val="004969B5"/>
    <w:rsid w:val="004969E0"/>
    <w:rsid w:val="00496D28"/>
    <w:rsid w:val="0049705F"/>
    <w:rsid w:val="00497405"/>
    <w:rsid w:val="00497F91"/>
    <w:rsid w:val="004A0096"/>
    <w:rsid w:val="004A0393"/>
    <w:rsid w:val="004A0AEC"/>
    <w:rsid w:val="004A41BD"/>
    <w:rsid w:val="004B1852"/>
    <w:rsid w:val="004B289C"/>
    <w:rsid w:val="004B52FD"/>
    <w:rsid w:val="004B59B2"/>
    <w:rsid w:val="004B63F2"/>
    <w:rsid w:val="004B7EA2"/>
    <w:rsid w:val="004B7EA7"/>
    <w:rsid w:val="004B7F18"/>
    <w:rsid w:val="004C04B5"/>
    <w:rsid w:val="004C07D3"/>
    <w:rsid w:val="004C1606"/>
    <w:rsid w:val="004C206A"/>
    <w:rsid w:val="004C3689"/>
    <w:rsid w:val="004C3A9C"/>
    <w:rsid w:val="004C3C2D"/>
    <w:rsid w:val="004C487B"/>
    <w:rsid w:val="004C4E29"/>
    <w:rsid w:val="004C592E"/>
    <w:rsid w:val="004C5C64"/>
    <w:rsid w:val="004C6777"/>
    <w:rsid w:val="004C70BD"/>
    <w:rsid w:val="004C7620"/>
    <w:rsid w:val="004D03E4"/>
    <w:rsid w:val="004D28EE"/>
    <w:rsid w:val="004D2E60"/>
    <w:rsid w:val="004D3055"/>
    <w:rsid w:val="004D3DE2"/>
    <w:rsid w:val="004D465F"/>
    <w:rsid w:val="004D4959"/>
    <w:rsid w:val="004D7B24"/>
    <w:rsid w:val="004D7E54"/>
    <w:rsid w:val="004E1489"/>
    <w:rsid w:val="004E1CC7"/>
    <w:rsid w:val="004E394F"/>
    <w:rsid w:val="004E4394"/>
    <w:rsid w:val="004E71A4"/>
    <w:rsid w:val="004E7296"/>
    <w:rsid w:val="004E7DB3"/>
    <w:rsid w:val="004E7DF2"/>
    <w:rsid w:val="004F0887"/>
    <w:rsid w:val="004F2814"/>
    <w:rsid w:val="004F44CE"/>
    <w:rsid w:val="004F44FB"/>
    <w:rsid w:val="004F4644"/>
    <w:rsid w:val="004F48F5"/>
    <w:rsid w:val="004F7639"/>
    <w:rsid w:val="004F778A"/>
    <w:rsid w:val="00501359"/>
    <w:rsid w:val="005034B0"/>
    <w:rsid w:val="00505893"/>
    <w:rsid w:val="00506B89"/>
    <w:rsid w:val="0050715B"/>
    <w:rsid w:val="00510335"/>
    <w:rsid w:val="00515EA1"/>
    <w:rsid w:val="00516045"/>
    <w:rsid w:val="0051634E"/>
    <w:rsid w:val="00517694"/>
    <w:rsid w:val="0052080C"/>
    <w:rsid w:val="00520A0C"/>
    <w:rsid w:val="005224B3"/>
    <w:rsid w:val="00522EF1"/>
    <w:rsid w:val="00527A0B"/>
    <w:rsid w:val="0053244D"/>
    <w:rsid w:val="00533E4B"/>
    <w:rsid w:val="005359E8"/>
    <w:rsid w:val="005403A9"/>
    <w:rsid w:val="005407D8"/>
    <w:rsid w:val="00540837"/>
    <w:rsid w:val="00540BC3"/>
    <w:rsid w:val="0054241C"/>
    <w:rsid w:val="005428F1"/>
    <w:rsid w:val="00542C89"/>
    <w:rsid w:val="005430B1"/>
    <w:rsid w:val="00544602"/>
    <w:rsid w:val="00545681"/>
    <w:rsid w:val="00546450"/>
    <w:rsid w:val="00546C93"/>
    <w:rsid w:val="005503B7"/>
    <w:rsid w:val="00550F9F"/>
    <w:rsid w:val="00551187"/>
    <w:rsid w:val="00552C02"/>
    <w:rsid w:val="005549E1"/>
    <w:rsid w:val="00554FE2"/>
    <w:rsid w:val="00555379"/>
    <w:rsid w:val="0055540F"/>
    <w:rsid w:val="0055595B"/>
    <w:rsid w:val="00555C77"/>
    <w:rsid w:val="00556EFE"/>
    <w:rsid w:val="005573D7"/>
    <w:rsid w:val="005604B8"/>
    <w:rsid w:val="00560946"/>
    <w:rsid w:val="00560FC8"/>
    <w:rsid w:val="005618C7"/>
    <w:rsid w:val="00561FBD"/>
    <w:rsid w:val="0056221C"/>
    <w:rsid w:val="00566A85"/>
    <w:rsid w:val="0056793B"/>
    <w:rsid w:val="00567EA2"/>
    <w:rsid w:val="00570CA8"/>
    <w:rsid w:val="00572518"/>
    <w:rsid w:val="00573B0A"/>
    <w:rsid w:val="005740E8"/>
    <w:rsid w:val="00575391"/>
    <w:rsid w:val="005755B7"/>
    <w:rsid w:val="00577903"/>
    <w:rsid w:val="005779EE"/>
    <w:rsid w:val="00580F9B"/>
    <w:rsid w:val="00581E57"/>
    <w:rsid w:val="00582506"/>
    <w:rsid w:val="0058281E"/>
    <w:rsid w:val="005828CD"/>
    <w:rsid w:val="00582B4D"/>
    <w:rsid w:val="00582CE3"/>
    <w:rsid w:val="00583FC1"/>
    <w:rsid w:val="005840AD"/>
    <w:rsid w:val="00584793"/>
    <w:rsid w:val="00584EE9"/>
    <w:rsid w:val="0058609D"/>
    <w:rsid w:val="0058659D"/>
    <w:rsid w:val="005865B3"/>
    <w:rsid w:val="005920FE"/>
    <w:rsid w:val="00592CC3"/>
    <w:rsid w:val="005930F7"/>
    <w:rsid w:val="00594B25"/>
    <w:rsid w:val="00594D34"/>
    <w:rsid w:val="00596265"/>
    <w:rsid w:val="005963BA"/>
    <w:rsid w:val="00596661"/>
    <w:rsid w:val="005968E4"/>
    <w:rsid w:val="00596D53"/>
    <w:rsid w:val="00597E79"/>
    <w:rsid w:val="005A0512"/>
    <w:rsid w:val="005A28B0"/>
    <w:rsid w:val="005A3EBE"/>
    <w:rsid w:val="005A5628"/>
    <w:rsid w:val="005B0F82"/>
    <w:rsid w:val="005B0FDE"/>
    <w:rsid w:val="005B14D6"/>
    <w:rsid w:val="005B2751"/>
    <w:rsid w:val="005B38B3"/>
    <w:rsid w:val="005C2EBF"/>
    <w:rsid w:val="005C393E"/>
    <w:rsid w:val="005C47AD"/>
    <w:rsid w:val="005C6FBE"/>
    <w:rsid w:val="005C763E"/>
    <w:rsid w:val="005D1253"/>
    <w:rsid w:val="005D1BF6"/>
    <w:rsid w:val="005D2904"/>
    <w:rsid w:val="005D3F0C"/>
    <w:rsid w:val="005D4F5E"/>
    <w:rsid w:val="005D5B39"/>
    <w:rsid w:val="005D5C77"/>
    <w:rsid w:val="005E0A96"/>
    <w:rsid w:val="005E1AA1"/>
    <w:rsid w:val="005E1B1D"/>
    <w:rsid w:val="005E1F0D"/>
    <w:rsid w:val="005E2CB9"/>
    <w:rsid w:val="005E4A8A"/>
    <w:rsid w:val="005E6034"/>
    <w:rsid w:val="005E716D"/>
    <w:rsid w:val="005F12ED"/>
    <w:rsid w:val="005F1E2A"/>
    <w:rsid w:val="005F2300"/>
    <w:rsid w:val="005F23F2"/>
    <w:rsid w:val="005F23FB"/>
    <w:rsid w:val="005F27DB"/>
    <w:rsid w:val="005F4EB0"/>
    <w:rsid w:val="005F505C"/>
    <w:rsid w:val="005F62B9"/>
    <w:rsid w:val="005F758D"/>
    <w:rsid w:val="006011E4"/>
    <w:rsid w:val="006019A2"/>
    <w:rsid w:val="006019BA"/>
    <w:rsid w:val="00602179"/>
    <w:rsid w:val="0060263B"/>
    <w:rsid w:val="0060298E"/>
    <w:rsid w:val="00602FFD"/>
    <w:rsid w:val="006033A1"/>
    <w:rsid w:val="00603629"/>
    <w:rsid w:val="00604299"/>
    <w:rsid w:val="00604BAB"/>
    <w:rsid w:val="0060563C"/>
    <w:rsid w:val="006067AF"/>
    <w:rsid w:val="00607B4E"/>
    <w:rsid w:val="00610525"/>
    <w:rsid w:val="0061065F"/>
    <w:rsid w:val="00611388"/>
    <w:rsid w:val="0061206F"/>
    <w:rsid w:val="006120E0"/>
    <w:rsid w:val="00612C20"/>
    <w:rsid w:val="00613556"/>
    <w:rsid w:val="006168AC"/>
    <w:rsid w:val="00616B3F"/>
    <w:rsid w:val="0061797D"/>
    <w:rsid w:val="00620947"/>
    <w:rsid w:val="006223E3"/>
    <w:rsid w:val="00622464"/>
    <w:rsid w:val="00622582"/>
    <w:rsid w:val="006246E1"/>
    <w:rsid w:val="00624F4E"/>
    <w:rsid w:val="006272D7"/>
    <w:rsid w:val="00630D55"/>
    <w:rsid w:val="00632092"/>
    <w:rsid w:val="00632D7E"/>
    <w:rsid w:val="0063368F"/>
    <w:rsid w:val="00635A8E"/>
    <w:rsid w:val="00637A3E"/>
    <w:rsid w:val="00637CEB"/>
    <w:rsid w:val="0064156E"/>
    <w:rsid w:val="00641653"/>
    <w:rsid w:val="006438F0"/>
    <w:rsid w:val="00644DAF"/>
    <w:rsid w:val="006459C0"/>
    <w:rsid w:val="00645F73"/>
    <w:rsid w:val="006470DC"/>
    <w:rsid w:val="00650A3E"/>
    <w:rsid w:val="00654BBC"/>
    <w:rsid w:val="00654E4F"/>
    <w:rsid w:val="00656F3E"/>
    <w:rsid w:val="00657417"/>
    <w:rsid w:val="00657867"/>
    <w:rsid w:val="006578B0"/>
    <w:rsid w:val="00662194"/>
    <w:rsid w:val="006628A8"/>
    <w:rsid w:val="00662B32"/>
    <w:rsid w:val="00663379"/>
    <w:rsid w:val="00663DD3"/>
    <w:rsid w:val="006649F5"/>
    <w:rsid w:val="0066589B"/>
    <w:rsid w:val="00665A17"/>
    <w:rsid w:val="00665D4F"/>
    <w:rsid w:val="006660FA"/>
    <w:rsid w:val="006669BA"/>
    <w:rsid w:val="00667407"/>
    <w:rsid w:val="006677C0"/>
    <w:rsid w:val="006703FB"/>
    <w:rsid w:val="00670426"/>
    <w:rsid w:val="006707D1"/>
    <w:rsid w:val="00670C86"/>
    <w:rsid w:val="00670F74"/>
    <w:rsid w:val="00671658"/>
    <w:rsid w:val="0067251B"/>
    <w:rsid w:val="00672C74"/>
    <w:rsid w:val="00675F29"/>
    <w:rsid w:val="006763BF"/>
    <w:rsid w:val="00676F65"/>
    <w:rsid w:val="006800E8"/>
    <w:rsid w:val="00680535"/>
    <w:rsid w:val="00680905"/>
    <w:rsid w:val="0068094D"/>
    <w:rsid w:val="00681CE7"/>
    <w:rsid w:val="00682DD9"/>
    <w:rsid w:val="00682DE3"/>
    <w:rsid w:val="00683B2D"/>
    <w:rsid w:val="00683F7A"/>
    <w:rsid w:val="00684175"/>
    <w:rsid w:val="00685E6B"/>
    <w:rsid w:val="006870CB"/>
    <w:rsid w:val="0068737A"/>
    <w:rsid w:val="00687C6C"/>
    <w:rsid w:val="0069035D"/>
    <w:rsid w:val="00692434"/>
    <w:rsid w:val="00692619"/>
    <w:rsid w:val="0069372A"/>
    <w:rsid w:val="00694826"/>
    <w:rsid w:val="006968EA"/>
    <w:rsid w:val="00697E25"/>
    <w:rsid w:val="006A0C71"/>
    <w:rsid w:val="006A117A"/>
    <w:rsid w:val="006A27DF"/>
    <w:rsid w:val="006A69FE"/>
    <w:rsid w:val="006A75E6"/>
    <w:rsid w:val="006B0242"/>
    <w:rsid w:val="006B025A"/>
    <w:rsid w:val="006B170C"/>
    <w:rsid w:val="006B1C25"/>
    <w:rsid w:val="006B35B3"/>
    <w:rsid w:val="006B3BAB"/>
    <w:rsid w:val="006B3F9D"/>
    <w:rsid w:val="006B442C"/>
    <w:rsid w:val="006B5642"/>
    <w:rsid w:val="006B5AD3"/>
    <w:rsid w:val="006B6490"/>
    <w:rsid w:val="006B750C"/>
    <w:rsid w:val="006C1C33"/>
    <w:rsid w:val="006C28CF"/>
    <w:rsid w:val="006C4461"/>
    <w:rsid w:val="006C65D9"/>
    <w:rsid w:val="006C6E08"/>
    <w:rsid w:val="006C734C"/>
    <w:rsid w:val="006C7A09"/>
    <w:rsid w:val="006D00C1"/>
    <w:rsid w:val="006D23E0"/>
    <w:rsid w:val="006D37F1"/>
    <w:rsid w:val="006D40C6"/>
    <w:rsid w:val="006D540B"/>
    <w:rsid w:val="006E1623"/>
    <w:rsid w:val="006E2B73"/>
    <w:rsid w:val="006E31E6"/>
    <w:rsid w:val="006E5454"/>
    <w:rsid w:val="006F05C1"/>
    <w:rsid w:val="006F0F70"/>
    <w:rsid w:val="006F1167"/>
    <w:rsid w:val="006F2B7A"/>
    <w:rsid w:val="006F5A36"/>
    <w:rsid w:val="006F7C1D"/>
    <w:rsid w:val="006F7DC0"/>
    <w:rsid w:val="00700C0E"/>
    <w:rsid w:val="007043B1"/>
    <w:rsid w:val="00706919"/>
    <w:rsid w:val="007077F5"/>
    <w:rsid w:val="007078EC"/>
    <w:rsid w:val="00710C1C"/>
    <w:rsid w:val="007138AB"/>
    <w:rsid w:val="0071391F"/>
    <w:rsid w:val="0071461C"/>
    <w:rsid w:val="00714A8F"/>
    <w:rsid w:val="00714EE2"/>
    <w:rsid w:val="00715418"/>
    <w:rsid w:val="007202A7"/>
    <w:rsid w:val="00720503"/>
    <w:rsid w:val="00721F04"/>
    <w:rsid w:val="0072424E"/>
    <w:rsid w:val="00725A26"/>
    <w:rsid w:val="00730130"/>
    <w:rsid w:val="007305B3"/>
    <w:rsid w:val="00730613"/>
    <w:rsid w:val="00731FF1"/>
    <w:rsid w:val="00732149"/>
    <w:rsid w:val="00732308"/>
    <w:rsid w:val="007377A0"/>
    <w:rsid w:val="0074191B"/>
    <w:rsid w:val="00743C72"/>
    <w:rsid w:val="00743DB3"/>
    <w:rsid w:val="00743DFF"/>
    <w:rsid w:val="00744258"/>
    <w:rsid w:val="00746F25"/>
    <w:rsid w:val="007476A6"/>
    <w:rsid w:val="00747A79"/>
    <w:rsid w:val="007500F8"/>
    <w:rsid w:val="007511D1"/>
    <w:rsid w:val="00751219"/>
    <w:rsid w:val="00751643"/>
    <w:rsid w:val="00751A2A"/>
    <w:rsid w:val="0075258E"/>
    <w:rsid w:val="00752F21"/>
    <w:rsid w:val="007535DD"/>
    <w:rsid w:val="00753E4A"/>
    <w:rsid w:val="0075581A"/>
    <w:rsid w:val="0075644D"/>
    <w:rsid w:val="00760137"/>
    <w:rsid w:val="0076259D"/>
    <w:rsid w:val="007646F4"/>
    <w:rsid w:val="00770104"/>
    <w:rsid w:val="00773B4A"/>
    <w:rsid w:val="00774789"/>
    <w:rsid w:val="00775C80"/>
    <w:rsid w:val="00776F7B"/>
    <w:rsid w:val="007807D5"/>
    <w:rsid w:val="007815A4"/>
    <w:rsid w:val="00781838"/>
    <w:rsid w:val="007819C7"/>
    <w:rsid w:val="00781D33"/>
    <w:rsid w:val="00785D86"/>
    <w:rsid w:val="0078640B"/>
    <w:rsid w:val="00786FC1"/>
    <w:rsid w:val="00791F27"/>
    <w:rsid w:val="007921C1"/>
    <w:rsid w:val="00792AAE"/>
    <w:rsid w:val="00792C03"/>
    <w:rsid w:val="00794647"/>
    <w:rsid w:val="00797826"/>
    <w:rsid w:val="007A06F7"/>
    <w:rsid w:val="007A093A"/>
    <w:rsid w:val="007A0CA5"/>
    <w:rsid w:val="007A0ED2"/>
    <w:rsid w:val="007A3495"/>
    <w:rsid w:val="007A6E41"/>
    <w:rsid w:val="007B1731"/>
    <w:rsid w:val="007B193E"/>
    <w:rsid w:val="007B64CC"/>
    <w:rsid w:val="007B6506"/>
    <w:rsid w:val="007B6F9C"/>
    <w:rsid w:val="007B75E9"/>
    <w:rsid w:val="007C18B9"/>
    <w:rsid w:val="007C2446"/>
    <w:rsid w:val="007C2D14"/>
    <w:rsid w:val="007C3321"/>
    <w:rsid w:val="007C45CE"/>
    <w:rsid w:val="007C4B33"/>
    <w:rsid w:val="007C7B05"/>
    <w:rsid w:val="007D22DF"/>
    <w:rsid w:val="007D2674"/>
    <w:rsid w:val="007D3342"/>
    <w:rsid w:val="007D391E"/>
    <w:rsid w:val="007D4D3A"/>
    <w:rsid w:val="007D64F5"/>
    <w:rsid w:val="007D681C"/>
    <w:rsid w:val="007D7332"/>
    <w:rsid w:val="007E39CB"/>
    <w:rsid w:val="007E3E07"/>
    <w:rsid w:val="007E3FE3"/>
    <w:rsid w:val="007E7603"/>
    <w:rsid w:val="007E79F7"/>
    <w:rsid w:val="007F01E9"/>
    <w:rsid w:val="007F124F"/>
    <w:rsid w:val="007F1253"/>
    <w:rsid w:val="007F28B3"/>
    <w:rsid w:val="0080208F"/>
    <w:rsid w:val="00802A51"/>
    <w:rsid w:val="0080332B"/>
    <w:rsid w:val="00803E32"/>
    <w:rsid w:val="00804CE1"/>
    <w:rsid w:val="00806286"/>
    <w:rsid w:val="00806A59"/>
    <w:rsid w:val="008073D5"/>
    <w:rsid w:val="0081035A"/>
    <w:rsid w:val="008115EF"/>
    <w:rsid w:val="00811D64"/>
    <w:rsid w:val="008125A7"/>
    <w:rsid w:val="00816860"/>
    <w:rsid w:val="008222FB"/>
    <w:rsid w:val="00823842"/>
    <w:rsid w:val="008252A7"/>
    <w:rsid w:val="008257BD"/>
    <w:rsid w:val="008268A7"/>
    <w:rsid w:val="008353C4"/>
    <w:rsid w:val="00836319"/>
    <w:rsid w:val="008365F7"/>
    <w:rsid w:val="00836B23"/>
    <w:rsid w:val="00836EE3"/>
    <w:rsid w:val="00840B7C"/>
    <w:rsid w:val="00841EA1"/>
    <w:rsid w:val="00842A7F"/>
    <w:rsid w:val="008432CB"/>
    <w:rsid w:val="00843CFB"/>
    <w:rsid w:val="00844258"/>
    <w:rsid w:val="008442C9"/>
    <w:rsid w:val="008461B0"/>
    <w:rsid w:val="00847885"/>
    <w:rsid w:val="00851672"/>
    <w:rsid w:val="008521D2"/>
    <w:rsid w:val="0085251A"/>
    <w:rsid w:val="00853230"/>
    <w:rsid w:val="00853567"/>
    <w:rsid w:val="008539B6"/>
    <w:rsid w:val="0085486D"/>
    <w:rsid w:val="00855934"/>
    <w:rsid w:val="00855F2E"/>
    <w:rsid w:val="0085647A"/>
    <w:rsid w:val="008564DF"/>
    <w:rsid w:val="008610CC"/>
    <w:rsid w:val="00861B06"/>
    <w:rsid w:val="0086329E"/>
    <w:rsid w:val="00863437"/>
    <w:rsid w:val="00863928"/>
    <w:rsid w:val="00863C6C"/>
    <w:rsid w:val="0086575A"/>
    <w:rsid w:val="008657B3"/>
    <w:rsid w:val="00866E19"/>
    <w:rsid w:val="00866E82"/>
    <w:rsid w:val="00867744"/>
    <w:rsid w:val="008713EB"/>
    <w:rsid w:val="00872463"/>
    <w:rsid w:val="00873377"/>
    <w:rsid w:val="0087373C"/>
    <w:rsid w:val="00873BD9"/>
    <w:rsid w:val="00873E50"/>
    <w:rsid w:val="0087400D"/>
    <w:rsid w:val="008742BE"/>
    <w:rsid w:val="00874EAC"/>
    <w:rsid w:val="00877A9D"/>
    <w:rsid w:val="008803CC"/>
    <w:rsid w:val="0088052B"/>
    <w:rsid w:val="008808A9"/>
    <w:rsid w:val="0088146F"/>
    <w:rsid w:val="00882897"/>
    <w:rsid w:val="00882C06"/>
    <w:rsid w:val="008862A1"/>
    <w:rsid w:val="00886D07"/>
    <w:rsid w:val="008902A3"/>
    <w:rsid w:val="008904A8"/>
    <w:rsid w:val="00893673"/>
    <w:rsid w:val="00895C49"/>
    <w:rsid w:val="008971F7"/>
    <w:rsid w:val="00897571"/>
    <w:rsid w:val="008A029A"/>
    <w:rsid w:val="008A1532"/>
    <w:rsid w:val="008A320A"/>
    <w:rsid w:val="008A40F4"/>
    <w:rsid w:val="008A441C"/>
    <w:rsid w:val="008A51E5"/>
    <w:rsid w:val="008A5207"/>
    <w:rsid w:val="008A57DE"/>
    <w:rsid w:val="008A6162"/>
    <w:rsid w:val="008A69AD"/>
    <w:rsid w:val="008B0A2D"/>
    <w:rsid w:val="008B1002"/>
    <w:rsid w:val="008B1500"/>
    <w:rsid w:val="008B29B3"/>
    <w:rsid w:val="008B588E"/>
    <w:rsid w:val="008B6765"/>
    <w:rsid w:val="008B6A48"/>
    <w:rsid w:val="008C1017"/>
    <w:rsid w:val="008C3E5E"/>
    <w:rsid w:val="008C3EAB"/>
    <w:rsid w:val="008C4D67"/>
    <w:rsid w:val="008C6902"/>
    <w:rsid w:val="008D0B60"/>
    <w:rsid w:val="008D2185"/>
    <w:rsid w:val="008D2DE8"/>
    <w:rsid w:val="008D4A10"/>
    <w:rsid w:val="008D77B0"/>
    <w:rsid w:val="008E0845"/>
    <w:rsid w:val="008E0F75"/>
    <w:rsid w:val="008E41D2"/>
    <w:rsid w:val="008E56FC"/>
    <w:rsid w:val="008E5E29"/>
    <w:rsid w:val="008E757A"/>
    <w:rsid w:val="008F1E7A"/>
    <w:rsid w:val="008F2EAD"/>
    <w:rsid w:val="008F36E1"/>
    <w:rsid w:val="008F403D"/>
    <w:rsid w:val="008F4B7C"/>
    <w:rsid w:val="008F608D"/>
    <w:rsid w:val="008F6BC4"/>
    <w:rsid w:val="00900A8D"/>
    <w:rsid w:val="00900CE1"/>
    <w:rsid w:val="00900E55"/>
    <w:rsid w:val="00901D67"/>
    <w:rsid w:val="009021E3"/>
    <w:rsid w:val="00903A11"/>
    <w:rsid w:val="00903AF3"/>
    <w:rsid w:val="009044BA"/>
    <w:rsid w:val="00904671"/>
    <w:rsid w:val="00906226"/>
    <w:rsid w:val="00906502"/>
    <w:rsid w:val="00906CCD"/>
    <w:rsid w:val="00907A5C"/>
    <w:rsid w:val="00907B78"/>
    <w:rsid w:val="009106C5"/>
    <w:rsid w:val="00911112"/>
    <w:rsid w:val="009111C8"/>
    <w:rsid w:val="009117DB"/>
    <w:rsid w:val="009144F7"/>
    <w:rsid w:val="00914502"/>
    <w:rsid w:val="0091480F"/>
    <w:rsid w:val="00915FA9"/>
    <w:rsid w:val="0092005B"/>
    <w:rsid w:val="0092236F"/>
    <w:rsid w:val="00922D35"/>
    <w:rsid w:val="009261EF"/>
    <w:rsid w:val="0092725E"/>
    <w:rsid w:val="00930AA9"/>
    <w:rsid w:val="00932B79"/>
    <w:rsid w:val="00933E5A"/>
    <w:rsid w:val="0093547F"/>
    <w:rsid w:val="00935D61"/>
    <w:rsid w:val="00936991"/>
    <w:rsid w:val="009402E5"/>
    <w:rsid w:val="009416C1"/>
    <w:rsid w:val="0094275F"/>
    <w:rsid w:val="00943BA4"/>
    <w:rsid w:val="00945A9F"/>
    <w:rsid w:val="00947C3B"/>
    <w:rsid w:val="009505B2"/>
    <w:rsid w:val="0095299C"/>
    <w:rsid w:val="009549C7"/>
    <w:rsid w:val="00955C68"/>
    <w:rsid w:val="00956C06"/>
    <w:rsid w:val="00956C7D"/>
    <w:rsid w:val="0096072A"/>
    <w:rsid w:val="009637AE"/>
    <w:rsid w:val="00964283"/>
    <w:rsid w:val="009646D4"/>
    <w:rsid w:val="00964F22"/>
    <w:rsid w:val="009662E0"/>
    <w:rsid w:val="00966386"/>
    <w:rsid w:val="00966755"/>
    <w:rsid w:val="00966EBA"/>
    <w:rsid w:val="00971883"/>
    <w:rsid w:val="009719DB"/>
    <w:rsid w:val="0097210F"/>
    <w:rsid w:val="0097329F"/>
    <w:rsid w:val="00974C0D"/>
    <w:rsid w:val="0097501C"/>
    <w:rsid w:val="009761BC"/>
    <w:rsid w:val="00976645"/>
    <w:rsid w:val="009766CE"/>
    <w:rsid w:val="00976A33"/>
    <w:rsid w:val="0097712C"/>
    <w:rsid w:val="00980C52"/>
    <w:rsid w:val="00980FE1"/>
    <w:rsid w:val="00981B0F"/>
    <w:rsid w:val="0098367B"/>
    <w:rsid w:val="00983B4F"/>
    <w:rsid w:val="00983BD6"/>
    <w:rsid w:val="0098463D"/>
    <w:rsid w:val="009848DD"/>
    <w:rsid w:val="00985308"/>
    <w:rsid w:val="00986B3F"/>
    <w:rsid w:val="00987279"/>
    <w:rsid w:val="00987F7E"/>
    <w:rsid w:val="0099126E"/>
    <w:rsid w:val="009919D0"/>
    <w:rsid w:val="00991EA3"/>
    <w:rsid w:val="00993F8D"/>
    <w:rsid w:val="0099413E"/>
    <w:rsid w:val="00995B03"/>
    <w:rsid w:val="009961AC"/>
    <w:rsid w:val="00997C5F"/>
    <w:rsid w:val="009A14AB"/>
    <w:rsid w:val="009A1747"/>
    <w:rsid w:val="009A182E"/>
    <w:rsid w:val="009A19DD"/>
    <w:rsid w:val="009A20D2"/>
    <w:rsid w:val="009A3592"/>
    <w:rsid w:val="009A3F49"/>
    <w:rsid w:val="009A600C"/>
    <w:rsid w:val="009A64D6"/>
    <w:rsid w:val="009A7D62"/>
    <w:rsid w:val="009B097B"/>
    <w:rsid w:val="009B105E"/>
    <w:rsid w:val="009B1D73"/>
    <w:rsid w:val="009B2509"/>
    <w:rsid w:val="009B2784"/>
    <w:rsid w:val="009B3135"/>
    <w:rsid w:val="009B6285"/>
    <w:rsid w:val="009C05AF"/>
    <w:rsid w:val="009C13A0"/>
    <w:rsid w:val="009C2D42"/>
    <w:rsid w:val="009C4F46"/>
    <w:rsid w:val="009C5573"/>
    <w:rsid w:val="009C575D"/>
    <w:rsid w:val="009C58A8"/>
    <w:rsid w:val="009C6AD3"/>
    <w:rsid w:val="009C6DF1"/>
    <w:rsid w:val="009C7B9A"/>
    <w:rsid w:val="009D0315"/>
    <w:rsid w:val="009D0767"/>
    <w:rsid w:val="009D078F"/>
    <w:rsid w:val="009D1655"/>
    <w:rsid w:val="009D21EE"/>
    <w:rsid w:val="009D3302"/>
    <w:rsid w:val="009D4714"/>
    <w:rsid w:val="009D4FC9"/>
    <w:rsid w:val="009D574F"/>
    <w:rsid w:val="009D57DB"/>
    <w:rsid w:val="009D58D5"/>
    <w:rsid w:val="009D6C47"/>
    <w:rsid w:val="009D7567"/>
    <w:rsid w:val="009D7890"/>
    <w:rsid w:val="009D7C36"/>
    <w:rsid w:val="009E1673"/>
    <w:rsid w:val="009E280A"/>
    <w:rsid w:val="009E63EB"/>
    <w:rsid w:val="009E7376"/>
    <w:rsid w:val="009E76B3"/>
    <w:rsid w:val="009E77E1"/>
    <w:rsid w:val="009F14A1"/>
    <w:rsid w:val="009F2554"/>
    <w:rsid w:val="009F2D4B"/>
    <w:rsid w:val="009F40B9"/>
    <w:rsid w:val="009F4108"/>
    <w:rsid w:val="009F4480"/>
    <w:rsid w:val="009F4B89"/>
    <w:rsid w:val="009F5D37"/>
    <w:rsid w:val="009F723B"/>
    <w:rsid w:val="00A008C5"/>
    <w:rsid w:val="00A02B14"/>
    <w:rsid w:val="00A02B5C"/>
    <w:rsid w:val="00A03190"/>
    <w:rsid w:val="00A03500"/>
    <w:rsid w:val="00A03706"/>
    <w:rsid w:val="00A038B1"/>
    <w:rsid w:val="00A10FE7"/>
    <w:rsid w:val="00A11D92"/>
    <w:rsid w:val="00A12449"/>
    <w:rsid w:val="00A12499"/>
    <w:rsid w:val="00A13A8B"/>
    <w:rsid w:val="00A14ADF"/>
    <w:rsid w:val="00A14DB0"/>
    <w:rsid w:val="00A15149"/>
    <w:rsid w:val="00A17307"/>
    <w:rsid w:val="00A21487"/>
    <w:rsid w:val="00A22C97"/>
    <w:rsid w:val="00A22D02"/>
    <w:rsid w:val="00A24821"/>
    <w:rsid w:val="00A24D54"/>
    <w:rsid w:val="00A25A8B"/>
    <w:rsid w:val="00A27797"/>
    <w:rsid w:val="00A300BF"/>
    <w:rsid w:val="00A31928"/>
    <w:rsid w:val="00A32BCE"/>
    <w:rsid w:val="00A33D2B"/>
    <w:rsid w:val="00A347C9"/>
    <w:rsid w:val="00A35189"/>
    <w:rsid w:val="00A35348"/>
    <w:rsid w:val="00A3564B"/>
    <w:rsid w:val="00A378C4"/>
    <w:rsid w:val="00A40632"/>
    <w:rsid w:val="00A43068"/>
    <w:rsid w:val="00A44069"/>
    <w:rsid w:val="00A4466B"/>
    <w:rsid w:val="00A45004"/>
    <w:rsid w:val="00A46A45"/>
    <w:rsid w:val="00A5042B"/>
    <w:rsid w:val="00A513AF"/>
    <w:rsid w:val="00A51583"/>
    <w:rsid w:val="00A51D5F"/>
    <w:rsid w:val="00A51F93"/>
    <w:rsid w:val="00A52057"/>
    <w:rsid w:val="00A52533"/>
    <w:rsid w:val="00A53C0A"/>
    <w:rsid w:val="00A54A82"/>
    <w:rsid w:val="00A54D45"/>
    <w:rsid w:val="00A563EB"/>
    <w:rsid w:val="00A57101"/>
    <w:rsid w:val="00A57684"/>
    <w:rsid w:val="00A62DB4"/>
    <w:rsid w:val="00A65554"/>
    <w:rsid w:val="00A66A49"/>
    <w:rsid w:val="00A6794D"/>
    <w:rsid w:val="00A67FA3"/>
    <w:rsid w:val="00A71A4B"/>
    <w:rsid w:val="00A727FE"/>
    <w:rsid w:val="00A72ADD"/>
    <w:rsid w:val="00A741C0"/>
    <w:rsid w:val="00A74210"/>
    <w:rsid w:val="00A75437"/>
    <w:rsid w:val="00A75C4A"/>
    <w:rsid w:val="00A760F9"/>
    <w:rsid w:val="00A761D7"/>
    <w:rsid w:val="00A76B3C"/>
    <w:rsid w:val="00A779E6"/>
    <w:rsid w:val="00A80CD7"/>
    <w:rsid w:val="00A823AE"/>
    <w:rsid w:val="00A841FF"/>
    <w:rsid w:val="00A857E9"/>
    <w:rsid w:val="00A87292"/>
    <w:rsid w:val="00A90038"/>
    <w:rsid w:val="00A90821"/>
    <w:rsid w:val="00A9105C"/>
    <w:rsid w:val="00A91486"/>
    <w:rsid w:val="00A9165E"/>
    <w:rsid w:val="00A92A0C"/>
    <w:rsid w:val="00A92F86"/>
    <w:rsid w:val="00A94678"/>
    <w:rsid w:val="00A96C0A"/>
    <w:rsid w:val="00A97530"/>
    <w:rsid w:val="00A97FA1"/>
    <w:rsid w:val="00AA064D"/>
    <w:rsid w:val="00AA08BB"/>
    <w:rsid w:val="00AA1545"/>
    <w:rsid w:val="00AA1FC6"/>
    <w:rsid w:val="00AA4542"/>
    <w:rsid w:val="00AA533C"/>
    <w:rsid w:val="00AA59D2"/>
    <w:rsid w:val="00AA5C68"/>
    <w:rsid w:val="00AA6962"/>
    <w:rsid w:val="00AA71C6"/>
    <w:rsid w:val="00AB0A40"/>
    <w:rsid w:val="00AB0A8C"/>
    <w:rsid w:val="00AB1246"/>
    <w:rsid w:val="00AB1C55"/>
    <w:rsid w:val="00AB215F"/>
    <w:rsid w:val="00AB2E46"/>
    <w:rsid w:val="00AB373A"/>
    <w:rsid w:val="00AB3BC3"/>
    <w:rsid w:val="00AB3C62"/>
    <w:rsid w:val="00AB654D"/>
    <w:rsid w:val="00AB6DA4"/>
    <w:rsid w:val="00AB7EA9"/>
    <w:rsid w:val="00AC1C7A"/>
    <w:rsid w:val="00AC1F01"/>
    <w:rsid w:val="00AC26DE"/>
    <w:rsid w:val="00AC41D0"/>
    <w:rsid w:val="00AC5020"/>
    <w:rsid w:val="00AC5C61"/>
    <w:rsid w:val="00AC688F"/>
    <w:rsid w:val="00AC6930"/>
    <w:rsid w:val="00AC7C1C"/>
    <w:rsid w:val="00AD0C05"/>
    <w:rsid w:val="00AD134B"/>
    <w:rsid w:val="00AD2C92"/>
    <w:rsid w:val="00AD3CDE"/>
    <w:rsid w:val="00AD3D3A"/>
    <w:rsid w:val="00AD4C75"/>
    <w:rsid w:val="00AD5479"/>
    <w:rsid w:val="00AD6698"/>
    <w:rsid w:val="00AD6CBE"/>
    <w:rsid w:val="00AD739A"/>
    <w:rsid w:val="00AD769E"/>
    <w:rsid w:val="00AD7B00"/>
    <w:rsid w:val="00AE0CE2"/>
    <w:rsid w:val="00AE0CF1"/>
    <w:rsid w:val="00AE19F9"/>
    <w:rsid w:val="00AE2590"/>
    <w:rsid w:val="00AE25D0"/>
    <w:rsid w:val="00AE26CC"/>
    <w:rsid w:val="00AE2927"/>
    <w:rsid w:val="00AE433B"/>
    <w:rsid w:val="00AE4BA9"/>
    <w:rsid w:val="00AE5B8A"/>
    <w:rsid w:val="00AE6263"/>
    <w:rsid w:val="00AE7298"/>
    <w:rsid w:val="00AF176B"/>
    <w:rsid w:val="00AF3AFB"/>
    <w:rsid w:val="00AF3B67"/>
    <w:rsid w:val="00AF4D5D"/>
    <w:rsid w:val="00AF59A5"/>
    <w:rsid w:val="00AF6926"/>
    <w:rsid w:val="00B013D9"/>
    <w:rsid w:val="00B01DDF"/>
    <w:rsid w:val="00B035E3"/>
    <w:rsid w:val="00B060F7"/>
    <w:rsid w:val="00B102EC"/>
    <w:rsid w:val="00B11E44"/>
    <w:rsid w:val="00B122B8"/>
    <w:rsid w:val="00B13740"/>
    <w:rsid w:val="00B13BBB"/>
    <w:rsid w:val="00B141F0"/>
    <w:rsid w:val="00B14BFB"/>
    <w:rsid w:val="00B16D53"/>
    <w:rsid w:val="00B172BB"/>
    <w:rsid w:val="00B23D73"/>
    <w:rsid w:val="00B265D1"/>
    <w:rsid w:val="00B27208"/>
    <w:rsid w:val="00B30171"/>
    <w:rsid w:val="00B30705"/>
    <w:rsid w:val="00B3173A"/>
    <w:rsid w:val="00B32975"/>
    <w:rsid w:val="00B33A19"/>
    <w:rsid w:val="00B33B85"/>
    <w:rsid w:val="00B34697"/>
    <w:rsid w:val="00B34B34"/>
    <w:rsid w:val="00B34E48"/>
    <w:rsid w:val="00B35838"/>
    <w:rsid w:val="00B36CB8"/>
    <w:rsid w:val="00B37773"/>
    <w:rsid w:val="00B442E6"/>
    <w:rsid w:val="00B44909"/>
    <w:rsid w:val="00B44A46"/>
    <w:rsid w:val="00B46394"/>
    <w:rsid w:val="00B46B01"/>
    <w:rsid w:val="00B47BE9"/>
    <w:rsid w:val="00B519DF"/>
    <w:rsid w:val="00B52F2F"/>
    <w:rsid w:val="00B5304C"/>
    <w:rsid w:val="00B54463"/>
    <w:rsid w:val="00B54B5F"/>
    <w:rsid w:val="00B5538C"/>
    <w:rsid w:val="00B558A3"/>
    <w:rsid w:val="00B567C3"/>
    <w:rsid w:val="00B60712"/>
    <w:rsid w:val="00B60FC2"/>
    <w:rsid w:val="00B61FC6"/>
    <w:rsid w:val="00B62D21"/>
    <w:rsid w:val="00B63141"/>
    <w:rsid w:val="00B66EA8"/>
    <w:rsid w:val="00B71D9C"/>
    <w:rsid w:val="00B7315B"/>
    <w:rsid w:val="00B75A62"/>
    <w:rsid w:val="00B76262"/>
    <w:rsid w:val="00B76951"/>
    <w:rsid w:val="00B77097"/>
    <w:rsid w:val="00B77179"/>
    <w:rsid w:val="00B77408"/>
    <w:rsid w:val="00B77975"/>
    <w:rsid w:val="00B779CC"/>
    <w:rsid w:val="00B80251"/>
    <w:rsid w:val="00B80C7F"/>
    <w:rsid w:val="00B80F80"/>
    <w:rsid w:val="00B8189F"/>
    <w:rsid w:val="00B82CFC"/>
    <w:rsid w:val="00B83584"/>
    <w:rsid w:val="00B83B56"/>
    <w:rsid w:val="00B83C30"/>
    <w:rsid w:val="00B84618"/>
    <w:rsid w:val="00B87BD8"/>
    <w:rsid w:val="00B90A10"/>
    <w:rsid w:val="00B91A6F"/>
    <w:rsid w:val="00B92A08"/>
    <w:rsid w:val="00B95BE8"/>
    <w:rsid w:val="00B96B2D"/>
    <w:rsid w:val="00B96C29"/>
    <w:rsid w:val="00B96E83"/>
    <w:rsid w:val="00BA0389"/>
    <w:rsid w:val="00BA214F"/>
    <w:rsid w:val="00BA4C87"/>
    <w:rsid w:val="00BA6D14"/>
    <w:rsid w:val="00BB208C"/>
    <w:rsid w:val="00BB3E93"/>
    <w:rsid w:val="00BB43FB"/>
    <w:rsid w:val="00BB50F1"/>
    <w:rsid w:val="00BB5121"/>
    <w:rsid w:val="00BB547E"/>
    <w:rsid w:val="00BB5CBA"/>
    <w:rsid w:val="00BB67B4"/>
    <w:rsid w:val="00BB700F"/>
    <w:rsid w:val="00BC16A7"/>
    <w:rsid w:val="00BC3F5C"/>
    <w:rsid w:val="00BC4FD6"/>
    <w:rsid w:val="00BC67CA"/>
    <w:rsid w:val="00BC6A2E"/>
    <w:rsid w:val="00BC7CE2"/>
    <w:rsid w:val="00BD1264"/>
    <w:rsid w:val="00BD3BCF"/>
    <w:rsid w:val="00BD435B"/>
    <w:rsid w:val="00BD55BD"/>
    <w:rsid w:val="00BD718A"/>
    <w:rsid w:val="00BE008F"/>
    <w:rsid w:val="00BE2E49"/>
    <w:rsid w:val="00BE44A9"/>
    <w:rsid w:val="00BE4E91"/>
    <w:rsid w:val="00BE52C4"/>
    <w:rsid w:val="00BF071D"/>
    <w:rsid w:val="00BF0CB5"/>
    <w:rsid w:val="00BF4814"/>
    <w:rsid w:val="00BF4AE8"/>
    <w:rsid w:val="00BF4EA3"/>
    <w:rsid w:val="00BF51DC"/>
    <w:rsid w:val="00BF5719"/>
    <w:rsid w:val="00BF5851"/>
    <w:rsid w:val="00BF6209"/>
    <w:rsid w:val="00BF7615"/>
    <w:rsid w:val="00C010DE"/>
    <w:rsid w:val="00C01820"/>
    <w:rsid w:val="00C03452"/>
    <w:rsid w:val="00C03C84"/>
    <w:rsid w:val="00C0517C"/>
    <w:rsid w:val="00C057CD"/>
    <w:rsid w:val="00C06860"/>
    <w:rsid w:val="00C07205"/>
    <w:rsid w:val="00C13E45"/>
    <w:rsid w:val="00C15511"/>
    <w:rsid w:val="00C155D4"/>
    <w:rsid w:val="00C15D97"/>
    <w:rsid w:val="00C15E5A"/>
    <w:rsid w:val="00C172C1"/>
    <w:rsid w:val="00C17352"/>
    <w:rsid w:val="00C17E62"/>
    <w:rsid w:val="00C23638"/>
    <w:rsid w:val="00C23A6F"/>
    <w:rsid w:val="00C23DB6"/>
    <w:rsid w:val="00C24156"/>
    <w:rsid w:val="00C25D1C"/>
    <w:rsid w:val="00C262E8"/>
    <w:rsid w:val="00C27730"/>
    <w:rsid w:val="00C32274"/>
    <w:rsid w:val="00C33421"/>
    <w:rsid w:val="00C341C3"/>
    <w:rsid w:val="00C35491"/>
    <w:rsid w:val="00C35C1D"/>
    <w:rsid w:val="00C37907"/>
    <w:rsid w:val="00C37EA0"/>
    <w:rsid w:val="00C4000D"/>
    <w:rsid w:val="00C40D3F"/>
    <w:rsid w:val="00C4268C"/>
    <w:rsid w:val="00C42D1B"/>
    <w:rsid w:val="00C43606"/>
    <w:rsid w:val="00C43644"/>
    <w:rsid w:val="00C4377B"/>
    <w:rsid w:val="00C4687C"/>
    <w:rsid w:val="00C471B1"/>
    <w:rsid w:val="00C50C1E"/>
    <w:rsid w:val="00C520CC"/>
    <w:rsid w:val="00C525BD"/>
    <w:rsid w:val="00C53792"/>
    <w:rsid w:val="00C54C30"/>
    <w:rsid w:val="00C55A1C"/>
    <w:rsid w:val="00C569C3"/>
    <w:rsid w:val="00C57A4A"/>
    <w:rsid w:val="00C57A9B"/>
    <w:rsid w:val="00C6035C"/>
    <w:rsid w:val="00C60851"/>
    <w:rsid w:val="00C614FB"/>
    <w:rsid w:val="00C6157F"/>
    <w:rsid w:val="00C61C4F"/>
    <w:rsid w:val="00C62263"/>
    <w:rsid w:val="00C62510"/>
    <w:rsid w:val="00C63293"/>
    <w:rsid w:val="00C642BD"/>
    <w:rsid w:val="00C64483"/>
    <w:rsid w:val="00C64690"/>
    <w:rsid w:val="00C657FF"/>
    <w:rsid w:val="00C659AC"/>
    <w:rsid w:val="00C65D3B"/>
    <w:rsid w:val="00C65E82"/>
    <w:rsid w:val="00C6673E"/>
    <w:rsid w:val="00C66D0B"/>
    <w:rsid w:val="00C67265"/>
    <w:rsid w:val="00C70AEB"/>
    <w:rsid w:val="00C710AC"/>
    <w:rsid w:val="00C7155A"/>
    <w:rsid w:val="00C72309"/>
    <w:rsid w:val="00C74179"/>
    <w:rsid w:val="00C743A8"/>
    <w:rsid w:val="00C752E6"/>
    <w:rsid w:val="00C75637"/>
    <w:rsid w:val="00C766C7"/>
    <w:rsid w:val="00C8248E"/>
    <w:rsid w:val="00C83499"/>
    <w:rsid w:val="00C83AE8"/>
    <w:rsid w:val="00C8562A"/>
    <w:rsid w:val="00C85924"/>
    <w:rsid w:val="00C86166"/>
    <w:rsid w:val="00C86402"/>
    <w:rsid w:val="00C86998"/>
    <w:rsid w:val="00C87902"/>
    <w:rsid w:val="00C902AE"/>
    <w:rsid w:val="00C90D0D"/>
    <w:rsid w:val="00C911D0"/>
    <w:rsid w:val="00C96EFB"/>
    <w:rsid w:val="00CA00BE"/>
    <w:rsid w:val="00CA1819"/>
    <w:rsid w:val="00CA44F9"/>
    <w:rsid w:val="00CA5DD5"/>
    <w:rsid w:val="00CA61C3"/>
    <w:rsid w:val="00CB0877"/>
    <w:rsid w:val="00CB0E6A"/>
    <w:rsid w:val="00CB1596"/>
    <w:rsid w:val="00CB1E04"/>
    <w:rsid w:val="00CB4798"/>
    <w:rsid w:val="00CB571C"/>
    <w:rsid w:val="00CB63CF"/>
    <w:rsid w:val="00CB792F"/>
    <w:rsid w:val="00CC111F"/>
    <w:rsid w:val="00CC220E"/>
    <w:rsid w:val="00CC221E"/>
    <w:rsid w:val="00CC4533"/>
    <w:rsid w:val="00CC4E03"/>
    <w:rsid w:val="00CC5E19"/>
    <w:rsid w:val="00CC6AE4"/>
    <w:rsid w:val="00CC79F9"/>
    <w:rsid w:val="00CD2B4F"/>
    <w:rsid w:val="00CD500C"/>
    <w:rsid w:val="00CD627B"/>
    <w:rsid w:val="00CD6292"/>
    <w:rsid w:val="00CD7008"/>
    <w:rsid w:val="00CE0C84"/>
    <w:rsid w:val="00CE1B1F"/>
    <w:rsid w:val="00CE2406"/>
    <w:rsid w:val="00CE261F"/>
    <w:rsid w:val="00CE54BB"/>
    <w:rsid w:val="00CE5DE7"/>
    <w:rsid w:val="00CE625A"/>
    <w:rsid w:val="00CE657C"/>
    <w:rsid w:val="00CE66FC"/>
    <w:rsid w:val="00CF01FC"/>
    <w:rsid w:val="00CF1DE9"/>
    <w:rsid w:val="00CF412B"/>
    <w:rsid w:val="00CF593B"/>
    <w:rsid w:val="00CF6080"/>
    <w:rsid w:val="00CF60DB"/>
    <w:rsid w:val="00CF72B2"/>
    <w:rsid w:val="00CF7B15"/>
    <w:rsid w:val="00D003EE"/>
    <w:rsid w:val="00D02A33"/>
    <w:rsid w:val="00D02CF7"/>
    <w:rsid w:val="00D03933"/>
    <w:rsid w:val="00D06381"/>
    <w:rsid w:val="00D07073"/>
    <w:rsid w:val="00D07225"/>
    <w:rsid w:val="00D07582"/>
    <w:rsid w:val="00D101D7"/>
    <w:rsid w:val="00D10555"/>
    <w:rsid w:val="00D11A5C"/>
    <w:rsid w:val="00D123EF"/>
    <w:rsid w:val="00D12962"/>
    <w:rsid w:val="00D149EB"/>
    <w:rsid w:val="00D150FE"/>
    <w:rsid w:val="00D216BF"/>
    <w:rsid w:val="00D223EA"/>
    <w:rsid w:val="00D22F97"/>
    <w:rsid w:val="00D23C3A"/>
    <w:rsid w:val="00D247A9"/>
    <w:rsid w:val="00D263B1"/>
    <w:rsid w:val="00D2677F"/>
    <w:rsid w:val="00D26B7A"/>
    <w:rsid w:val="00D30080"/>
    <w:rsid w:val="00D3200B"/>
    <w:rsid w:val="00D32C63"/>
    <w:rsid w:val="00D34E9D"/>
    <w:rsid w:val="00D35998"/>
    <w:rsid w:val="00D35A61"/>
    <w:rsid w:val="00D40088"/>
    <w:rsid w:val="00D40181"/>
    <w:rsid w:val="00D40734"/>
    <w:rsid w:val="00D40A9E"/>
    <w:rsid w:val="00D4212B"/>
    <w:rsid w:val="00D429EA"/>
    <w:rsid w:val="00D43AEB"/>
    <w:rsid w:val="00D45DBF"/>
    <w:rsid w:val="00D514DA"/>
    <w:rsid w:val="00D551CC"/>
    <w:rsid w:val="00D55501"/>
    <w:rsid w:val="00D55EFD"/>
    <w:rsid w:val="00D560B2"/>
    <w:rsid w:val="00D566C2"/>
    <w:rsid w:val="00D60559"/>
    <w:rsid w:val="00D60660"/>
    <w:rsid w:val="00D608B1"/>
    <w:rsid w:val="00D60CF9"/>
    <w:rsid w:val="00D61B89"/>
    <w:rsid w:val="00D62A93"/>
    <w:rsid w:val="00D6523B"/>
    <w:rsid w:val="00D67844"/>
    <w:rsid w:val="00D67F95"/>
    <w:rsid w:val="00D713C7"/>
    <w:rsid w:val="00D71C7A"/>
    <w:rsid w:val="00D7291E"/>
    <w:rsid w:val="00D754CC"/>
    <w:rsid w:val="00D756AF"/>
    <w:rsid w:val="00D75A8E"/>
    <w:rsid w:val="00D76E99"/>
    <w:rsid w:val="00D770D1"/>
    <w:rsid w:val="00D77D9F"/>
    <w:rsid w:val="00D80380"/>
    <w:rsid w:val="00D81705"/>
    <w:rsid w:val="00D867E8"/>
    <w:rsid w:val="00D87A0B"/>
    <w:rsid w:val="00D91A69"/>
    <w:rsid w:val="00D91D61"/>
    <w:rsid w:val="00D928FD"/>
    <w:rsid w:val="00D93CEB"/>
    <w:rsid w:val="00D941C7"/>
    <w:rsid w:val="00D948F2"/>
    <w:rsid w:val="00D94CB9"/>
    <w:rsid w:val="00D9565C"/>
    <w:rsid w:val="00D95861"/>
    <w:rsid w:val="00D95B44"/>
    <w:rsid w:val="00D976A3"/>
    <w:rsid w:val="00DA309F"/>
    <w:rsid w:val="00DA4629"/>
    <w:rsid w:val="00DA4903"/>
    <w:rsid w:val="00DA576E"/>
    <w:rsid w:val="00DB43A8"/>
    <w:rsid w:val="00DB4425"/>
    <w:rsid w:val="00DB4A16"/>
    <w:rsid w:val="00DB5104"/>
    <w:rsid w:val="00DB5A35"/>
    <w:rsid w:val="00DB5A88"/>
    <w:rsid w:val="00DC040B"/>
    <w:rsid w:val="00DC2E07"/>
    <w:rsid w:val="00DC33BF"/>
    <w:rsid w:val="00DC45C3"/>
    <w:rsid w:val="00DC46D1"/>
    <w:rsid w:val="00DC56AE"/>
    <w:rsid w:val="00DC5ABF"/>
    <w:rsid w:val="00DC5C4A"/>
    <w:rsid w:val="00DC62C3"/>
    <w:rsid w:val="00DC69AA"/>
    <w:rsid w:val="00DC7A79"/>
    <w:rsid w:val="00DD04AA"/>
    <w:rsid w:val="00DD173B"/>
    <w:rsid w:val="00DD245C"/>
    <w:rsid w:val="00DD4254"/>
    <w:rsid w:val="00DD4715"/>
    <w:rsid w:val="00DD7078"/>
    <w:rsid w:val="00DE2142"/>
    <w:rsid w:val="00DE26C9"/>
    <w:rsid w:val="00DE3A49"/>
    <w:rsid w:val="00DE3BD4"/>
    <w:rsid w:val="00DE404D"/>
    <w:rsid w:val="00DE4248"/>
    <w:rsid w:val="00DE5D4B"/>
    <w:rsid w:val="00DE642F"/>
    <w:rsid w:val="00DE788D"/>
    <w:rsid w:val="00DF0E99"/>
    <w:rsid w:val="00DF15E7"/>
    <w:rsid w:val="00DF23FD"/>
    <w:rsid w:val="00DF2C15"/>
    <w:rsid w:val="00DF2EC6"/>
    <w:rsid w:val="00DF5B58"/>
    <w:rsid w:val="00DF6B3C"/>
    <w:rsid w:val="00DF7E6D"/>
    <w:rsid w:val="00E009BE"/>
    <w:rsid w:val="00E02C0C"/>
    <w:rsid w:val="00E02E8F"/>
    <w:rsid w:val="00E03517"/>
    <w:rsid w:val="00E044EF"/>
    <w:rsid w:val="00E04AA7"/>
    <w:rsid w:val="00E04B88"/>
    <w:rsid w:val="00E05653"/>
    <w:rsid w:val="00E059CC"/>
    <w:rsid w:val="00E06133"/>
    <w:rsid w:val="00E06499"/>
    <w:rsid w:val="00E06F0E"/>
    <w:rsid w:val="00E07433"/>
    <w:rsid w:val="00E10CD6"/>
    <w:rsid w:val="00E1333D"/>
    <w:rsid w:val="00E147CC"/>
    <w:rsid w:val="00E162E7"/>
    <w:rsid w:val="00E16A92"/>
    <w:rsid w:val="00E2040A"/>
    <w:rsid w:val="00E21530"/>
    <w:rsid w:val="00E222B0"/>
    <w:rsid w:val="00E22BC2"/>
    <w:rsid w:val="00E24785"/>
    <w:rsid w:val="00E254B9"/>
    <w:rsid w:val="00E26074"/>
    <w:rsid w:val="00E30C78"/>
    <w:rsid w:val="00E310B9"/>
    <w:rsid w:val="00E3132B"/>
    <w:rsid w:val="00E31F21"/>
    <w:rsid w:val="00E323F1"/>
    <w:rsid w:val="00E32DC6"/>
    <w:rsid w:val="00E341F3"/>
    <w:rsid w:val="00E40A48"/>
    <w:rsid w:val="00E442EA"/>
    <w:rsid w:val="00E44A28"/>
    <w:rsid w:val="00E46AE9"/>
    <w:rsid w:val="00E46C51"/>
    <w:rsid w:val="00E47B23"/>
    <w:rsid w:val="00E521AB"/>
    <w:rsid w:val="00E52738"/>
    <w:rsid w:val="00E5442B"/>
    <w:rsid w:val="00E544E6"/>
    <w:rsid w:val="00E5461C"/>
    <w:rsid w:val="00E54BDF"/>
    <w:rsid w:val="00E54F03"/>
    <w:rsid w:val="00E55C02"/>
    <w:rsid w:val="00E55D7B"/>
    <w:rsid w:val="00E56C0D"/>
    <w:rsid w:val="00E57E2B"/>
    <w:rsid w:val="00E61602"/>
    <w:rsid w:val="00E618E0"/>
    <w:rsid w:val="00E62624"/>
    <w:rsid w:val="00E645FA"/>
    <w:rsid w:val="00E652EF"/>
    <w:rsid w:val="00E658DC"/>
    <w:rsid w:val="00E67028"/>
    <w:rsid w:val="00E70152"/>
    <w:rsid w:val="00E71192"/>
    <w:rsid w:val="00E71F1F"/>
    <w:rsid w:val="00E72565"/>
    <w:rsid w:val="00E72A2E"/>
    <w:rsid w:val="00E72ADC"/>
    <w:rsid w:val="00E72C72"/>
    <w:rsid w:val="00E7300C"/>
    <w:rsid w:val="00E73CE4"/>
    <w:rsid w:val="00E74144"/>
    <w:rsid w:val="00E7475A"/>
    <w:rsid w:val="00E76384"/>
    <w:rsid w:val="00E776BC"/>
    <w:rsid w:val="00E7771C"/>
    <w:rsid w:val="00E777EA"/>
    <w:rsid w:val="00E817AC"/>
    <w:rsid w:val="00E81A71"/>
    <w:rsid w:val="00E82D7E"/>
    <w:rsid w:val="00E8349B"/>
    <w:rsid w:val="00E840DC"/>
    <w:rsid w:val="00E85785"/>
    <w:rsid w:val="00E86906"/>
    <w:rsid w:val="00E90588"/>
    <w:rsid w:val="00E91525"/>
    <w:rsid w:val="00E925D2"/>
    <w:rsid w:val="00E92E8B"/>
    <w:rsid w:val="00E933EC"/>
    <w:rsid w:val="00E9342E"/>
    <w:rsid w:val="00E934E5"/>
    <w:rsid w:val="00E960FE"/>
    <w:rsid w:val="00E977C8"/>
    <w:rsid w:val="00EA24EC"/>
    <w:rsid w:val="00EA3F53"/>
    <w:rsid w:val="00EA6882"/>
    <w:rsid w:val="00EA6D30"/>
    <w:rsid w:val="00EB0279"/>
    <w:rsid w:val="00EB0C9A"/>
    <w:rsid w:val="00EB403C"/>
    <w:rsid w:val="00EB7F60"/>
    <w:rsid w:val="00EC01C2"/>
    <w:rsid w:val="00EC07A7"/>
    <w:rsid w:val="00EC07AD"/>
    <w:rsid w:val="00EC19E7"/>
    <w:rsid w:val="00EC2278"/>
    <w:rsid w:val="00EC3483"/>
    <w:rsid w:val="00EC527D"/>
    <w:rsid w:val="00EC5773"/>
    <w:rsid w:val="00EC7783"/>
    <w:rsid w:val="00EC7820"/>
    <w:rsid w:val="00EC7932"/>
    <w:rsid w:val="00ED00C2"/>
    <w:rsid w:val="00ED0B02"/>
    <w:rsid w:val="00ED17DB"/>
    <w:rsid w:val="00ED203C"/>
    <w:rsid w:val="00ED38C3"/>
    <w:rsid w:val="00ED3F54"/>
    <w:rsid w:val="00ED44E6"/>
    <w:rsid w:val="00ED6D25"/>
    <w:rsid w:val="00EE083E"/>
    <w:rsid w:val="00EE0FE8"/>
    <w:rsid w:val="00EE153E"/>
    <w:rsid w:val="00EE3480"/>
    <w:rsid w:val="00EE38F5"/>
    <w:rsid w:val="00EE3B85"/>
    <w:rsid w:val="00EE3F56"/>
    <w:rsid w:val="00EE5668"/>
    <w:rsid w:val="00EF0610"/>
    <w:rsid w:val="00EF1B65"/>
    <w:rsid w:val="00EF210C"/>
    <w:rsid w:val="00EF3167"/>
    <w:rsid w:val="00EF3597"/>
    <w:rsid w:val="00EF6F67"/>
    <w:rsid w:val="00EF7A34"/>
    <w:rsid w:val="00EF7A60"/>
    <w:rsid w:val="00F00267"/>
    <w:rsid w:val="00F03CB9"/>
    <w:rsid w:val="00F04315"/>
    <w:rsid w:val="00F06AA2"/>
    <w:rsid w:val="00F077F8"/>
    <w:rsid w:val="00F11545"/>
    <w:rsid w:val="00F1269D"/>
    <w:rsid w:val="00F1341B"/>
    <w:rsid w:val="00F14296"/>
    <w:rsid w:val="00F143F6"/>
    <w:rsid w:val="00F14543"/>
    <w:rsid w:val="00F15C32"/>
    <w:rsid w:val="00F1646E"/>
    <w:rsid w:val="00F16BCD"/>
    <w:rsid w:val="00F16E9D"/>
    <w:rsid w:val="00F1788F"/>
    <w:rsid w:val="00F20FA7"/>
    <w:rsid w:val="00F21CD2"/>
    <w:rsid w:val="00F221B2"/>
    <w:rsid w:val="00F22603"/>
    <w:rsid w:val="00F23D36"/>
    <w:rsid w:val="00F25694"/>
    <w:rsid w:val="00F2718A"/>
    <w:rsid w:val="00F3048B"/>
    <w:rsid w:val="00F30898"/>
    <w:rsid w:val="00F326BF"/>
    <w:rsid w:val="00F33FC7"/>
    <w:rsid w:val="00F340DB"/>
    <w:rsid w:val="00F3451B"/>
    <w:rsid w:val="00F36900"/>
    <w:rsid w:val="00F36B95"/>
    <w:rsid w:val="00F371E1"/>
    <w:rsid w:val="00F40E79"/>
    <w:rsid w:val="00F4172B"/>
    <w:rsid w:val="00F43163"/>
    <w:rsid w:val="00F43799"/>
    <w:rsid w:val="00F43892"/>
    <w:rsid w:val="00F44D88"/>
    <w:rsid w:val="00F46569"/>
    <w:rsid w:val="00F467A6"/>
    <w:rsid w:val="00F46F96"/>
    <w:rsid w:val="00F50873"/>
    <w:rsid w:val="00F51336"/>
    <w:rsid w:val="00F52C49"/>
    <w:rsid w:val="00F539CA"/>
    <w:rsid w:val="00F54026"/>
    <w:rsid w:val="00F54501"/>
    <w:rsid w:val="00F54759"/>
    <w:rsid w:val="00F547B7"/>
    <w:rsid w:val="00F574BC"/>
    <w:rsid w:val="00F5771B"/>
    <w:rsid w:val="00F5777F"/>
    <w:rsid w:val="00F57C79"/>
    <w:rsid w:val="00F60467"/>
    <w:rsid w:val="00F62FF0"/>
    <w:rsid w:val="00F63BAD"/>
    <w:rsid w:val="00F65221"/>
    <w:rsid w:val="00F6620C"/>
    <w:rsid w:val="00F66849"/>
    <w:rsid w:val="00F679EA"/>
    <w:rsid w:val="00F67C34"/>
    <w:rsid w:val="00F67C89"/>
    <w:rsid w:val="00F70A83"/>
    <w:rsid w:val="00F710D9"/>
    <w:rsid w:val="00F71272"/>
    <w:rsid w:val="00F71ABC"/>
    <w:rsid w:val="00F71EB2"/>
    <w:rsid w:val="00F73366"/>
    <w:rsid w:val="00F7341F"/>
    <w:rsid w:val="00F75965"/>
    <w:rsid w:val="00F82200"/>
    <w:rsid w:val="00F82DE6"/>
    <w:rsid w:val="00F833DB"/>
    <w:rsid w:val="00F83E46"/>
    <w:rsid w:val="00F863E2"/>
    <w:rsid w:val="00F87CE3"/>
    <w:rsid w:val="00F916EB"/>
    <w:rsid w:val="00F91CBA"/>
    <w:rsid w:val="00F92C32"/>
    <w:rsid w:val="00F949F2"/>
    <w:rsid w:val="00F95645"/>
    <w:rsid w:val="00F959CC"/>
    <w:rsid w:val="00F95A92"/>
    <w:rsid w:val="00F9603D"/>
    <w:rsid w:val="00F96704"/>
    <w:rsid w:val="00FA0EF1"/>
    <w:rsid w:val="00FA12DA"/>
    <w:rsid w:val="00FA18C5"/>
    <w:rsid w:val="00FA1C74"/>
    <w:rsid w:val="00FA2008"/>
    <w:rsid w:val="00FA254C"/>
    <w:rsid w:val="00FA2A06"/>
    <w:rsid w:val="00FA2B64"/>
    <w:rsid w:val="00FA64BB"/>
    <w:rsid w:val="00FA7C95"/>
    <w:rsid w:val="00FB0069"/>
    <w:rsid w:val="00FB14F7"/>
    <w:rsid w:val="00FB1E9D"/>
    <w:rsid w:val="00FB22E7"/>
    <w:rsid w:val="00FB2572"/>
    <w:rsid w:val="00FB28BF"/>
    <w:rsid w:val="00FB4385"/>
    <w:rsid w:val="00FB4BDA"/>
    <w:rsid w:val="00FB5690"/>
    <w:rsid w:val="00FB75F4"/>
    <w:rsid w:val="00FC0A78"/>
    <w:rsid w:val="00FC227B"/>
    <w:rsid w:val="00FC2ED6"/>
    <w:rsid w:val="00FC342D"/>
    <w:rsid w:val="00FC3800"/>
    <w:rsid w:val="00FC3853"/>
    <w:rsid w:val="00FC3B8F"/>
    <w:rsid w:val="00FC682F"/>
    <w:rsid w:val="00FC7007"/>
    <w:rsid w:val="00FD110C"/>
    <w:rsid w:val="00FD1D68"/>
    <w:rsid w:val="00FD2661"/>
    <w:rsid w:val="00FD37D0"/>
    <w:rsid w:val="00FD4095"/>
    <w:rsid w:val="00FD506C"/>
    <w:rsid w:val="00FD656E"/>
    <w:rsid w:val="00FD6D92"/>
    <w:rsid w:val="00FD7063"/>
    <w:rsid w:val="00FD757E"/>
    <w:rsid w:val="00FE0285"/>
    <w:rsid w:val="00FE042E"/>
    <w:rsid w:val="00FE0D8E"/>
    <w:rsid w:val="00FE0DDE"/>
    <w:rsid w:val="00FE2A8C"/>
    <w:rsid w:val="00FE4779"/>
    <w:rsid w:val="00FE4E48"/>
    <w:rsid w:val="00FE5D17"/>
    <w:rsid w:val="00FE6F9B"/>
    <w:rsid w:val="00FE70D7"/>
    <w:rsid w:val="00FF079B"/>
    <w:rsid w:val="00FF12B3"/>
    <w:rsid w:val="00FF168C"/>
    <w:rsid w:val="00FF200E"/>
    <w:rsid w:val="00FF2752"/>
    <w:rsid w:val="00FF3147"/>
    <w:rsid w:val="00FF5617"/>
    <w:rsid w:val="00FF573D"/>
    <w:rsid w:val="00FF6FE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3" style="mso-wrap-style:none" fillcolor="white" stroke="f">
      <v:fill color="white"/>
      <v:stroke on="f"/>
      <o:colormru v:ext="edit" colors="#d2d2d2,#cdcdcd,#c8c8c8,#29527b"/>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25522E"/>
    <w:pPr>
      <w:spacing w:before="120" w:after="120" w:line="276" w:lineRule="auto"/>
      <w:jc w:val="both"/>
    </w:pPr>
    <w:rPr>
      <w:rFonts w:ascii="Calibri" w:hAnsi="Calibri"/>
      <w:sz w:val="22"/>
      <w:szCs w:val="22"/>
      <w:lang w:eastAsia="en-US"/>
    </w:rPr>
  </w:style>
  <w:style w:type="paragraph" w:styleId="Nadpis1">
    <w:name w:val="heading 1"/>
    <w:basedOn w:val="Normaltext"/>
    <w:next w:val="Normaltext"/>
    <w:qFormat/>
    <w:rsid w:val="000B74A7"/>
    <w:pPr>
      <w:keepNext/>
      <w:keepLines/>
      <w:pageBreakBefore/>
      <w:numPr>
        <w:numId w:val="28"/>
      </w:numPr>
      <w:spacing w:after="600"/>
      <w:jc w:val="left"/>
      <w:outlineLvl w:val="0"/>
    </w:pPr>
    <w:rPr>
      <w:b/>
      <w:caps/>
      <w:color w:val="29527B"/>
      <w:spacing w:val="-10"/>
      <w:kern w:val="28"/>
      <w:sz w:val="32"/>
      <w:szCs w:val="32"/>
    </w:rPr>
  </w:style>
  <w:style w:type="paragraph" w:styleId="Nadpis2">
    <w:name w:val="heading 2"/>
    <w:basedOn w:val="Normaltext"/>
    <w:next w:val="Normaltext"/>
    <w:qFormat/>
    <w:rsid w:val="000B74A7"/>
    <w:pPr>
      <w:keepNext/>
      <w:keepLines/>
      <w:numPr>
        <w:ilvl w:val="1"/>
        <w:numId w:val="28"/>
      </w:numPr>
      <w:spacing w:before="360"/>
      <w:jc w:val="left"/>
      <w:outlineLvl w:val="1"/>
    </w:pPr>
    <w:rPr>
      <w:caps/>
      <w:color w:val="29527B"/>
      <w:spacing w:val="-4"/>
      <w:kern w:val="28"/>
      <w:sz w:val="28"/>
      <w:szCs w:val="28"/>
    </w:rPr>
  </w:style>
  <w:style w:type="paragraph" w:styleId="Nadpis3">
    <w:name w:val="heading 3"/>
    <w:basedOn w:val="Normaltext"/>
    <w:next w:val="Normaltext"/>
    <w:qFormat/>
    <w:rsid w:val="000B74A7"/>
    <w:pPr>
      <w:keepNext/>
      <w:keepLines/>
      <w:numPr>
        <w:ilvl w:val="2"/>
        <w:numId w:val="28"/>
      </w:numPr>
      <w:spacing w:before="360" w:line="360" w:lineRule="auto"/>
      <w:jc w:val="left"/>
      <w:outlineLvl w:val="2"/>
    </w:pPr>
    <w:rPr>
      <w:b/>
      <w:caps/>
      <w:color w:val="29527B"/>
      <w:spacing w:val="-4"/>
      <w:kern w:val="28"/>
      <w:sz w:val="24"/>
      <w:szCs w:val="24"/>
    </w:rPr>
  </w:style>
  <w:style w:type="paragraph" w:styleId="Nadpis4">
    <w:name w:val="heading 4"/>
    <w:basedOn w:val="Normaltext"/>
    <w:next w:val="Normaltext"/>
    <w:qFormat/>
    <w:rsid w:val="003D0983"/>
    <w:pPr>
      <w:keepNext/>
      <w:keepLines/>
      <w:numPr>
        <w:ilvl w:val="3"/>
        <w:numId w:val="28"/>
      </w:numPr>
      <w:tabs>
        <w:tab w:val="left" w:pos="1276"/>
      </w:tabs>
      <w:spacing w:before="360" w:line="276" w:lineRule="auto"/>
      <w:ind w:left="1276" w:hanging="709"/>
      <w:jc w:val="left"/>
      <w:outlineLvl w:val="3"/>
    </w:pPr>
    <w:rPr>
      <w:b/>
      <w:caps/>
      <w:color w:val="29527B"/>
      <w:spacing w:val="-4"/>
      <w:kern w:val="28"/>
      <w:sz w:val="24"/>
      <w:szCs w:val="24"/>
    </w:rPr>
  </w:style>
  <w:style w:type="paragraph" w:styleId="Nadpis5">
    <w:name w:val="heading 5"/>
    <w:basedOn w:val="Normlny"/>
    <w:next w:val="Normlny"/>
    <w:qFormat/>
    <w:rsid w:val="000B74A7"/>
    <w:pPr>
      <w:keepNext/>
      <w:keepLines/>
      <w:numPr>
        <w:ilvl w:val="4"/>
        <w:numId w:val="28"/>
      </w:numPr>
      <w:spacing w:before="220" w:after="220" w:line="220" w:lineRule="atLeast"/>
      <w:outlineLvl w:val="4"/>
    </w:pPr>
    <w:rPr>
      <w:rFonts w:ascii="Times New Roman" w:hAnsi="Times New Roman"/>
      <w:i/>
      <w:spacing w:val="-4"/>
      <w:kern w:val="28"/>
      <w:sz w:val="20"/>
    </w:rPr>
  </w:style>
  <w:style w:type="paragraph" w:styleId="Nadpis6">
    <w:name w:val="heading 6"/>
    <w:basedOn w:val="Normlny"/>
    <w:next w:val="Normlny"/>
    <w:qFormat/>
    <w:rsid w:val="000B74A7"/>
    <w:pPr>
      <w:keepNext/>
      <w:keepLines/>
      <w:numPr>
        <w:ilvl w:val="5"/>
        <w:numId w:val="28"/>
      </w:numPr>
      <w:spacing w:before="140" w:line="220" w:lineRule="atLeast"/>
      <w:outlineLvl w:val="5"/>
    </w:pPr>
    <w:rPr>
      <w:rFonts w:ascii="Times New Roman" w:hAnsi="Times New Roman"/>
      <w:i/>
      <w:spacing w:val="-4"/>
      <w:kern w:val="28"/>
      <w:sz w:val="20"/>
    </w:rPr>
  </w:style>
  <w:style w:type="paragraph" w:styleId="Nadpis7">
    <w:name w:val="heading 7"/>
    <w:basedOn w:val="Normlny"/>
    <w:next w:val="Normlny"/>
    <w:qFormat/>
    <w:rsid w:val="000B74A7"/>
    <w:pPr>
      <w:keepNext/>
      <w:keepLines/>
      <w:numPr>
        <w:ilvl w:val="6"/>
        <w:numId w:val="28"/>
      </w:numPr>
      <w:spacing w:before="140" w:line="220" w:lineRule="atLeast"/>
      <w:outlineLvl w:val="6"/>
    </w:pPr>
    <w:rPr>
      <w:rFonts w:ascii="Times New Roman" w:hAnsi="Times New Roman"/>
      <w:spacing w:val="-4"/>
      <w:kern w:val="28"/>
      <w:sz w:val="20"/>
    </w:rPr>
  </w:style>
  <w:style w:type="paragraph" w:styleId="Nadpis8">
    <w:name w:val="heading 8"/>
    <w:basedOn w:val="Normaltext"/>
    <w:next w:val="Normaltext"/>
    <w:qFormat/>
    <w:rsid w:val="00A52533"/>
    <w:pPr>
      <w:keepNext/>
      <w:keepLines/>
      <w:pageBreakBefore/>
      <w:spacing w:before="0" w:after="600"/>
      <w:jc w:val="left"/>
      <w:outlineLvl w:val="7"/>
    </w:pPr>
    <w:rPr>
      <w:b/>
      <w:caps/>
      <w:color w:val="29527B"/>
      <w:spacing w:val="-4"/>
      <w:kern w:val="28"/>
      <w:sz w:val="32"/>
      <w:szCs w:val="32"/>
    </w:rPr>
  </w:style>
  <w:style w:type="paragraph" w:styleId="Nadpis9">
    <w:name w:val="heading 9"/>
    <w:aliases w:val="Druh správy"/>
    <w:basedOn w:val="Nadpis2"/>
    <w:next w:val="Normaltext"/>
    <w:qFormat/>
    <w:rsid w:val="001B2152"/>
    <w:pPr>
      <w:numPr>
        <w:ilvl w:val="0"/>
        <w:numId w:val="0"/>
      </w:numPr>
      <w:outlineLvl w:val="8"/>
    </w:pPr>
    <w:rPr>
      <w:caps w:val="0"/>
      <w:sz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59"/>
    <w:rsid w:val="00C525BD"/>
    <w:pPr>
      <w:spacing w:before="80"/>
    </w:pPr>
    <w:rPr>
      <w:rFonts w:ascii="Arial" w:hAnsi="Arial"/>
      <w:sz w:val="16"/>
    </w:rPr>
    <w:tblPr>
      <w:tblBorders>
        <w:top w:val="single" w:sz="4" w:space="0" w:color="29527B"/>
        <w:left w:val="single" w:sz="4" w:space="0" w:color="29527B"/>
        <w:bottom w:val="single" w:sz="4" w:space="0" w:color="29527B"/>
        <w:right w:val="single" w:sz="4" w:space="0" w:color="29527B"/>
        <w:insideH w:val="single" w:sz="4" w:space="0" w:color="29527B"/>
        <w:insideV w:val="single" w:sz="4" w:space="0" w:color="29527B"/>
      </w:tblBorders>
    </w:tblPr>
    <w:tcPr>
      <w:shd w:val="clear" w:color="auto" w:fill="auto"/>
    </w:tcPr>
    <w:tblStylePr w:type="firstRow">
      <w:pPr>
        <w:wordWrap/>
        <w:spacing w:beforeLines="0" w:beforeAutospacing="0"/>
      </w:pPr>
      <w:rPr>
        <w:rFonts w:ascii="Arial" w:hAnsi="Arial"/>
        <w:b w:val="0"/>
        <w:caps w:val="0"/>
        <w:smallCaps w:val="0"/>
        <w:strike w:val="0"/>
        <w:dstrike w:val="0"/>
        <w:vanish w:val="0"/>
        <w:color w:val="29527B"/>
        <w:sz w:val="20"/>
        <w:szCs w:val="20"/>
        <w:vertAlign w:val="baseline"/>
      </w:rPr>
    </w:tblStylePr>
  </w:style>
  <w:style w:type="paragraph" w:styleId="Popis">
    <w:name w:val="caption"/>
    <w:basedOn w:val="Normaltext"/>
    <w:next w:val="Normaltext"/>
    <w:link w:val="PopisChar"/>
    <w:qFormat/>
    <w:rsid w:val="006B1C25"/>
    <w:pPr>
      <w:keepNext/>
      <w:spacing w:before="0" w:after="180"/>
      <w:ind w:left="1134" w:hanging="1134"/>
      <w:jc w:val="center"/>
    </w:pPr>
    <w:rPr>
      <w:rFonts w:asciiTheme="minorHAnsi" w:hAnsiTheme="minorHAnsi" w:cstheme="minorHAnsi"/>
      <w:sz w:val="20"/>
    </w:rPr>
  </w:style>
  <w:style w:type="character" w:styleId="Odkaznavysvetlivku">
    <w:name w:val="endnote reference"/>
    <w:semiHidden/>
    <w:rsid w:val="00AF59A5"/>
    <w:rPr>
      <w:b/>
      <w:vertAlign w:val="superscript"/>
    </w:rPr>
  </w:style>
  <w:style w:type="paragraph" w:styleId="Textvysvetlivky">
    <w:name w:val="endnote text"/>
    <w:basedOn w:val="Normlny"/>
    <w:semiHidden/>
    <w:rsid w:val="009117DB"/>
    <w:pPr>
      <w:keepLines/>
      <w:spacing w:line="220" w:lineRule="atLeast"/>
    </w:pPr>
    <w:rPr>
      <w:sz w:val="18"/>
    </w:rPr>
  </w:style>
  <w:style w:type="paragraph" w:styleId="Pta">
    <w:name w:val="footer"/>
    <w:basedOn w:val="Normaltext"/>
    <w:link w:val="PtaChar"/>
    <w:uiPriority w:val="99"/>
    <w:rsid w:val="00416DED"/>
    <w:pPr>
      <w:keepLines/>
      <w:tabs>
        <w:tab w:val="center" w:pos="4320"/>
        <w:tab w:val="right" w:pos="8640"/>
      </w:tabs>
      <w:spacing w:after="0"/>
      <w:jc w:val="right"/>
    </w:pPr>
    <w:rPr>
      <w:spacing w:val="-4"/>
      <w:sz w:val="16"/>
      <w:szCs w:val="16"/>
    </w:rPr>
  </w:style>
  <w:style w:type="character" w:styleId="Odkaznapoznmkupodiarou">
    <w:name w:val="footnote reference"/>
    <w:semiHidden/>
    <w:rsid w:val="00AF59A5"/>
    <w:rPr>
      <w:vertAlign w:val="superscript"/>
    </w:rPr>
  </w:style>
  <w:style w:type="paragraph" w:styleId="Textpoznmkypodiarou">
    <w:name w:val="footnote text"/>
    <w:basedOn w:val="Normaltext"/>
    <w:rsid w:val="00E06F0E"/>
    <w:pPr>
      <w:keepLines/>
      <w:spacing w:after="0"/>
      <w:jc w:val="left"/>
    </w:pPr>
    <w:rPr>
      <w:sz w:val="18"/>
    </w:rPr>
  </w:style>
  <w:style w:type="paragraph" w:styleId="Register1">
    <w:name w:val="index 1"/>
    <w:basedOn w:val="Normlny"/>
    <w:semiHidden/>
    <w:rsid w:val="009117DB"/>
    <w:pPr>
      <w:tabs>
        <w:tab w:val="right" w:pos="4080"/>
      </w:tabs>
      <w:spacing w:line="220" w:lineRule="atLeast"/>
      <w:ind w:left="360" w:hanging="360"/>
    </w:pPr>
  </w:style>
  <w:style w:type="paragraph" w:styleId="Register2">
    <w:name w:val="index 2"/>
    <w:basedOn w:val="Normlny"/>
    <w:semiHidden/>
    <w:rsid w:val="009117DB"/>
    <w:pPr>
      <w:tabs>
        <w:tab w:val="right" w:pos="4080"/>
      </w:tabs>
      <w:spacing w:line="220" w:lineRule="atLeast"/>
      <w:ind w:left="720" w:hanging="360"/>
    </w:pPr>
  </w:style>
  <w:style w:type="paragraph" w:styleId="Register3">
    <w:name w:val="index 3"/>
    <w:basedOn w:val="Normlny"/>
    <w:semiHidden/>
    <w:rsid w:val="009117DB"/>
    <w:pPr>
      <w:tabs>
        <w:tab w:val="right" w:pos="4080"/>
      </w:tabs>
      <w:spacing w:line="220" w:lineRule="atLeast"/>
      <w:ind w:left="720" w:hanging="360"/>
    </w:pPr>
  </w:style>
  <w:style w:type="paragraph" w:styleId="Register4">
    <w:name w:val="index 4"/>
    <w:basedOn w:val="Normlny"/>
    <w:semiHidden/>
    <w:rsid w:val="009117DB"/>
    <w:pPr>
      <w:tabs>
        <w:tab w:val="right" w:pos="4080"/>
      </w:tabs>
      <w:spacing w:line="220" w:lineRule="atLeast"/>
      <w:ind w:left="720" w:hanging="360"/>
    </w:pPr>
  </w:style>
  <w:style w:type="paragraph" w:styleId="Register5">
    <w:name w:val="index 5"/>
    <w:basedOn w:val="Normlny"/>
    <w:semiHidden/>
    <w:rsid w:val="009117DB"/>
    <w:pPr>
      <w:tabs>
        <w:tab w:val="right" w:pos="4080"/>
      </w:tabs>
      <w:spacing w:line="220" w:lineRule="atLeast"/>
      <w:ind w:left="720" w:hanging="360"/>
    </w:pPr>
  </w:style>
  <w:style w:type="paragraph" w:styleId="Nadpisregistra">
    <w:name w:val="index heading"/>
    <w:basedOn w:val="Normlny"/>
    <w:next w:val="Register1"/>
    <w:semiHidden/>
    <w:rsid w:val="009117DB"/>
    <w:pPr>
      <w:keepNext/>
      <w:spacing w:before="440" w:line="220" w:lineRule="atLeast"/>
    </w:pPr>
    <w:rPr>
      <w:b/>
      <w:caps/>
      <w:sz w:val="24"/>
    </w:rPr>
  </w:style>
  <w:style w:type="paragraph" w:styleId="Textmakra">
    <w:name w:val="macro"/>
    <w:basedOn w:val="Normlny"/>
    <w:semiHidden/>
    <w:rsid w:val="00AF59A5"/>
    <w:rPr>
      <w:rFonts w:ascii="Courier New" w:hAnsi="Courier New"/>
    </w:rPr>
  </w:style>
  <w:style w:type="paragraph" w:customStyle="1" w:styleId="TitleCover">
    <w:name w:val="Title Cover"/>
    <w:basedOn w:val="Normaltext"/>
    <w:next w:val="Normaltext"/>
    <w:link w:val="TitleCoverChar"/>
    <w:rsid w:val="00566A85"/>
    <w:pPr>
      <w:keepNext/>
      <w:keepLines/>
      <w:jc w:val="left"/>
    </w:pPr>
    <w:rPr>
      <w:color w:val="29527B"/>
      <w:kern w:val="28"/>
      <w:sz w:val="60"/>
      <w:szCs w:val="56"/>
    </w:rPr>
  </w:style>
  <w:style w:type="character" w:customStyle="1" w:styleId="TitleCoverChar">
    <w:name w:val="Title Cover Char"/>
    <w:link w:val="TitleCover"/>
    <w:rsid w:val="00566A85"/>
    <w:rPr>
      <w:rFonts w:ascii="Calibri" w:hAnsi="Calibri"/>
      <w:color w:val="29527B"/>
      <w:kern w:val="28"/>
      <w:sz w:val="60"/>
      <w:szCs w:val="56"/>
      <w:lang w:eastAsia="en-US"/>
    </w:rPr>
  </w:style>
  <w:style w:type="paragraph" w:styleId="Zoznamobrzkov">
    <w:name w:val="table of figures"/>
    <w:basedOn w:val="Normlny"/>
    <w:uiPriority w:val="99"/>
    <w:rsid w:val="002F7F58"/>
    <w:pPr>
      <w:tabs>
        <w:tab w:val="left" w:pos="1134"/>
        <w:tab w:val="right" w:leader="dot" w:pos="9356"/>
      </w:tabs>
      <w:spacing w:line="240" w:lineRule="auto"/>
      <w:ind w:left="1134" w:right="567" w:hanging="1134"/>
    </w:pPr>
    <w:rPr>
      <w:color w:val="29527B"/>
    </w:rPr>
  </w:style>
  <w:style w:type="paragraph" w:styleId="Obsah1">
    <w:name w:val="toc 1"/>
    <w:basedOn w:val="Normaltext"/>
    <w:uiPriority w:val="39"/>
    <w:qFormat/>
    <w:rsid w:val="00AE2927"/>
    <w:pPr>
      <w:tabs>
        <w:tab w:val="left" w:pos="567"/>
        <w:tab w:val="right" w:leader="dot" w:pos="9356"/>
      </w:tabs>
      <w:spacing w:before="100" w:after="60"/>
      <w:ind w:left="204" w:right="567" w:hanging="204"/>
      <w:jc w:val="left"/>
    </w:pPr>
    <w:rPr>
      <w:b/>
      <w:caps/>
      <w:color w:val="29527B"/>
      <w:spacing w:val="-4"/>
      <w:szCs w:val="32"/>
    </w:rPr>
  </w:style>
  <w:style w:type="paragraph" w:styleId="Obsah2">
    <w:name w:val="toc 2"/>
    <w:basedOn w:val="Normlny"/>
    <w:uiPriority w:val="39"/>
    <w:qFormat/>
    <w:rsid w:val="00F44D88"/>
    <w:pPr>
      <w:tabs>
        <w:tab w:val="left" w:pos="737"/>
        <w:tab w:val="right" w:leader="dot" w:pos="9356"/>
      </w:tabs>
      <w:spacing w:before="60" w:after="60" w:line="240" w:lineRule="auto"/>
      <w:ind w:left="567" w:right="567" w:hanging="340"/>
    </w:pPr>
    <w:rPr>
      <w:color w:val="29527B"/>
    </w:rPr>
  </w:style>
  <w:style w:type="paragraph" w:styleId="Obsah3">
    <w:name w:val="toc 3"/>
    <w:basedOn w:val="Normlny"/>
    <w:uiPriority w:val="39"/>
    <w:qFormat/>
    <w:rsid w:val="000F44CB"/>
    <w:pPr>
      <w:tabs>
        <w:tab w:val="left" w:pos="907"/>
        <w:tab w:val="right" w:leader="dot" w:pos="9356"/>
      </w:tabs>
      <w:spacing w:before="60" w:after="60" w:line="240" w:lineRule="auto"/>
      <w:ind w:left="924" w:right="567" w:hanging="527"/>
    </w:pPr>
    <w:rPr>
      <w:color w:val="29527B"/>
    </w:rPr>
  </w:style>
  <w:style w:type="paragraph" w:styleId="Obsah4">
    <w:name w:val="toc 4"/>
    <w:basedOn w:val="Normlny"/>
    <w:uiPriority w:val="39"/>
    <w:rsid w:val="00D76E99"/>
    <w:pPr>
      <w:tabs>
        <w:tab w:val="left" w:pos="1077"/>
        <w:tab w:val="right" w:leader="dot" w:pos="9356"/>
      </w:tabs>
      <w:spacing w:before="60" w:after="60" w:line="240" w:lineRule="auto"/>
      <w:ind w:left="1298" w:right="567" w:hanging="731"/>
    </w:pPr>
    <w:rPr>
      <w:color w:val="29527B"/>
    </w:rPr>
  </w:style>
  <w:style w:type="paragraph" w:styleId="Obsah5">
    <w:name w:val="toc 5"/>
    <w:basedOn w:val="Normlny"/>
    <w:semiHidden/>
    <w:rsid w:val="00185310"/>
    <w:pPr>
      <w:tabs>
        <w:tab w:val="right" w:leader="dot" w:pos="9356"/>
      </w:tabs>
      <w:spacing w:before="60" w:after="60"/>
      <w:ind w:left="1248" w:right="567" w:hanging="794"/>
    </w:pPr>
  </w:style>
  <w:style w:type="character" w:styleId="Odkaznakomentr">
    <w:name w:val="annotation reference"/>
    <w:uiPriority w:val="99"/>
    <w:semiHidden/>
    <w:rsid w:val="00AF59A5"/>
    <w:rPr>
      <w:sz w:val="16"/>
    </w:rPr>
  </w:style>
  <w:style w:type="paragraph" w:styleId="Textkomentra">
    <w:name w:val="annotation text"/>
    <w:basedOn w:val="Normlny"/>
    <w:link w:val="TextkomentraChar"/>
    <w:uiPriority w:val="99"/>
    <w:semiHidden/>
    <w:rsid w:val="009117DB"/>
    <w:pPr>
      <w:keepLines/>
      <w:spacing w:line="220" w:lineRule="atLeast"/>
    </w:pPr>
    <w:rPr>
      <w:sz w:val="18"/>
    </w:rPr>
  </w:style>
  <w:style w:type="paragraph" w:styleId="Zoznamcitci">
    <w:name w:val="table of authorities"/>
    <w:basedOn w:val="Normlny"/>
    <w:semiHidden/>
    <w:rsid w:val="00AF59A5"/>
    <w:pPr>
      <w:tabs>
        <w:tab w:val="right" w:leader="dot" w:pos="7560"/>
      </w:tabs>
      <w:ind w:left="1440" w:hanging="360"/>
    </w:pPr>
  </w:style>
  <w:style w:type="paragraph" w:styleId="Hlavikazoznamucitci">
    <w:name w:val="toa heading"/>
    <w:basedOn w:val="Normlny"/>
    <w:next w:val="Zoznamcitci"/>
    <w:autoRedefine/>
    <w:semiHidden/>
    <w:rsid w:val="00915FA9"/>
    <w:pPr>
      <w:keepNext/>
      <w:numPr>
        <w:numId w:val="11"/>
      </w:numPr>
      <w:spacing w:before="240" w:line="360" w:lineRule="exact"/>
    </w:pPr>
    <w:rPr>
      <w:rFonts w:ascii="Arial" w:hAnsi="Arial"/>
      <w:b/>
      <w:kern w:val="28"/>
      <w:sz w:val="28"/>
    </w:rPr>
  </w:style>
  <w:style w:type="character" w:styleId="Hypertextovprepojenie">
    <w:name w:val="Hyperlink"/>
    <w:uiPriority w:val="99"/>
    <w:rsid w:val="00DE2142"/>
    <w:rPr>
      <w:color w:val="auto"/>
      <w:u w:val="single"/>
    </w:rPr>
  </w:style>
  <w:style w:type="paragraph" w:styleId="Textbubliny">
    <w:name w:val="Balloon Text"/>
    <w:basedOn w:val="Normlny"/>
    <w:semiHidden/>
    <w:rsid w:val="00BE44A9"/>
    <w:rPr>
      <w:rFonts w:ascii="Tahoma" w:hAnsi="Tahoma" w:cs="Tahoma"/>
      <w:sz w:val="16"/>
      <w:szCs w:val="16"/>
    </w:rPr>
  </w:style>
  <w:style w:type="paragraph" w:styleId="z-Spodnokrajformulra">
    <w:name w:val="HTML Bottom of Form"/>
    <w:basedOn w:val="Normlny"/>
    <w:next w:val="Normlny"/>
    <w:hidden/>
    <w:rsid w:val="00C65E82"/>
    <w:pPr>
      <w:pBdr>
        <w:top w:val="single" w:sz="6" w:space="1" w:color="auto"/>
      </w:pBdr>
      <w:jc w:val="center"/>
    </w:pPr>
    <w:rPr>
      <w:rFonts w:ascii="Arial" w:hAnsi="Arial" w:cs="Arial"/>
      <w:vanish/>
      <w:sz w:val="16"/>
      <w:szCs w:val="16"/>
    </w:rPr>
  </w:style>
  <w:style w:type="paragraph" w:styleId="z-Hornokrajformulra">
    <w:name w:val="HTML Top of Form"/>
    <w:basedOn w:val="Normlny"/>
    <w:next w:val="Normlny"/>
    <w:hidden/>
    <w:rsid w:val="00C65E82"/>
    <w:pPr>
      <w:pBdr>
        <w:bottom w:val="single" w:sz="6" w:space="1" w:color="auto"/>
      </w:pBdr>
      <w:jc w:val="center"/>
    </w:pPr>
    <w:rPr>
      <w:rFonts w:ascii="Arial" w:hAnsi="Arial" w:cs="Arial"/>
      <w:vanish/>
      <w:sz w:val="16"/>
      <w:szCs w:val="16"/>
    </w:rPr>
  </w:style>
  <w:style w:type="paragraph" w:customStyle="1" w:styleId="Basicinfo">
    <w:name w:val="Basic info"/>
    <w:basedOn w:val="Normaltext"/>
    <w:rsid w:val="00566A85"/>
    <w:pPr>
      <w:keepNext/>
      <w:keepLines/>
      <w:spacing w:after="0" w:line="300" w:lineRule="exact"/>
      <w:ind w:right="-147"/>
    </w:pPr>
    <w:rPr>
      <w:color w:val="29527B"/>
      <w:spacing w:val="-14"/>
      <w:kern w:val="28"/>
      <w:sz w:val="24"/>
    </w:rPr>
  </w:style>
  <w:style w:type="paragraph" w:customStyle="1" w:styleId="VUD">
    <w:name w:val="VUD"/>
    <w:aliases w:val="a.s."/>
    <w:basedOn w:val="Normaltext"/>
    <w:rsid w:val="00533E4B"/>
    <w:pPr>
      <w:jc w:val="right"/>
    </w:pPr>
    <w:rPr>
      <w:rFonts w:ascii="Swis721 Md CE" w:hAnsi="Swis721 Md CE"/>
      <w:color w:val="29527B"/>
      <w:sz w:val="20"/>
    </w:rPr>
  </w:style>
  <w:style w:type="paragraph" w:customStyle="1" w:styleId="Titleheader">
    <w:name w:val="Title header"/>
    <w:basedOn w:val="Normaltext"/>
    <w:autoRedefine/>
    <w:semiHidden/>
    <w:rsid w:val="009117DB"/>
    <w:pPr>
      <w:keepLines/>
      <w:tabs>
        <w:tab w:val="center" w:pos="4320"/>
        <w:tab w:val="right" w:pos="8640"/>
      </w:tabs>
      <w:jc w:val="right"/>
    </w:pPr>
    <w:rPr>
      <w:spacing w:val="-4"/>
      <w:sz w:val="24"/>
      <w:szCs w:val="24"/>
    </w:rPr>
  </w:style>
  <w:style w:type="paragraph" w:customStyle="1" w:styleId="Basicinfoheader">
    <w:name w:val="Basic info header"/>
    <w:basedOn w:val="Normaltext"/>
    <w:rsid w:val="00AE4BA9"/>
    <w:pPr>
      <w:spacing w:after="0" w:line="300" w:lineRule="exact"/>
    </w:pPr>
  </w:style>
  <w:style w:type="paragraph" w:customStyle="1" w:styleId="Normaltext">
    <w:name w:val="Normal text"/>
    <w:link w:val="NormaltextChar"/>
    <w:rsid w:val="00566A85"/>
    <w:pPr>
      <w:spacing w:before="120" w:after="120"/>
      <w:jc w:val="both"/>
    </w:pPr>
    <w:rPr>
      <w:rFonts w:ascii="Calibri" w:hAnsi="Calibri"/>
      <w:sz w:val="22"/>
      <w:szCs w:val="22"/>
      <w:lang w:eastAsia="en-US"/>
    </w:rPr>
  </w:style>
  <w:style w:type="character" w:styleId="Zvraznenie">
    <w:name w:val="Emphasis"/>
    <w:uiPriority w:val="20"/>
    <w:qFormat/>
    <w:rsid w:val="00682DE3"/>
    <w:rPr>
      <w:i/>
      <w:iCs/>
    </w:rPr>
  </w:style>
  <w:style w:type="paragraph" w:styleId="Predmetkomentra">
    <w:name w:val="annotation subject"/>
    <w:basedOn w:val="Textkomentra"/>
    <w:next w:val="Textkomentra"/>
    <w:semiHidden/>
    <w:rsid w:val="006120E0"/>
    <w:pPr>
      <w:keepLines w:val="0"/>
      <w:spacing w:line="240" w:lineRule="auto"/>
    </w:pPr>
    <w:rPr>
      <w:b/>
      <w:bCs/>
      <w:sz w:val="20"/>
      <w:szCs w:val="20"/>
    </w:rPr>
  </w:style>
  <w:style w:type="paragraph" w:styleId="truktradokumentu">
    <w:name w:val="Document Map"/>
    <w:basedOn w:val="Normlny"/>
    <w:semiHidden/>
    <w:rsid w:val="006120E0"/>
    <w:pPr>
      <w:shd w:val="clear" w:color="auto" w:fill="000080"/>
    </w:pPr>
    <w:rPr>
      <w:rFonts w:ascii="Tahoma" w:hAnsi="Tahoma" w:cs="Tahoma"/>
      <w:sz w:val="20"/>
      <w:szCs w:val="20"/>
    </w:rPr>
  </w:style>
  <w:style w:type="paragraph" w:styleId="Register6">
    <w:name w:val="index 6"/>
    <w:basedOn w:val="Normlny"/>
    <w:next w:val="Normlny"/>
    <w:autoRedefine/>
    <w:semiHidden/>
    <w:rsid w:val="006120E0"/>
    <w:pPr>
      <w:ind w:left="1440" w:hanging="240"/>
    </w:pPr>
  </w:style>
  <w:style w:type="paragraph" w:styleId="Register7">
    <w:name w:val="index 7"/>
    <w:basedOn w:val="Normlny"/>
    <w:next w:val="Normlny"/>
    <w:autoRedefine/>
    <w:semiHidden/>
    <w:rsid w:val="006120E0"/>
    <w:pPr>
      <w:ind w:left="1680" w:hanging="240"/>
    </w:pPr>
  </w:style>
  <w:style w:type="paragraph" w:styleId="Register8">
    <w:name w:val="index 8"/>
    <w:basedOn w:val="Normlny"/>
    <w:next w:val="Normlny"/>
    <w:autoRedefine/>
    <w:semiHidden/>
    <w:rsid w:val="006120E0"/>
    <w:pPr>
      <w:ind w:left="1920" w:hanging="240"/>
    </w:pPr>
  </w:style>
  <w:style w:type="paragraph" w:styleId="Register9">
    <w:name w:val="index 9"/>
    <w:basedOn w:val="Normlny"/>
    <w:next w:val="Normlny"/>
    <w:autoRedefine/>
    <w:semiHidden/>
    <w:rsid w:val="006120E0"/>
    <w:pPr>
      <w:ind w:left="2160" w:hanging="240"/>
    </w:pPr>
  </w:style>
  <w:style w:type="paragraph" w:styleId="Obsah6">
    <w:name w:val="toc 6"/>
    <w:basedOn w:val="Normlny"/>
    <w:next w:val="Normlny"/>
    <w:autoRedefine/>
    <w:semiHidden/>
    <w:rsid w:val="00555379"/>
    <w:pPr>
      <w:ind w:left="567"/>
    </w:pPr>
  </w:style>
  <w:style w:type="paragraph" w:styleId="Obsah7">
    <w:name w:val="toc 7"/>
    <w:basedOn w:val="Normlny"/>
    <w:next w:val="Normlny"/>
    <w:autoRedefine/>
    <w:semiHidden/>
    <w:rsid w:val="006120E0"/>
    <w:pPr>
      <w:ind w:left="1440"/>
    </w:pPr>
  </w:style>
  <w:style w:type="paragraph" w:styleId="Obsah8">
    <w:name w:val="toc 8"/>
    <w:basedOn w:val="Normlny"/>
    <w:next w:val="Normlny"/>
    <w:uiPriority w:val="39"/>
    <w:rsid w:val="008742BE"/>
    <w:pPr>
      <w:tabs>
        <w:tab w:val="left" w:leader="dot" w:pos="567"/>
        <w:tab w:val="right" w:leader="dot" w:pos="9356"/>
      </w:tabs>
      <w:spacing w:before="60" w:after="60" w:line="240" w:lineRule="auto"/>
    </w:pPr>
    <w:rPr>
      <w:b/>
      <w:caps/>
      <w:color w:val="29527B"/>
    </w:rPr>
  </w:style>
  <w:style w:type="paragraph" w:customStyle="1" w:styleId="Nadpisprlohy">
    <w:name w:val="Nadpis prílohy"/>
    <w:basedOn w:val="Nadpis8"/>
    <w:rsid w:val="00DB5A35"/>
    <w:pPr>
      <w:spacing w:before="5400"/>
      <w:jc w:val="center"/>
    </w:pPr>
  </w:style>
  <w:style w:type="table" w:styleId="Stpcetabuky3">
    <w:name w:val="Table Columns 3"/>
    <w:basedOn w:val="Normlnatabuka"/>
    <w:semiHidden/>
    <w:rsid w:val="00933E5A"/>
    <w:pPr>
      <w:spacing w:before="12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ukaspriestorovmiefektmi3">
    <w:name w:val="Table 3D effects 3"/>
    <w:basedOn w:val="Normlnatabuka"/>
    <w:semiHidden/>
    <w:rsid w:val="003C4724"/>
    <w:pPr>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riekatabuky1">
    <w:name w:val="Table Grid 1"/>
    <w:basedOn w:val="Normlnatabuka"/>
    <w:rsid w:val="00C525BD"/>
    <w:pPr>
      <w:spacing w:before="120"/>
    </w:pPr>
    <w:rPr>
      <w:rFonts w:ascii="Arial" w:hAnsi="Arial"/>
      <w:sz w:val="16"/>
    </w:rPr>
    <w:tblPr>
      <w:tblBorders>
        <w:top w:val="single" w:sz="6" w:space="0" w:color="29527B"/>
        <w:left w:val="single" w:sz="6" w:space="0" w:color="29527B"/>
        <w:bottom w:val="single" w:sz="6" w:space="0" w:color="29527B"/>
        <w:right w:val="single" w:sz="6" w:space="0" w:color="29527B"/>
        <w:insideH w:val="single" w:sz="6" w:space="0" w:color="29527B"/>
        <w:insideV w:val="single" w:sz="6" w:space="0" w:color="29527B"/>
      </w:tblBorders>
    </w:tblPr>
    <w:tcPr>
      <w:shd w:val="clear" w:color="auto" w:fill="auto"/>
    </w:tcPr>
    <w:tblStylePr w:type="lastRow">
      <w:rPr>
        <w:i w:val="0"/>
        <w:iCs/>
      </w:rPr>
      <w:tblPr/>
      <w:tcPr>
        <w:tcBorders>
          <w:tl2br w:val="none" w:sz="0" w:space="0" w:color="auto"/>
          <w:tr2bl w:val="none" w:sz="0" w:space="0" w:color="auto"/>
        </w:tcBorders>
      </w:tcPr>
    </w:tblStylePr>
    <w:tblStylePr w:type="firstCol">
      <w:rPr>
        <w:rFonts w:ascii="Arial" w:hAnsi="Arial"/>
        <w:b w:val="0"/>
        <w:i w:val="0"/>
        <w:color w:val="29527B"/>
        <w:sz w:val="20"/>
        <w:szCs w:val="20"/>
      </w:rPr>
    </w:tblStylePr>
    <w:tblStylePr w:type="lastCol">
      <w:rPr>
        <w:i w:val="0"/>
        <w:iCs/>
      </w:rPr>
      <w:tblPr/>
      <w:tcPr>
        <w:tcBorders>
          <w:tl2br w:val="none" w:sz="0" w:space="0" w:color="auto"/>
          <w:tr2bl w:val="none" w:sz="0" w:space="0" w:color="auto"/>
        </w:tcBorders>
      </w:tcPr>
    </w:tblStylePr>
  </w:style>
  <w:style w:type="character" w:styleId="PouitHypertextovPrepojenie">
    <w:name w:val="FollowedHyperlink"/>
    <w:uiPriority w:val="99"/>
    <w:semiHidden/>
    <w:rsid w:val="00BB50F1"/>
    <w:rPr>
      <w:color w:val="800080"/>
      <w:u w:val="single"/>
    </w:rPr>
  </w:style>
  <w:style w:type="paragraph" w:styleId="Hlavika">
    <w:name w:val="header"/>
    <w:basedOn w:val="Normlny"/>
    <w:semiHidden/>
    <w:rsid w:val="002876AD"/>
    <w:pPr>
      <w:tabs>
        <w:tab w:val="center" w:pos="4536"/>
        <w:tab w:val="right" w:pos="9072"/>
      </w:tabs>
    </w:pPr>
  </w:style>
  <w:style w:type="paragraph" w:styleId="Podtitul">
    <w:name w:val="Subtitle"/>
    <w:basedOn w:val="Normaltext"/>
    <w:qFormat/>
    <w:rsid w:val="00566A85"/>
    <w:pPr>
      <w:spacing w:before="567" w:after="0"/>
      <w:jc w:val="left"/>
      <w:outlineLvl w:val="1"/>
    </w:pPr>
    <w:rPr>
      <w:rFonts w:cs="Arial"/>
      <w:color w:val="29527B"/>
      <w:sz w:val="48"/>
      <w:szCs w:val="44"/>
    </w:rPr>
  </w:style>
  <w:style w:type="numbering" w:styleId="111111">
    <w:name w:val="Outline List 2"/>
    <w:basedOn w:val="Bezzoznamu"/>
    <w:semiHidden/>
    <w:rsid w:val="00F539CA"/>
    <w:pPr>
      <w:numPr>
        <w:numId w:val="12"/>
      </w:numPr>
    </w:pPr>
  </w:style>
  <w:style w:type="numbering" w:styleId="1ai">
    <w:name w:val="Outline List 1"/>
    <w:basedOn w:val="Bezzoznamu"/>
    <w:semiHidden/>
    <w:rsid w:val="00F539CA"/>
    <w:pPr>
      <w:numPr>
        <w:numId w:val="13"/>
      </w:numPr>
    </w:pPr>
  </w:style>
  <w:style w:type="numbering" w:styleId="lnokalebosekcia">
    <w:name w:val="Outline List 3"/>
    <w:basedOn w:val="Bezzoznamu"/>
    <w:semiHidden/>
    <w:rsid w:val="00F539CA"/>
    <w:pPr>
      <w:numPr>
        <w:numId w:val="14"/>
      </w:numPr>
    </w:pPr>
  </w:style>
  <w:style w:type="paragraph" w:styleId="Oznaitext">
    <w:name w:val="Block Text"/>
    <w:basedOn w:val="Normlny"/>
    <w:semiHidden/>
    <w:rsid w:val="00F539CA"/>
    <w:pPr>
      <w:ind w:left="1440" w:right="1440"/>
    </w:pPr>
  </w:style>
  <w:style w:type="paragraph" w:styleId="Zkladntext">
    <w:name w:val="Body Text"/>
    <w:basedOn w:val="Normlny"/>
    <w:semiHidden/>
    <w:rsid w:val="00F539CA"/>
  </w:style>
  <w:style w:type="paragraph" w:styleId="Zkladntext2">
    <w:name w:val="Body Text 2"/>
    <w:basedOn w:val="Normlny"/>
    <w:semiHidden/>
    <w:rsid w:val="00F539CA"/>
    <w:pPr>
      <w:spacing w:line="480" w:lineRule="auto"/>
    </w:pPr>
  </w:style>
  <w:style w:type="paragraph" w:styleId="Zkladntext3">
    <w:name w:val="Body Text 3"/>
    <w:basedOn w:val="Normlny"/>
    <w:semiHidden/>
    <w:rsid w:val="00F539CA"/>
    <w:rPr>
      <w:sz w:val="16"/>
      <w:szCs w:val="16"/>
    </w:rPr>
  </w:style>
  <w:style w:type="paragraph" w:styleId="Prvzarkazkladnhotextu">
    <w:name w:val="Body Text First Indent"/>
    <w:basedOn w:val="Zkladntext"/>
    <w:semiHidden/>
    <w:rsid w:val="00F539CA"/>
    <w:pPr>
      <w:ind w:firstLine="210"/>
    </w:pPr>
  </w:style>
  <w:style w:type="paragraph" w:styleId="Zarkazkladnhotextu">
    <w:name w:val="Body Text Indent"/>
    <w:basedOn w:val="Normlny"/>
    <w:semiHidden/>
    <w:rsid w:val="00F539CA"/>
    <w:pPr>
      <w:ind w:left="283"/>
    </w:pPr>
  </w:style>
  <w:style w:type="paragraph" w:styleId="Prvzarkazkladnhotextu2">
    <w:name w:val="Body Text First Indent 2"/>
    <w:basedOn w:val="Zarkazkladnhotextu"/>
    <w:semiHidden/>
    <w:rsid w:val="00F539CA"/>
    <w:pPr>
      <w:ind w:firstLine="210"/>
    </w:pPr>
  </w:style>
  <w:style w:type="paragraph" w:styleId="Zarkazkladnhotextu2">
    <w:name w:val="Body Text Indent 2"/>
    <w:basedOn w:val="Normlny"/>
    <w:semiHidden/>
    <w:rsid w:val="00F539CA"/>
    <w:pPr>
      <w:spacing w:line="480" w:lineRule="auto"/>
      <w:ind w:left="283"/>
    </w:pPr>
  </w:style>
  <w:style w:type="paragraph" w:styleId="Zarkazkladnhotextu3">
    <w:name w:val="Body Text Indent 3"/>
    <w:basedOn w:val="Normlny"/>
    <w:semiHidden/>
    <w:rsid w:val="00F539CA"/>
    <w:pPr>
      <w:ind w:left="283"/>
    </w:pPr>
    <w:rPr>
      <w:sz w:val="16"/>
      <w:szCs w:val="16"/>
    </w:rPr>
  </w:style>
  <w:style w:type="paragraph" w:styleId="Zver">
    <w:name w:val="Closing"/>
    <w:basedOn w:val="Normlny"/>
    <w:semiHidden/>
    <w:rsid w:val="00F539CA"/>
    <w:pPr>
      <w:ind w:left="4252"/>
    </w:pPr>
  </w:style>
  <w:style w:type="paragraph" w:styleId="Dtum">
    <w:name w:val="Date"/>
    <w:basedOn w:val="Normlny"/>
    <w:next w:val="Normlny"/>
    <w:semiHidden/>
    <w:rsid w:val="00F539CA"/>
  </w:style>
  <w:style w:type="paragraph" w:styleId="Adresanaoblke">
    <w:name w:val="envelope address"/>
    <w:basedOn w:val="Normlny"/>
    <w:semiHidden/>
    <w:rsid w:val="00F539CA"/>
    <w:pPr>
      <w:framePr w:w="7920" w:h="1980" w:hRule="exact" w:hSpace="141" w:wrap="auto" w:hAnchor="page" w:xAlign="center" w:yAlign="bottom"/>
      <w:ind w:left="2880"/>
    </w:pPr>
    <w:rPr>
      <w:rFonts w:cs="Arial"/>
      <w:sz w:val="24"/>
    </w:rPr>
  </w:style>
  <w:style w:type="paragraph" w:styleId="Spiatonadresanaoblke">
    <w:name w:val="envelope return"/>
    <w:basedOn w:val="Normlny"/>
    <w:semiHidden/>
    <w:rsid w:val="00F539CA"/>
    <w:rPr>
      <w:rFonts w:cs="Arial"/>
      <w:szCs w:val="20"/>
    </w:rPr>
  </w:style>
  <w:style w:type="character" w:styleId="SkratkaHTML">
    <w:name w:val="HTML Acronym"/>
    <w:basedOn w:val="Predvolenpsmoodseku"/>
    <w:semiHidden/>
    <w:rsid w:val="00F539CA"/>
  </w:style>
  <w:style w:type="paragraph" w:styleId="AdresaHTML">
    <w:name w:val="HTML Address"/>
    <w:basedOn w:val="Normlny"/>
    <w:semiHidden/>
    <w:rsid w:val="00F539CA"/>
    <w:rPr>
      <w:i/>
      <w:iCs/>
    </w:rPr>
  </w:style>
  <w:style w:type="character" w:styleId="CitciaHTML">
    <w:name w:val="HTML Cite"/>
    <w:semiHidden/>
    <w:rsid w:val="00F539CA"/>
    <w:rPr>
      <w:i/>
      <w:iCs/>
    </w:rPr>
  </w:style>
  <w:style w:type="character" w:styleId="KdHTML">
    <w:name w:val="HTML Code"/>
    <w:semiHidden/>
    <w:rsid w:val="00F539CA"/>
    <w:rPr>
      <w:rFonts w:ascii="Courier New" w:hAnsi="Courier New" w:cs="Courier New"/>
      <w:sz w:val="20"/>
      <w:szCs w:val="20"/>
    </w:rPr>
  </w:style>
  <w:style w:type="character" w:styleId="DefinciaHTML">
    <w:name w:val="HTML Definition"/>
    <w:semiHidden/>
    <w:rsid w:val="00F539CA"/>
    <w:rPr>
      <w:i/>
      <w:iCs/>
    </w:rPr>
  </w:style>
  <w:style w:type="character" w:styleId="KlvesnicaHTML">
    <w:name w:val="HTML Keyboard"/>
    <w:semiHidden/>
    <w:rsid w:val="00F539CA"/>
    <w:rPr>
      <w:rFonts w:ascii="Courier New" w:hAnsi="Courier New" w:cs="Courier New"/>
      <w:sz w:val="20"/>
      <w:szCs w:val="20"/>
    </w:rPr>
  </w:style>
  <w:style w:type="paragraph" w:styleId="PredformtovanHTML">
    <w:name w:val="HTML Preformatted"/>
    <w:basedOn w:val="Normlny"/>
    <w:semiHidden/>
    <w:rsid w:val="00F539CA"/>
    <w:rPr>
      <w:rFonts w:ascii="Courier New" w:hAnsi="Courier New" w:cs="Courier New"/>
      <w:szCs w:val="20"/>
    </w:rPr>
  </w:style>
  <w:style w:type="character" w:styleId="UkkaHTML">
    <w:name w:val="HTML Sample"/>
    <w:semiHidden/>
    <w:rsid w:val="00F539CA"/>
    <w:rPr>
      <w:rFonts w:ascii="Courier New" w:hAnsi="Courier New" w:cs="Courier New"/>
    </w:rPr>
  </w:style>
  <w:style w:type="character" w:styleId="PsacstrojHTML">
    <w:name w:val="HTML Typewriter"/>
    <w:semiHidden/>
    <w:rsid w:val="00F539CA"/>
    <w:rPr>
      <w:rFonts w:ascii="Courier New" w:hAnsi="Courier New" w:cs="Courier New"/>
      <w:sz w:val="20"/>
      <w:szCs w:val="20"/>
    </w:rPr>
  </w:style>
  <w:style w:type="character" w:styleId="PremennHTML">
    <w:name w:val="HTML Variable"/>
    <w:semiHidden/>
    <w:rsid w:val="00F539CA"/>
    <w:rPr>
      <w:i/>
      <w:iCs/>
    </w:rPr>
  </w:style>
  <w:style w:type="character" w:styleId="sloriadka">
    <w:name w:val="line number"/>
    <w:basedOn w:val="Predvolenpsmoodseku"/>
    <w:semiHidden/>
    <w:rsid w:val="00F539CA"/>
  </w:style>
  <w:style w:type="paragraph" w:styleId="Zoznam">
    <w:name w:val="List"/>
    <w:basedOn w:val="Normlny"/>
    <w:semiHidden/>
    <w:rsid w:val="00F539CA"/>
    <w:pPr>
      <w:ind w:left="283" w:hanging="283"/>
    </w:pPr>
  </w:style>
  <w:style w:type="paragraph" w:styleId="Zoznam2">
    <w:name w:val="List 2"/>
    <w:basedOn w:val="Normlny"/>
    <w:semiHidden/>
    <w:rsid w:val="00F539CA"/>
    <w:pPr>
      <w:ind w:left="566" w:hanging="283"/>
    </w:pPr>
  </w:style>
  <w:style w:type="paragraph" w:styleId="Zoznam3">
    <w:name w:val="List 3"/>
    <w:basedOn w:val="Normlny"/>
    <w:semiHidden/>
    <w:rsid w:val="00F539CA"/>
    <w:pPr>
      <w:ind w:left="849" w:hanging="283"/>
    </w:pPr>
  </w:style>
  <w:style w:type="paragraph" w:styleId="Zoznam4">
    <w:name w:val="List 4"/>
    <w:basedOn w:val="Normlny"/>
    <w:semiHidden/>
    <w:rsid w:val="00F539CA"/>
    <w:pPr>
      <w:ind w:left="1132" w:hanging="283"/>
    </w:pPr>
  </w:style>
  <w:style w:type="paragraph" w:styleId="Zoznam5">
    <w:name w:val="List 5"/>
    <w:basedOn w:val="Normlny"/>
    <w:semiHidden/>
    <w:rsid w:val="00F539CA"/>
    <w:pPr>
      <w:ind w:left="1415" w:hanging="283"/>
    </w:pPr>
  </w:style>
  <w:style w:type="paragraph" w:styleId="Zoznamsodrkami">
    <w:name w:val="List Bullet"/>
    <w:basedOn w:val="Normlny"/>
    <w:semiHidden/>
    <w:rsid w:val="00F539CA"/>
    <w:pPr>
      <w:numPr>
        <w:numId w:val="1"/>
      </w:numPr>
    </w:pPr>
  </w:style>
  <w:style w:type="paragraph" w:styleId="Zoznamsodrkami2">
    <w:name w:val="List Bullet 2"/>
    <w:basedOn w:val="Normlny"/>
    <w:semiHidden/>
    <w:rsid w:val="00F539CA"/>
    <w:pPr>
      <w:numPr>
        <w:numId w:val="2"/>
      </w:numPr>
    </w:pPr>
  </w:style>
  <w:style w:type="paragraph" w:styleId="Zoznamsodrkami3">
    <w:name w:val="List Bullet 3"/>
    <w:basedOn w:val="Normlny"/>
    <w:semiHidden/>
    <w:rsid w:val="00F539CA"/>
    <w:pPr>
      <w:numPr>
        <w:numId w:val="3"/>
      </w:numPr>
    </w:pPr>
  </w:style>
  <w:style w:type="paragraph" w:styleId="Zoznamsodrkami4">
    <w:name w:val="List Bullet 4"/>
    <w:basedOn w:val="Normlny"/>
    <w:semiHidden/>
    <w:rsid w:val="00F539CA"/>
    <w:pPr>
      <w:numPr>
        <w:numId w:val="4"/>
      </w:numPr>
    </w:pPr>
  </w:style>
  <w:style w:type="paragraph" w:styleId="Zoznamsodrkami5">
    <w:name w:val="List Bullet 5"/>
    <w:basedOn w:val="Normlny"/>
    <w:semiHidden/>
    <w:rsid w:val="00F539CA"/>
    <w:pPr>
      <w:numPr>
        <w:numId w:val="5"/>
      </w:numPr>
    </w:pPr>
  </w:style>
  <w:style w:type="paragraph" w:styleId="Pokraovaniezoznamu">
    <w:name w:val="List Continue"/>
    <w:basedOn w:val="Normlny"/>
    <w:semiHidden/>
    <w:rsid w:val="00F539CA"/>
    <w:pPr>
      <w:ind w:left="283"/>
    </w:pPr>
  </w:style>
  <w:style w:type="paragraph" w:styleId="Pokraovaniezoznamu2">
    <w:name w:val="List Continue 2"/>
    <w:basedOn w:val="Normlny"/>
    <w:semiHidden/>
    <w:rsid w:val="00F539CA"/>
    <w:pPr>
      <w:ind w:left="566"/>
    </w:pPr>
  </w:style>
  <w:style w:type="paragraph" w:styleId="Pokraovaniezoznamu3">
    <w:name w:val="List Continue 3"/>
    <w:basedOn w:val="Normlny"/>
    <w:semiHidden/>
    <w:rsid w:val="00F539CA"/>
    <w:pPr>
      <w:ind w:left="849"/>
    </w:pPr>
  </w:style>
  <w:style w:type="paragraph" w:styleId="Pokraovaniezoznamu4">
    <w:name w:val="List Continue 4"/>
    <w:basedOn w:val="Normlny"/>
    <w:semiHidden/>
    <w:rsid w:val="00F539CA"/>
    <w:pPr>
      <w:ind w:left="1132"/>
    </w:pPr>
  </w:style>
  <w:style w:type="paragraph" w:styleId="Pokraovaniezoznamu5">
    <w:name w:val="List Continue 5"/>
    <w:basedOn w:val="Normlny"/>
    <w:semiHidden/>
    <w:rsid w:val="00F539CA"/>
    <w:pPr>
      <w:ind w:left="1415"/>
    </w:pPr>
  </w:style>
  <w:style w:type="paragraph" w:styleId="slovanzoznam">
    <w:name w:val="List Number"/>
    <w:basedOn w:val="Normlny"/>
    <w:semiHidden/>
    <w:rsid w:val="00F539CA"/>
    <w:pPr>
      <w:numPr>
        <w:numId w:val="6"/>
      </w:numPr>
    </w:pPr>
  </w:style>
  <w:style w:type="paragraph" w:styleId="slovanzoznam2">
    <w:name w:val="List Number 2"/>
    <w:basedOn w:val="Normlny"/>
    <w:semiHidden/>
    <w:rsid w:val="00F539CA"/>
    <w:pPr>
      <w:numPr>
        <w:numId w:val="7"/>
      </w:numPr>
    </w:pPr>
  </w:style>
  <w:style w:type="paragraph" w:styleId="slovanzoznam3">
    <w:name w:val="List Number 3"/>
    <w:basedOn w:val="Normlny"/>
    <w:semiHidden/>
    <w:rsid w:val="00F539CA"/>
    <w:pPr>
      <w:numPr>
        <w:numId w:val="8"/>
      </w:numPr>
    </w:pPr>
  </w:style>
  <w:style w:type="paragraph" w:styleId="slovanzoznam4">
    <w:name w:val="List Number 4"/>
    <w:basedOn w:val="Normlny"/>
    <w:semiHidden/>
    <w:rsid w:val="00F539CA"/>
    <w:pPr>
      <w:numPr>
        <w:numId w:val="9"/>
      </w:numPr>
    </w:pPr>
  </w:style>
  <w:style w:type="paragraph" w:styleId="slovanzoznam5">
    <w:name w:val="List Number 5"/>
    <w:basedOn w:val="Normlny"/>
    <w:semiHidden/>
    <w:rsid w:val="00F539CA"/>
    <w:pPr>
      <w:numPr>
        <w:numId w:val="10"/>
      </w:numPr>
    </w:pPr>
  </w:style>
  <w:style w:type="paragraph" w:styleId="Hlavikasprvy">
    <w:name w:val="Message Header"/>
    <w:basedOn w:val="Normlny"/>
    <w:semiHidden/>
    <w:rsid w:val="00F539CA"/>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Normlnywebov">
    <w:name w:val="Normal (Web)"/>
    <w:basedOn w:val="Normlny"/>
    <w:uiPriority w:val="99"/>
    <w:semiHidden/>
    <w:rsid w:val="00F539CA"/>
    <w:rPr>
      <w:rFonts w:ascii="Times New Roman" w:hAnsi="Times New Roman"/>
      <w:sz w:val="24"/>
    </w:rPr>
  </w:style>
  <w:style w:type="paragraph" w:styleId="Normlnysozarkami">
    <w:name w:val="Normal Indent"/>
    <w:basedOn w:val="Normlny"/>
    <w:semiHidden/>
    <w:rsid w:val="00F539CA"/>
    <w:pPr>
      <w:ind w:left="708"/>
    </w:pPr>
  </w:style>
  <w:style w:type="paragraph" w:styleId="Nadpispoznmky">
    <w:name w:val="Note Heading"/>
    <w:basedOn w:val="Normlny"/>
    <w:next w:val="Normlny"/>
    <w:semiHidden/>
    <w:rsid w:val="00F539CA"/>
  </w:style>
  <w:style w:type="paragraph" w:styleId="Obyajntext">
    <w:name w:val="Plain Text"/>
    <w:basedOn w:val="Normlny"/>
    <w:semiHidden/>
    <w:rsid w:val="00F539CA"/>
    <w:rPr>
      <w:rFonts w:ascii="Courier New" w:hAnsi="Courier New" w:cs="Courier New"/>
      <w:szCs w:val="20"/>
    </w:rPr>
  </w:style>
  <w:style w:type="paragraph" w:styleId="Oslovenie">
    <w:name w:val="Salutation"/>
    <w:basedOn w:val="Normlny"/>
    <w:next w:val="Normlny"/>
    <w:semiHidden/>
    <w:rsid w:val="00F539CA"/>
  </w:style>
  <w:style w:type="paragraph" w:styleId="Podpis">
    <w:name w:val="Signature"/>
    <w:basedOn w:val="Normlny"/>
    <w:semiHidden/>
    <w:rsid w:val="00F539CA"/>
    <w:pPr>
      <w:ind w:left="4252"/>
    </w:pPr>
  </w:style>
  <w:style w:type="character" w:styleId="Siln">
    <w:name w:val="Strong"/>
    <w:uiPriority w:val="22"/>
    <w:qFormat/>
    <w:rsid w:val="0078640B"/>
    <w:rPr>
      <w:b/>
      <w:bCs/>
    </w:rPr>
  </w:style>
  <w:style w:type="table" w:styleId="Tabukaspriestorovmiefektmi1">
    <w:name w:val="Table 3D effects 1"/>
    <w:basedOn w:val="Normlnatabuka"/>
    <w:semiHidden/>
    <w:rsid w:val="00F539CA"/>
    <w:pPr>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kaspriestorovmiefektmi2">
    <w:name w:val="Table 3D effects 2"/>
    <w:basedOn w:val="Normlnatabuka"/>
    <w:semiHidden/>
    <w:rsid w:val="00F539CA"/>
    <w:pPr>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ka1">
    <w:name w:val="Table Classic 1"/>
    <w:basedOn w:val="Normlnatabuka"/>
    <w:semiHidden/>
    <w:rsid w:val="00F539CA"/>
    <w:pPr>
      <w:spacing w:before="12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ka2">
    <w:name w:val="Table Classic 2"/>
    <w:basedOn w:val="Normlnatabuka"/>
    <w:semiHidden/>
    <w:rsid w:val="00F539CA"/>
    <w:pPr>
      <w:spacing w:before="12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ka3">
    <w:name w:val="Table Classic 3"/>
    <w:basedOn w:val="Normlnatabuka"/>
    <w:semiHidden/>
    <w:rsid w:val="00F539CA"/>
    <w:pPr>
      <w:spacing w:before="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ka4">
    <w:name w:val="Table Classic 4"/>
    <w:basedOn w:val="Normlnatabuka"/>
    <w:semiHidden/>
    <w:rsid w:val="00F539CA"/>
    <w:pPr>
      <w:spacing w:before="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Farebntabuka1">
    <w:name w:val="Table Colorful 1"/>
    <w:basedOn w:val="Normlnatabuka"/>
    <w:semiHidden/>
    <w:rsid w:val="00F539CA"/>
    <w:pPr>
      <w:spacing w:before="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Farebntabuka2">
    <w:name w:val="Table Colorful 2"/>
    <w:basedOn w:val="Normlnatabuka"/>
    <w:semiHidden/>
    <w:rsid w:val="00F539CA"/>
    <w:pPr>
      <w:spacing w:before="120"/>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Farebntabuka3">
    <w:name w:val="Table Colorful 3"/>
    <w:basedOn w:val="Normlnatabuka"/>
    <w:semiHidden/>
    <w:rsid w:val="00F539CA"/>
    <w:pPr>
      <w:spacing w:before="12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tpcetabuky1">
    <w:name w:val="Table Columns 1"/>
    <w:basedOn w:val="Normlnatabuka"/>
    <w:semiHidden/>
    <w:rsid w:val="00F539CA"/>
    <w:pPr>
      <w:spacing w:before="12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tpcetabuky2">
    <w:name w:val="Table Columns 2"/>
    <w:basedOn w:val="Normlnatabuka"/>
    <w:semiHidden/>
    <w:rsid w:val="00F539CA"/>
    <w:pPr>
      <w:spacing w:before="120"/>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tpcetabuky4">
    <w:name w:val="Table Columns 4"/>
    <w:basedOn w:val="Normlnatabuka"/>
    <w:semiHidden/>
    <w:rsid w:val="00F539CA"/>
    <w:pPr>
      <w:spacing w:before="120"/>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tpcetabuky5">
    <w:name w:val="Table Columns 5"/>
    <w:basedOn w:val="Normlnatabuka"/>
    <w:semiHidden/>
    <w:rsid w:val="00F539CA"/>
    <w:pPr>
      <w:spacing w:before="12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ka">
    <w:name w:val="Table Contemporary"/>
    <w:basedOn w:val="Normlnatabuka"/>
    <w:semiHidden/>
    <w:rsid w:val="00F539CA"/>
    <w:pPr>
      <w:spacing w:before="12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ka">
    <w:name w:val="Table Elegant"/>
    <w:basedOn w:val="Normlnatabuka"/>
    <w:semiHidden/>
    <w:rsid w:val="00F539CA"/>
    <w:pPr>
      <w:spacing w:before="120"/>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riekatabuky2">
    <w:name w:val="Table Grid 2"/>
    <w:basedOn w:val="Normlnatabuka"/>
    <w:semiHidden/>
    <w:rsid w:val="00F539CA"/>
    <w:pPr>
      <w:spacing w:before="120"/>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riekatabuky3">
    <w:name w:val="Table Grid 3"/>
    <w:basedOn w:val="Normlnatabuka"/>
    <w:semiHidden/>
    <w:rsid w:val="00F539CA"/>
    <w:pPr>
      <w:spacing w:before="12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riekatabuky4">
    <w:name w:val="Table Grid 4"/>
    <w:basedOn w:val="Normlnatabuka"/>
    <w:semiHidden/>
    <w:rsid w:val="00F539CA"/>
    <w:pPr>
      <w:spacing w:before="12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riekatabuky5">
    <w:name w:val="Table Grid 5"/>
    <w:basedOn w:val="Normlnatabuka"/>
    <w:semiHidden/>
    <w:rsid w:val="00F539CA"/>
    <w:pPr>
      <w:spacing w:before="12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riekatabuky6">
    <w:name w:val="Table Grid 6"/>
    <w:basedOn w:val="Normlnatabuka"/>
    <w:semiHidden/>
    <w:rsid w:val="00F539CA"/>
    <w:pPr>
      <w:spacing w:before="12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riekatabuky7">
    <w:name w:val="Table Grid 7"/>
    <w:basedOn w:val="Normlnatabuka"/>
    <w:semiHidden/>
    <w:rsid w:val="00F539CA"/>
    <w:pPr>
      <w:spacing w:before="12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riekatabuky8">
    <w:name w:val="Table Grid 8"/>
    <w:basedOn w:val="Normlnatabuka"/>
    <w:semiHidden/>
    <w:rsid w:val="00F539CA"/>
    <w:pPr>
      <w:spacing w:before="12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ukaakozoznam1">
    <w:name w:val="Table List 1"/>
    <w:basedOn w:val="Normlnatabuka"/>
    <w:semiHidden/>
    <w:rsid w:val="00F539CA"/>
    <w:pPr>
      <w:spacing w:before="12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kaakozoznam2">
    <w:name w:val="Table List 2"/>
    <w:basedOn w:val="Normlnatabuka"/>
    <w:semiHidden/>
    <w:rsid w:val="00F539CA"/>
    <w:pPr>
      <w:spacing w:before="120"/>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kaakozoznam3">
    <w:name w:val="Table List 3"/>
    <w:basedOn w:val="Normlnatabuka"/>
    <w:semiHidden/>
    <w:rsid w:val="00F539CA"/>
    <w:pPr>
      <w:spacing w:before="12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kaakozoznam4">
    <w:name w:val="Table List 4"/>
    <w:basedOn w:val="Normlnatabuka"/>
    <w:semiHidden/>
    <w:rsid w:val="00F539CA"/>
    <w:pPr>
      <w:spacing w:before="12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kaakozoznam5">
    <w:name w:val="Table List 5"/>
    <w:basedOn w:val="Normlnatabuka"/>
    <w:semiHidden/>
    <w:rsid w:val="00F539CA"/>
    <w:pPr>
      <w:spacing w:before="12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kaakozoznam6">
    <w:name w:val="Table List 6"/>
    <w:basedOn w:val="Normlnatabuka"/>
    <w:semiHidden/>
    <w:rsid w:val="00F539CA"/>
    <w:pPr>
      <w:spacing w:before="120"/>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kaakozoznam7">
    <w:name w:val="Table List 7"/>
    <w:basedOn w:val="Normlnatabuka"/>
    <w:semiHidden/>
    <w:rsid w:val="00F539CA"/>
    <w:pPr>
      <w:spacing w:before="12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kaakozoznam8">
    <w:name w:val="Table List 8"/>
    <w:basedOn w:val="Normlnatabuka"/>
    <w:semiHidden/>
    <w:rsid w:val="00F539CA"/>
    <w:pPr>
      <w:spacing w:before="12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atabuka">
    <w:name w:val="Table Professional"/>
    <w:basedOn w:val="Normlnatabuka"/>
    <w:semiHidden/>
    <w:rsid w:val="00F539CA"/>
    <w:pPr>
      <w:spacing w:before="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ka1">
    <w:name w:val="Table Simple 1"/>
    <w:basedOn w:val="Normlnatabuka"/>
    <w:semiHidden/>
    <w:rsid w:val="00F539CA"/>
    <w:pPr>
      <w:spacing w:before="12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ka2">
    <w:name w:val="Table Simple 2"/>
    <w:basedOn w:val="Normlnatabuka"/>
    <w:semiHidden/>
    <w:rsid w:val="00F539CA"/>
    <w:pPr>
      <w:spacing w:before="120"/>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ka3">
    <w:name w:val="Table Simple 3"/>
    <w:basedOn w:val="Normlnatabuka"/>
    <w:semiHidden/>
    <w:rsid w:val="00F539CA"/>
    <w:pPr>
      <w:spacing w:before="12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Detailntabuka1">
    <w:name w:val="Table Subtle 1"/>
    <w:basedOn w:val="Normlnatabuka"/>
    <w:semiHidden/>
    <w:rsid w:val="00F539CA"/>
    <w:pPr>
      <w:spacing w:before="120"/>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Detailntabuka2">
    <w:name w:val="Table Subtle 2"/>
    <w:basedOn w:val="Normlnatabuka"/>
    <w:semiHidden/>
    <w:rsid w:val="00F539CA"/>
    <w:pPr>
      <w:spacing w:before="120"/>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vtabuky">
    <w:name w:val="Table Theme"/>
    <w:basedOn w:val="Normlnatabuka"/>
    <w:semiHidden/>
    <w:rsid w:val="00F539CA"/>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ka1">
    <w:name w:val="Table Web 1"/>
    <w:basedOn w:val="Normlnatabuka"/>
    <w:semiHidden/>
    <w:rsid w:val="00F539CA"/>
    <w:pPr>
      <w:spacing w:before="120"/>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ka2">
    <w:name w:val="Table Web 2"/>
    <w:basedOn w:val="Normlnatabuka"/>
    <w:semiHidden/>
    <w:rsid w:val="00F539CA"/>
    <w:pPr>
      <w:spacing w:before="120"/>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ka3">
    <w:name w:val="Table Web 3"/>
    <w:basedOn w:val="Normlnatabuka"/>
    <w:semiHidden/>
    <w:rsid w:val="00F539CA"/>
    <w:pPr>
      <w:spacing w:before="120"/>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Nzov">
    <w:name w:val="Title"/>
    <w:basedOn w:val="Normlny"/>
    <w:qFormat/>
    <w:rsid w:val="00F539CA"/>
    <w:pPr>
      <w:spacing w:before="240" w:after="60"/>
      <w:jc w:val="center"/>
      <w:outlineLvl w:val="0"/>
    </w:pPr>
    <w:rPr>
      <w:rFonts w:cs="Arial"/>
      <w:b/>
      <w:bCs/>
      <w:kern w:val="28"/>
      <w:sz w:val="32"/>
      <w:szCs w:val="32"/>
    </w:rPr>
  </w:style>
  <w:style w:type="character" w:styleId="slostrany">
    <w:name w:val="page number"/>
    <w:basedOn w:val="Predvolenpsmoodseku"/>
    <w:semiHidden/>
    <w:rsid w:val="00F539CA"/>
  </w:style>
  <w:style w:type="paragraph" w:styleId="Podpise-mailu">
    <w:name w:val="E-mail Signature"/>
    <w:basedOn w:val="Normlny"/>
    <w:semiHidden/>
    <w:rsid w:val="00E977C8"/>
  </w:style>
  <w:style w:type="paragraph" w:customStyle="1" w:styleId="Nzovprlohy">
    <w:name w:val="Názov prílohy"/>
    <w:basedOn w:val="Nadpisprlohy"/>
    <w:rsid w:val="00DB5A35"/>
    <w:pPr>
      <w:pageBreakBefore w:val="0"/>
      <w:spacing w:before="0"/>
    </w:pPr>
    <w:rPr>
      <w:caps w:val="0"/>
      <w:sz w:val="24"/>
      <w:szCs w:val="24"/>
    </w:rPr>
  </w:style>
  <w:style w:type="paragraph" w:styleId="Hlavikaobsahu">
    <w:name w:val="TOC Heading"/>
    <w:basedOn w:val="Nadpis1"/>
    <w:next w:val="Normlny"/>
    <w:uiPriority w:val="39"/>
    <w:semiHidden/>
    <w:unhideWhenUsed/>
    <w:qFormat/>
    <w:rsid w:val="00033EE7"/>
    <w:pPr>
      <w:pageBreakBefore w:val="0"/>
      <w:numPr>
        <w:numId w:val="0"/>
      </w:numPr>
      <w:spacing w:before="480" w:after="0" w:line="276" w:lineRule="auto"/>
      <w:outlineLvl w:val="9"/>
    </w:pPr>
    <w:rPr>
      <w:rFonts w:ascii="Cambria" w:hAnsi="Cambria"/>
      <w:bCs/>
      <w:caps w:val="0"/>
      <w:color w:val="365F91"/>
      <w:spacing w:val="0"/>
      <w:kern w:val="0"/>
      <w:sz w:val="28"/>
      <w:szCs w:val="28"/>
      <w:lang w:eastAsia="sk-SK"/>
    </w:rPr>
  </w:style>
  <w:style w:type="table" w:customStyle="1" w:styleId="Svtlstnovn1">
    <w:name w:val="Světlé stínování1"/>
    <w:basedOn w:val="Normlnatabuka"/>
    <w:uiPriority w:val="60"/>
    <w:rsid w:val="00132C56"/>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Obsah9">
    <w:name w:val="toc 9"/>
    <w:basedOn w:val="Normlny"/>
    <w:next w:val="Normlny"/>
    <w:autoRedefine/>
    <w:uiPriority w:val="39"/>
    <w:semiHidden/>
    <w:unhideWhenUsed/>
    <w:rsid w:val="00C4687C"/>
    <w:pPr>
      <w:ind w:left="1760"/>
    </w:pPr>
  </w:style>
  <w:style w:type="table" w:customStyle="1" w:styleId="tabulkaVUD">
    <w:name w:val="tabulka_VUD"/>
    <w:basedOn w:val="Mriekatabuky"/>
    <w:rsid w:val="008461B0"/>
    <w:pPr>
      <w:spacing w:before="20" w:after="20"/>
    </w:pPr>
    <w:rPr>
      <w:rFonts w:ascii="Calibri" w:hAnsi="Calibri"/>
      <w:sz w:val="20"/>
    </w:rPr>
    <w:tblPr>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28" w:type="dxa"/>
        <w:right w:w="28" w:type="dxa"/>
      </w:tblCellMar>
    </w:tblPr>
    <w:tcPr>
      <w:shd w:val="clear" w:color="auto" w:fill="auto"/>
      <w:vAlign w:val="center"/>
    </w:tcPr>
    <w:tblStylePr w:type="firstRow">
      <w:pPr>
        <w:wordWrap/>
        <w:spacing w:beforeLines="0" w:beforeAutospacing="0"/>
      </w:pPr>
      <w:rPr>
        <w:rFonts w:ascii="Calibri" w:hAnsi="Calibri"/>
        <w:b w:val="0"/>
        <w:caps w:val="0"/>
        <w:smallCaps w:val="0"/>
        <w:strike w:val="0"/>
        <w:dstrike w:val="0"/>
        <w:vanish w:val="0"/>
        <w:color w:val="auto"/>
        <w:sz w:val="20"/>
        <w:szCs w:val="20"/>
        <w:vertAlign w:val="baseline"/>
      </w:rPr>
      <w:tblPr/>
      <w:tcPr>
        <w:shd w:val="clear" w:color="auto" w:fill="7F7F7F"/>
      </w:tcPr>
    </w:tblStylePr>
  </w:style>
  <w:style w:type="character" w:customStyle="1" w:styleId="NormaltextChar">
    <w:name w:val="Normal text Char"/>
    <w:link w:val="Normaltext"/>
    <w:rsid w:val="00F73366"/>
    <w:rPr>
      <w:rFonts w:ascii="Calibri" w:hAnsi="Calibri"/>
      <w:sz w:val="22"/>
      <w:szCs w:val="22"/>
      <w:lang w:eastAsia="en-US"/>
    </w:rPr>
  </w:style>
  <w:style w:type="paragraph" w:customStyle="1" w:styleId="Default">
    <w:name w:val="Default"/>
    <w:rsid w:val="00343218"/>
    <w:pPr>
      <w:autoSpaceDE w:val="0"/>
      <w:autoSpaceDN w:val="0"/>
      <w:adjustRightInd w:val="0"/>
    </w:pPr>
    <w:rPr>
      <w:rFonts w:ascii="Calibri" w:hAnsi="Calibri" w:cs="Calibri"/>
      <w:color w:val="000000"/>
      <w:sz w:val="24"/>
      <w:szCs w:val="24"/>
    </w:rPr>
  </w:style>
  <w:style w:type="paragraph" w:customStyle="1" w:styleId="podnadpiskapit">
    <w:name w:val="podnadpis kapit"/>
    <w:basedOn w:val="Normaltext"/>
    <w:link w:val="podnadpiskapitChar"/>
    <w:qFormat/>
    <w:rsid w:val="002B7FD3"/>
    <w:pPr>
      <w:spacing w:line="276" w:lineRule="auto"/>
    </w:pPr>
    <w:rPr>
      <w:b/>
      <w:color w:val="17365D" w:themeColor="text2" w:themeShade="BF"/>
      <w:sz w:val="24"/>
    </w:rPr>
  </w:style>
  <w:style w:type="paragraph" w:styleId="Odsekzoznamu">
    <w:name w:val="List Paragraph"/>
    <w:basedOn w:val="Normlny"/>
    <w:uiPriority w:val="34"/>
    <w:qFormat/>
    <w:rsid w:val="00E222B0"/>
    <w:pPr>
      <w:ind w:left="720"/>
      <w:contextualSpacing/>
    </w:pPr>
  </w:style>
  <w:style w:type="character" w:customStyle="1" w:styleId="podnadpiskapitChar">
    <w:name w:val="podnadpis kapit Char"/>
    <w:basedOn w:val="NormaltextChar"/>
    <w:link w:val="podnadpiskapit"/>
    <w:rsid w:val="002B7FD3"/>
    <w:rPr>
      <w:rFonts w:ascii="Calibri" w:hAnsi="Calibri"/>
      <w:b/>
      <w:color w:val="17365D" w:themeColor="text2" w:themeShade="BF"/>
      <w:sz w:val="24"/>
      <w:szCs w:val="22"/>
      <w:lang w:eastAsia="en-US"/>
    </w:rPr>
  </w:style>
  <w:style w:type="character" w:styleId="Zstupntext">
    <w:name w:val="Placeholder Text"/>
    <w:basedOn w:val="Predvolenpsmoodseku"/>
    <w:uiPriority w:val="99"/>
    <w:semiHidden/>
    <w:rsid w:val="0025522E"/>
    <w:rPr>
      <w:color w:val="808080"/>
    </w:rPr>
  </w:style>
  <w:style w:type="paragraph" w:customStyle="1" w:styleId="tabstyl">
    <w:name w:val="tab styl"/>
    <w:basedOn w:val="Popis"/>
    <w:link w:val="tabstylChar"/>
    <w:qFormat/>
    <w:rsid w:val="00C743A8"/>
    <w:pPr>
      <w:spacing w:before="200" w:after="0"/>
      <w:jc w:val="left"/>
    </w:pPr>
  </w:style>
  <w:style w:type="character" w:customStyle="1" w:styleId="PopisChar">
    <w:name w:val="Popis Char"/>
    <w:basedOn w:val="NormaltextChar"/>
    <w:link w:val="Popis"/>
    <w:rsid w:val="006B1C25"/>
    <w:rPr>
      <w:rFonts w:asciiTheme="minorHAnsi" w:hAnsiTheme="minorHAnsi" w:cstheme="minorHAnsi"/>
      <w:sz w:val="22"/>
      <w:szCs w:val="22"/>
      <w:lang w:eastAsia="en-US"/>
    </w:rPr>
  </w:style>
  <w:style w:type="character" w:customStyle="1" w:styleId="tabstylChar">
    <w:name w:val="tab styl Char"/>
    <w:basedOn w:val="PopisChar"/>
    <w:link w:val="tabstyl"/>
    <w:rsid w:val="00C743A8"/>
    <w:rPr>
      <w:rFonts w:asciiTheme="minorHAnsi" w:hAnsiTheme="minorHAnsi" w:cstheme="minorHAnsi"/>
      <w:sz w:val="22"/>
      <w:szCs w:val="22"/>
      <w:lang w:eastAsia="en-US"/>
    </w:rPr>
  </w:style>
  <w:style w:type="paragraph" w:customStyle="1" w:styleId="tabukasivystyl">
    <w:name w:val="tabuľka sivy styl"/>
    <w:basedOn w:val="Normlny"/>
    <w:link w:val="tabukasivystylChar"/>
    <w:qFormat/>
    <w:rsid w:val="0025522E"/>
    <w:pPr>
      <w:spacing w:before="20" w:after="20"/>
      <w:jc w:val="right"/>
    </w:pPr>
    <w:rPr>
      <w:rFonts w:asciiTheme="minorHAnsi" w:hAnsiTheme="minorHAnsi" w:cstheme="minorHAnsi"/>
      <w:b/>
      <w:color w:val="FFFFFF" w:themeColor="background1"/>
      <w:sz w:val="20"/>
      <w:lang w:eastAsia="sk-SK"/>
    </w:rPr>
  </w:style>
  <w:style w:type="paragraph" w:customStyle="1" w:styleId="tabbielystyl">
    <w:name w:val="tab biely styl"/>
    <w:basedOn w:val="Normlny"/>
    <w:link w:val="tabbielystylChar"/>
    <w:qFormat/>
    <w:rsid w:val="0025522E"/>
    <w:pPr>
      <w:spacing w:before="20" w:after="20"/>
      <w:jc w:val="right"/>
    </w:pPr>
    <w:rPr>
      <w:rFonts w:asciiTheme="minorHAnsi" w:hAnsiTheme="minorHAnsi" w:cstheme="minorHAnsi"/>
      <w:sz w:val="20"/>
      <w:lang w:eastAsia="sk-SK"/>
    </w:rPr>
  </w:style>
  <w:style w:type="character" w:customStyle="1" w:styleId="tabukasivystylChar">
    <w:name w:val="tabuľka sivy styl Char"/>
    <w:basedOn w:val="Predvolenpsmoodseku"/>
    <w:link w:val="tabukasivystyl"/>
    <w:rsid w:val="0025522E"/>
    <w:rPr>
      <w:rFonts w:asciiTheme="minorHAnsi" w:hAnsiTheme="minorHAnsi" w:cstheme="minorHAnsi"/>
      <w:b/>
      <w:color w:val="FFFFFF" w:themeColor="background1"/>
      <w:szCs w:val="22"/>
    </w:rPr>
  </w:style>
  <w:style w:type="paragraph" w:customStyle="1" w:styleId="zahltab">
    <w:name w:val="zahl_tab"/>
    <w:basedOn w:val="tabukasivystyl"/>
    <w:link w:val="zahltabChar"/>
    <w:qFormat/>
    <w:rsid w:val="009D58D5"/>
    <w:pPr>
      <w:spacing w:before="120" w:after="120"/>
      <w:jc w:val="center"/>
    </w:pPr>
  </w:style>
  <w:style w:type="character" w:customStyle="1" w:styleId="tabbielystylChar">
    <w:name w:val="tab biely styl Char"/>
    <w:basedOn w:val="Predvolenpsmoodseku"/>
    <w:link w:val="tabbielystyl"/>
    <w:rsid w:val="0025522E"/>
    <w:rPr>
      <w:rFonts w:asciiTheme="minorHAnsi" w:hAnsiTheme="minorHAnsi" w:cstheme="minorHAnsi"/>
      <w:szCs w:val="22"/>
    </w:rPr>
  </w:style>
  <w:style w:type="paragraph" w:customStyle="1" w:styleId="xl2512">
    <w:name w:val="xl2512"/>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lang w:eastAsia="sk-SK"/>
    </w:rPr>
  </w:style>
  <w:style w:type="character" w:customStyle="1" w:styleId="zahltabChar">
    <w:name w:val="zahl_tab Char"/>
    <w:basedOn w:val="tabukasivystylChar"/>
    <w:link w:val="zahltab"/>
    <w:rsid w:val="009D58D5"/>
    <w:rPr>
      <w:rFonts w:asciiTheme="minorHAnsi" w:hAnsiTheme="minorHAnsi" w:cstheme="minorHAnsi"/>
      <w:b/>
      <w:color w:val="FFFFFF" w:themeColor="background1"/>
      <w:szCs w:val="22"/>
    </w:rPr>
  </w:style>
  <w:style w:type="paragraph" w:customStyle="1" w:styleId="xl2513">
    <w:name w:val="xl2513"/>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lang w:eastAsia="sk-SK"/>
    </w:rPr>
  </w:style>
  <w:style w:type="paragraph" w:customStyle="1" w:styleId="xl2514">
    <w:name w:val="xl2514"/>
    <w:basedOn w:val="Normlny"/>
    <w:rsid w:val="0025522E"/>
    <w:pPr>
      <w:pBdr>
        <w:top w:val="single" w:sz="4" w:space="0" w:color="auto"/>
        <w:left w:val="single" w:sz="8"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heme="minorHAnsi" w:hAnsiTheme="minorHAnsi" w:cstheme="minorHAnsi"/>
      <w:lang w:eastAsia="sk-SK"/>
    </w:rPr>
  </w:style>
  <w:style w:type="paragraph" w:customStyle="1" w:styleId="xl2515">
    <w:name w:val="xl2515"/>
    <w:basedOn w:val="Normlny"/>
    <w:rsid w:val="0025522E"/>
    <w:pPr>
      <w:pBdr>
        <w:top w:val="single" w:sz="4" w:space="0" w:color="auto"/>
        <w:left w:val="single" w:sz="8" w:space="0" w:color="auto"/>
        <w:bottom w:val="single" w:sz="4" w:space="0" w:color="auto"/>
        <w:right w:val="single" w:sz="8" w:space="0" w:color="auto"/>
      </w:pBdr>
      <w:shd w:val="clear" w:color="000000" w:fill="EAF1DD"/>
      <w:spacing w:before="100" w:beforeAutospacing="1" w:after="100" w:afterAutospacing="1"/>
      <w:jc w:val="right"/>
      <w:textAlignment w:val="center"/>
    </w:pPr>
    <w:rPr>
      <w:rFonts w:asciiTheme="minorHAnsi" w:hAnsiTheme="minorHAnsi" w:cstheme="minorHAnsi"/>
      <w:lang w:eastAsia="sk-SK"/>
    </w:rPr>
  </w:style>
  <w:style w:type="paragraph" w:customStyle="1" w:styleId="xl2516">
    <w:name w:val="xl2516"/>
    <w:basedOn w:val="Normlny"/>
    <w:rsid w:val="0025522E"/>
    <w:pPr>
      <w:pBdr>
        <w:top w:val="single" w:sz="4" w:space="0" w:color="auto"/>
        <w:left w:val="single" w:sz="8" w:space="0" w:color="auto"/>
        <w:right w:val="single" w:sz="4" w:space="0" w:color="auto"/>
      </w:pBdr>
      <w:shd w:val="clear" w:color="000000" w:fill="C5BE97"/>
      <w:spacing w:before="100" w:beforeAutospacing="1" w:after="100" w:afterAutospacing="1"/>
      <w:textAlignment w:val="center"/>
    </w:pPr>
    <w:rPr>
      <w:rFonts w:asciiTheme="minorHAnsi" w:hAnsiTheme="minorHAnsi" w:cstheme="minorHAnsi"/>
      <w:b/>
      <w:bCs/>
      <w:lang w:eastAsia="sk-SK"/>
    </w:rPr>
  </w:style>
  <w:style w:type="paragraph" w:customStyle="1" w:styleId="xl2517">
    <w:name w:val="xl2517"/>
    <w:basedOn w:val="Normlny"/>
    <w:rsid w:val="0025522E"/>
    <w:pPr>
      <w:pBdr>
        <w:top w:val="single" w:sz="4" w:space="0" w:color="auto"/>
        <w:bottom w:val="single" w:sz="4" w:space="0" w:color="auto"/>
        <w:right w:val="single" w:sz="8" w:space="0" w:color="auto"/>
      </w:pBdr>
      <w:shd w:val="clear" w:color="000000" w:fill="C5BE97"/>
      <w:spacing w:before="100" w:beforeAutospacing="1" w:after="100" w:afterAutospacing="1"/>
      <w:textAlignment w:val="center"/>
    </w:pPr>
    <w:rPr>
      <w:rFonts w:asciiTheme="minorHAnsi" w:hAnsiTheme="minorHAnsi" w:cstheme="minorHAnsi"/>
      <w:b/>
      <w:bCs/>
      <w:lang w:eastAsia="sk-SK"/>
    </w:rPr>
  </w:style>
  <w:style w:type="paragraph" w:customStyle="1" w:styleId="xl2518">
    <w:name w:val="xl2518"/>
    <w:basedOn w:val="Normlny"/>
    <w:rsid w:val="0025522E"/>
    <w:pPr>
      <w:pBdr>
        <w:top w:val="single" w:sz="4" w:space="0" w:color="auto"/>
        <w:left w:val="single" w:sz="8" w:space="0" w:color="auto"/>
        <w:bottom w:val="single" w:sz="4" w:space="0" w:color="auto"/>
        <w:right w:val="single" w:sz="8" w:space="0" w:color="auto"/>
      </w:pBdr>
      <w:shd w:val="clear" w:color="000000" w:fill="C5BE97"/>
      <w:spacing w:before="100" w:beforeAutospacing="1" w:after="100" w:afterAutospacing="1"/>
      <w:jc w:val="center"/>
      <w:textAlignment w:val="center"/>
    </w:pPr>
    <w:rPr>
      <w:rFonts w:ascii="Segoe UI Semibold" w:hAnsi="Segoe UI Semibold" w:cs="Segoe UI Semibold"/>
      <w:lang w:eastAsia="sk-SK"/>
    </w:rPr>
  </w:style>
  <w:style w:type="paragraph" w:customStyle="1" w:styleId="xl2519">
    <w:name w:val="xl2519"/>
    <w:basedOn w:val="Normlny"/>
    <w:rsid w:val="0025522E"/>
    <w:pPr>
      <w:pBdr>
        <w:left w:val="single" w:sz="8" w:space="0" w:color="auto"/>
        <w:right w:val="single" w:sz="4" w:space="0" w:color="auto"/>
      </w:pBdr>
      <w:shd w:val="clear" w:color="000000" w:fill="C5BE97"/>
      <w:spacing w:before="100" w:beforeAutospacing="1" w:after="100" w:afterAutospacing="1"/>
      <w:textAlignment w:val="center"/>
    </w:pPr>
    <w:rPr>
      <w:rFonts w:asciiTheme="minorHAnsi" w:hAnsiTheme="minorHAnsi" w:cstheme="minorHAnsi"/>
      <w:b/>
      <w:bCs/>
      <w:lang w:eastAsia="sk-SK"/>
    </w:rPr>
  </w:style>
  <w:style w:type="paragraph" w:customStyle="1" w:styleId="xl2520">
    <w:name w:val="xl2520"/>
    <w:basedOn w:val="Normlny"/>
    <w:rsid w:val="0025522E"/>
    <w:pPr>
      <w:pBdr>
        <w:top w:val="single" w:sz="4" w:space="0" w:color="auto"/>
        <w:bottom w:val="single" w:sz="4" w:space="0" w:color="auto"/>
        <w:right w:val="single" w:sz="8" w:space="0" w:color="auto"/>
      </w:pBdr>
      <w:spacing w:before="100" w:beforeAutospacing="1" w:after="100" w:afterAutospacing="1"/>
      <w:textAlignment w:val="center"/>
    </w:pPr>
    <w:rPr>
      <w:rFonts w:asciiTheme="minorHAnsi" w:hAnsiTheme="minorHAnsi" w:cstheme="minorHAnsi"/>
      <w:i/>
      <w:iCs/>
      <w:lang w:eastAsia="sk-SK"/>
    </w:rPr>
  </w:style>
  <w:style w:type="paragraph" w:customStyle="1" w:styleId="xl2521">
    <w:name w:val="xl2521"/>
    <w:basedOn w:val="Normlny"/>
    <w:rsid w:val="0025522E"/>
    <w:pPr>
      <w:pBdr>
        <w:top w:val="single" w:sz="4" w:space="0" w:color="auto"/>
        <w:left w:val="single" w:sz="8" w:space="0" w:color="auto"/>
        <w:bottom w:val="single" w:sz="4" w:space="0" w:color="auto"/>
        <w:right w:val="single" w:sz="8" w:space="0" w:color="auto"/>
      </w:pBdr>
      <w:shd w:val="clear" w:color="000000" w:fill="auto"/>
      <w:spacing w:before="100" w:beforeAutospacing="1" w:after="100" w:afterAutospacing="1"/>
      <w:jc w:val="right"/>
      <w:textAlignment w:val="center"/>
    </w:pPr>
    <w:rPr>
      <w:rFonts w:asciiTheme="minorHAnsi" w:hAnsiTheme="minorHAnsi" w:cstheme="minorHAnsi"/>
      <w:lang w:eastAsia="sk-SK"/>
    </w:rPr>
  </w:style>
  <w:style w:type="paragraph" w:customStyle="1" w:styleId="xl2522">
    <w:name w:val="xl2522"/>
    <w:basedOn w:val="Normlny"/>
    <w:rsid w:val="0025522E"/>
    <w:pPr>
      <w:pBdr>
        <w:top w:val="single" w:sz="4"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23">
    <w:name w:val="xl2523"/>
    <w:basedOn w:val="Normlny"/>
    <w:rsid w:val="0025522E"/>
    <w:pPr>
      <w:pBdr>
        <w:left w:val="single" w:sz="8" w:space="0" w:color="auto"/>
        <w:bottom w:val="single" w:sz="4" w:space="0" w:color="auto"/>
        <w:right w:val="single" w:sz="4" w:space="0" w:color="auto"/>
      </w:pBdr>
      <w:shd w:val="clear" w:color="000000" w:fill="C5BE97"/>
      <w:spacing w:before="100" w:beforeAutospacing="1" w:after="100" w:afterAutospacing="1"/>
      <w:textAlignment w:val="center"/>
    </w:pPr>
    <w:rPr>
      <w:rFonts w:asciiTheme="minorHAnsi" w:hAnsiTheme="minorHAnsi" w:cstheme="minorHAnsi"/>
      <w:b/>
      <w:bCs/>
      <w:lang w:eastAsia="sk-SK"/>
    </w:rPr>
  </w:style>
  <w:style w:type="paragraph" w:customStyle="1" w:styleId="xl2524">
    <w:name w:val="xl2524"/>
    <w:basedOn w:val="Normlny"/>
    <w:rsid w:val="0025522E"/>
    <w:pPr>
      <w:pBdr>
        <w:top w:val="single" w:sz="4" w:space="0" w:color="auto"/>
        <w:left w:val="single" w:sz="8" w:space="0" w:color="auto"/>
        <w:right w:val="single" w:sz="4" w:space="0" w:color="auto"/>
      </w:pBdr>
      <w:shd w:val="clear" w:color="000000" w:fill="95B3D7"/>
      <w:spacing w:before="100" w:beforeAutospacing="1" w:after="100" w:afterAutospacing="1"/>
      <w:textAlignment w:val="center"/>
    </w:pPr>
    <w:rPr>
      <w:rFonts w:asciiTheme="minorHAnsi" w:hAnsiTheme="minorHAnsi" w:cstheme="minorHAnsi"/>
      <w:b/>
      <w:bCs/>
      <w:lang w:eastAsia="sk-SK"/>
    </w:rPr>
  </w:style>
  <w:style w:type="paragraph" w:customStyle="1" w:styleId="xl2525">
    <w:name w:val="xl2525"/>
    <w:basedOn w:val="Normlny"/>
    <w:rsid w:val="0025522E"/>
    <w:pPr>
      <w:pBdr>
        <w:top w:val="single" w:sz="4" w:space="0" w:color="auto"/>
        <w:left w:val="single" w:sz="4" w:space="0" w:color="auto"/>
        <w:bottom w:val="single" w:sz="4" w:space="0" w:color="auto"/>
        <w:right w:val="single" w:sz="8" w:space="0" w:color="auto"/>
      </w:pBdr>
      <w:shd w:val="clear" w:color="000000" w:fill="8DB4E3"/>
      <w:spacing w:before="100" w:beforeAutospacing="1" w:after="100" w:afterAutospacing="1"/>
      <w:textAlignment w:val="center"/>
    </w:pPr>
    <w:rPr>
      <w:rFonts w:asciiTheme="minorHAnsi" w:hAnsiTheme="minorHAnsi" w:cstheme="minorHAnsi"/>
      <w:b/>
      <w:bCs/>
      <w:lang w:eastAsia="sk-SK"/>
    </w:rPr>
  </w:style>
  <w:style w:type="paragraph" w:customStyle="1" w:styleId="xl2526">
    <w:name w:val="xl2526"/>
    <w:basedOn w:val="Normlny"/>
    <w:rsid w:val="0025522E"/>
    <w:pPr>
      <w:pBdr>
        <w:top w:val="single" w:sz="4" w:space="0" w:color="auto"/>
        <w:left w:val="single" w:sz="8" w:space="0" w:color="auto"/>
        <w:bottom w:val="single" w:sz="4" w:space="0" w:color="auto"/>
        <w:right w:val="single" w:sz="8" w:space="0" w:color="auto"/>
      </w:pBdr>
      <w:shd w:val="clear" w:color="000000" w:fill="8DB4E3"/>
      <w:spacing w:before="100" w:beforeAutospacing="1" w:after="100" w:afterAutospacing="1"/>
      <w:jc w:val="center"/>
      <w:textAlignment w:val="center"/>
    </w:pPr>
    <w:rPr>
      <w:rFonts w:asciiTheme="minorHAnsi" w:hAnsiTheme="minorHAnsi" w:cstheme="minorHAnsi"/>
      <w:sz w:val="18"/>
      <w:szCs w:val="18"/>
      <w:lang w:eastAsia="sk-SK"/>
    </w:rPr>
  </w:style>
  <w:style w:type="paragraph" w:customStyle="1" w:styleId="xl2527">
    <w:name w:val="xl2527"/>
    <w:basedOn w:val="Normlny"/>
    <w:rsid w:val="0025522E"/>
    <w:pPr>
      <w:pBdr>
        <w:left w:val="single" w:sz="8" w:space="0" w:color="auto"/>
        <w:right w:val="single" w:sz="4" w:space="0" w:color="auto"/>
      </w:pBdr>
      <w:shd w:val="clear" w:color="000000" w:fill="95B3D7"/>
      <w:spacing w:before="100" w:beforeAutospacing="1" w:after="100" w:afterAutospacing="1"/>
      <w:textAlignment w:val="center"/>
    </w:pPr>
    <w:rPr>
      <w:rFonts w:asciiTheme="minorHAnsi" w:hAnsiTheme="minorHAnsi" w:cstheme="minorHAnsi"/>
      <w:b/>
      <w:bCs/>
      <w:lang w:eastAsia="sk-SK"/>
    </w:rPr>
  </w:style>
  <w:style w:type="paragraph" w:customStyle="1" w:styleId="xl2528">
    <w:name w:val="xl2528"/>
    <w:basedOn w:val="Normlny"/>
    <w:rsid w:val="0025522E"/>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29">
    <w:name w:val="xl2529"/>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lang w:eastAsia="sk-SK"/>
    </w:rPr>
  </w:style>
  <w:style w:type="paragraph" w:customStyle="1" w:styleId="xl2530">
    <w:name w:val="xl2530"/>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lang w:eastAsia="sk-SK"/>
    </w:rPr>
  </w:style>
  <w:style w:type="paragraph" w:customStyle="1" w:styleId="xl2531">
    <w:name w:val="xl2531"/>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color w:val="FF0000"/>
      <w:lang w:eastAsia="sk-SK"/>
    </w:rPr>
  </w:style>
  <w:style w:type="paragraph" w:customStyle="1" w:styleId="xl2532">
    <w:name w:val="xl2532"/>
    <w:basedOn w:val="Normlny"/>
    <w:rsid w:val="0025522E"/>
    <w:pPr>
      <w:pBdr>
        <w:top w:val="single" w:sz="4" w:space="0" w:color="auto"/>
        <w:left w:val="single" w:sz="8" w:space="0" w:color="auto"/>
        <w:bottom w:val="single" w:sz="4" w:space="0" w:color="auto"/>
        <w:right w:val="single" w:sz="4" w:space="0" w:color="auto"/>
      </w:pBdr>
      <w:shd w:val="clear" w:color="000000" w:fill="632523"/>
      <w:spacing w:before="100" w:beforeAutospacing="1" w:after="100" w:afterAutospacing="1"/>
      <w:textAlignment w:val="center"/>
    </w:pPr>
    <w:rPr>
      <w:rFonts w:asciiTheme="minorHAnsi" w:hAnsiTheme="minorHAnsi" w:cstheme="minorHAnsi"/>
      <w:b/>
      <w:bCs/>
      <w:color w:val="FFFFFF"/>
      <w:lang w:eastAsia="sk-SK"/>
    </w:rPr>
  </w:style>
  <w:style w:type="paragraph" w:customStyle="1" w:styleId="xl2533">
    <w:name w:val="xl2533"/>
    <w:basedOn w:val="Normlny"/>
    <w:rsid w:val="0025522E"/>
    <w:pPr>
      <w:pBdr>
        <w:top w:val="single" w:sz="4" w:space="0" w:color="auto"/>
        <w:left w:val="single" w:sz="4" w:space="0" w:color="auto"/>
        <w:bottom w:val="single" w:sz="4" w:space="0" w:color="auto"/>
        <w:right w:val="single" w:sz="8" w:space="0" w:color="auto"/>
      </w:pBdr>
      <w:shd w:val="clear" w:color="000000" w:fill="632523"/>
      <w:spacing w:before="100" w:beforeAutospacing="1" w:after="100" w:afterAutospacing="1"/>
      <w:textAlignment w:val="center"/>
    </w:pPr>
    <w:rPr>
      <w:rFonts w:asciiTheme="minorHAnsi" w:hAnsiTheme="minorHAnsi" w:cstheme="minorHAnsi"/>
      <w:b/>
      <w:bCs/>
      <w:color w:val="FFFFFF"/>
      <w:lang w:eastAsia="sk-SK"/>
    </w:rPr>
  </w:style>
  <w:style w:type="paragraph" w:customStyle="1" w:styleId="xl2534">
    <w:name w:val="xl2534"/>
    <w:basedOn w:val="Normlny"/>
    <w:rsid w:val="0025522E"/>
    <w:pPr>
      <w:pBdr>
        <w:top w:val="single" w:sz="4" w:space="0" w:color="auto"/>
        <w:left w:val="single" w:sz="8" w:space="0" w:color="auto"/>
        <w:bottom w:val="single" w:sz="4" w:space="0" w:color="auto"/>
        <w:right w:val="single" w:sz="8" w:space="0" w:color="auto"/>
      </w:pBdr>
      <w:shd w:val="clear" w:color="000000" w:fill="632523"/>
      <w:spacing w:before="100" w:beforeAutospacing="1" w:after="100" w:afterAutospacing="1"/>
      <w:jc w:val="center"/>
      <w:textAlignment w:val="center"/>
    </w:pPr>
    <w:rPr>
      <w:rFonts w:asciiTheme="minorHAnsi" w:hAnsiTheme="minorHAnsi" w:cstheme="minorHAnsi"/>
      <w:sz w:val="18"/>
      <w:szCs w:val="18"/>
      <w:lang w:eastAsia="sk-SK"/>
    </w:rPr>
  </w:style>
  <w:style w:type="paragraph" w:customStyle="1" w:styleId="xl2535">
    <w:name w:val="xl2535"/>
    <w:basedOn w:val="Normlny"/>
    <w:rsid w:val="0025522E"/>
    <w:pPr>
      <w:pBdr>
        <w:top w:val="single" w:sz="4" w:space="0" w:color="auto"/>
        <w:left w:val="single" w:sz="8" w:space="0" w:color="auto"/>
        <w:bottom w:val="single" w:sz="4" w:space="0" w:color="auto"/>
        <w:right w:val="single" w:sz="4" w:space="0" w:color="auto"/>
      </w:pBdr>
      <w:shd w:val="clear" w:color="000000" w:fill="C0504D"/>
      <w:spacing w:before="100" w:beforeAutospacing="1" w:after="100" w:afterAutospacing="1"/>
      <w:textAlignment w:val="center"/>
    </w:pPr>
    <w:rPr>
      <w:rFonts w:asciiTheme="minorHAnsi" w:hAnsiTheme="minorHAnsi" w:cstheme="minorHAnsi"/>
      <w:b/>
      <w:bCs/>
      <w:color w:val="FFFFFF"/>
      <w:lang w:eastAsia="sk-SK"/>
    </w:rPr>
  </w:style>
  <w:style w:type="paragraph" w:customStyle="1" w:styleId="xl2536">
    <w:name w:val="xl2536"/>
    <w:basedOn w:val="Normlny"/>
    <w:rsid w:val="0025522E"/>
    <w:pPr>
      <w:pBdr>
        <w:top w:val="single" w:sz="4" w:space="0" w:color="auto"/>
        <w:left w:val="single" w:sz="4" w:space="0" w:color="auto"/>
        <w:bottom w:val="single" w:sz="4" w:space="0" w:color="auto"/>
        <w:right w:val="single" w:sz="8" w:space="0" w:color="auto"/>
      </w:pBdr>
      <w:shd w:val="clear" w:color="000000" w:fill="C0504D"/>
      <w:spacing w:before="100" w:beforeAutospacing="1" w:after="100" w:afterAutospacing="1"/>
      <w:textAlignment w:val="center"/>
    </w:pPr>
    <w:rPr>
      <w:rFonts w:asciiTheme="minorHAnsi" w:hAnsiTheme="minorHAnsi" w:cstheme="minorHAnsi"/>
      <w:b/>
      <w:bCs/>
      <w:color w:val="FFFFFF"/>
      <w:lang w:eastAsia="sk-SK"/>
    </w:rPr>
  </w:style>
  <w:style w:type="paragraph" w:customStyle="1" w:styleId="xl2537">
    <w:name w:val="xl2537"/>
    <w:basedOn w:val="Normlny"/>
    <w:rsid w:val="0025522E"/>
    <w:pPr>
      <w:pBdr>
        <w:top w:val="single" w:sz="4" w:space="0" w:color="auto"/>
        <w:left w:val="single" w:sz="8" w:space="0" w:color="auto"/>
        <w:bottom w:val="single" w:sz="4" w:space="0" w:color="auto"/>
        <w:right w:val="single" w:sz="8" w:space="0" w:color="auto"/>
      </w:pBdr>
      <w:shd w:val="clear" w:color="000000" w:fill="C0504D"/>
      <w:spacing w:before="100" w:beforeAutospacing="1" w:after="100" w:afterAutospacing="1"/>
      <w:jc w:val="center"/>
      <w:textAlignment w:val="center"/>
    </w:pPr>
    <w:rPr>
      <w:rFonts w:asciiTheme="minorHAnsi" w:hAnsiTheme="minorHAnsi" w:cstheme="minorHAnsi"/>
      <w:sz w:val="18"/>
      <w:szCs w:val="18"/>
      <w:lang w:eastAsia="sk-SK"/>
    </w:rPr>
  </w:style>
  <w:style w:type="paragraph" w:customStyle="1" w:styleId="xl2538">
    <w:name w:val="xl2538"/>
    <w:basedOn w:val="Normlny"/>
    <w:rsid w:val="0025522E"/>
    <w:pPr>
      <w:pBdr>
        <w:top w:val="single" w:sz="4" w:space="0" w:color="auto"/>
        <w:left w:val="single" w:sz="8" w:space="0" w:color="auto"/>
        <w:right w:val="single" w:sz="4" w:space="0" w:color="auto"/>
      </w:pBdr>
      <w:shd w:val="clear" w:color="000000" w:fill="E6B9B8"/>
      <w:spacing w:before="100" w:beforeAutospacing="1" w:after="100" w:afterAutospacing="1"/>
      <w:textAlignment w:val="center"/>
    </w:pPr>
    <w:rPr>
      <w:rFonts w:asciiTheme="minorHAnsi" w:hAnsiTheme="minorHAnsi" w:cstheme="minorHAnsi"/>
      <w:b/>
      <w:bCs/>
      <w:lang w:eastAsia="sk-SK"/>
    </w:rPr>
  </w:style>
  <w:style w:type="paragraph" w:customStyle="1" w:styleId="xl2539">
    <w:name w:val="xl2539"/>
    <w:basedOn w:val="Normlny"/>
    <w:rsid w:val="0025522E"/>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textAlignment w:val="center"/>
    </w:pPr>
    <w:rPr>
      <w:rFonts w:asciiTheme="minorHAnsi" w:hAnsiTheme="minorHAnsi" w:cstheme="minorHAnsi"/>
      <w:b/>
      <w:bCs/>
      <w:lang w:eastAsia="sk-SK"/>
    </w:rPr>
  </w:style>
  <w:style w:type="paragraph" w:customStyle="1" w:styleId="xl2540">
    <w:name w:val="xl2540"/>
    <w:basedOn w:val="Normlny"/>
    <w:rsid w:val="0025522E"/>
    <w:pPr>
      <w:pBdr>
        <w:top w:val="single" w:sz="4" w:space="0" w:color="auto"/>
        <w:left w:val="single" w:sz="8" w:space="0" w:color="auto"/>
        <w:bottom w:val="single" w:sz="4" w:space="0" w:color="auto"/>
        <w:right w:val="single" w:sz="8" w:space="0" w:color="auto"/>
      </w:pBdr>
      <w:shd w:val="clear" w:color="000000" w:fill="E6B9B8"/>
      <w:spacing w:before="100" w:beforeAutospacing="1" w:after="100" w:afterAutospacing="1"/>
      <w:jc w:val="right"/>
      <w:textAlignment w:val="center"/>
    </w:pPr>
    <w:rPr>
      <w:rFonts w:asciiTheme="minorHAnsi" w:hAnsiTheme="minorHAnsi" w:cstheme="minorHAnsi"/>
      <w:lang w:eastAsia="sk-SK"/>
    </w:rPr>
  </w:style>
  <w:style w:type="paragraph" w:customStyle="1" w:styleId="xl2541">
    <w:name w:val="xl2541"/>
    <w:basedOn w:val="Normlny"/>
    <w:rsid w:val="0025522E"/>
    <w:pPr>
      <w:pBdr>
        <w:left w:val="single" w:sz="8" w:space="0" w:color="auto"/>
        <w:right w:val="single" w:sz="4" w:space="0" w:color="auto"/>
      </w:pBdr>
      <w:shd w:val="clear" w:color="000000" w:fill="E6B9B8"/>
      <w:spacing w:before="100" w:beforeAutospacing="1" w:after="100" w:afterAutospacing="1"/>
      <w:textAlignment w:val="center"/>
    </w:pPr>
    <w:rPr>
      <w:rFonts w:asciiTheme="minorHAnsi" w:hAnsiTheme="minorHAnsi" w:cstheme="minorHAnsi"/>
      <w:b/>
      <w:bCs/>
      <w:lang w:eastAsia="sk-SK"/>
    </w:rPr>
  </w:style>
  <w:style w:type="paragraph" w:customStyle="1" w:styleId="xl2542">
    <w:name w:val="xl2542"/>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lang w:eastAsia="sk-SK"/>
    </w:rPr>
  </w:style>
  <w:style w:type="paragraph" w:customStyle="1" w:styleId="xl2543">
    <w:name w:val="xl2543"/>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lang w:eastAsia="sk-SK"/>
    </w:rPr>
  </w:style>
  <w:style w:type="paragraph" w:customStyle="1" w:styleId="xl2544">
    <w:name w:val="xl2544"/>
    <w:basedOn w:val="Normlny"/>
    <w:rsid w:val="0025522E"/>
    <w:pPr>
      <w:pBdr>
        <w:left w:val="single" w:sz="8" w:space="0" w:color="auto"/>
        <w:bottom w:val="single" w:sz="4" w:space="0" w:color="auto"/>
        <w:right w:val="single" w:sz="4" w:space="0" w:color="auto"/>
      </w:pBdr>
      <w:shd w:val="clear" w:color="000000" w:fill="E6B9B8"/>
      <w:spacing w:before="100" w:beforeAutospacing="1" w:after="100" w:afterAutospacing="1"/>
      <w:textAlignment w:val="center"/>
    </w:pPr>
    <w:rPr>
      <w:rFonts w:asciiTheme="minorHAnsi" w:hAnsiTheme="minorHAnsi" w:cstheme="minorHAnsi"/>
      <w:b/>
      <w:bCs/>
      <w:lang w:eastAsia="sk-SK"/>
    </w:rPr>
  </w:style>
  <w:style w:type="paragraph" w:customStyle="1" w:styleId="xl2545">
    <w:name w:val="xl2545"/>
    <w:basedOn w:val="Normlny"/>
    <w:rsid w:val="0025522E"/>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46">
    <w:name w:val="xl2546"/>
    <w:basedOn w:val="Normlny"/>
    <w:rsid w:val="0025522E"/>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47">
    <w:name w:val="xl2547"/>
    <w:basedOn w:val="Normlny"/>
    <w:rsid w:val="0025522E"/>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right"/>
    </w:pPr>
    <w:rPr>
      <w:rFonts w:asciiTheme="minorHAnsi" w:hAnsiTheme="minorHAnsi" w:cstheme="minorHAnsi"/>
      <w:b/>
      <w:bCs/>
      <w:i/>
      <w:iCs/>
      <w:lang w:eastAsia="sk-SK"/>
    </w:rPr>
  </w:style>
  <w:style w:type="paragraph" w:customStyle="1" w:styleId="xl2548">
    <w:name w:val="xl2548"/>
    <w:basedOn w:val="Normlny"/>
    <w:rsid w:val="0025522E"/>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49">
    <w:name w:val="xl2549"/>
    <w:basedOn w:val="Normlny"/>
    <w:rsid w:val="0025522E"/>
    <w:pPr>
      <w:pBdr>
        <w:top w:val="single" w:sz="4" w:space="0" w:color="auto"/>
        <w:left w:val="single" w:sz="8" w:space="0" w:color="auto"/>
        <w:right w:val="single" w:sz="4" w:space="0" w:color="auto"/>
      </w:pBdr>
      <w:shd w:val="clear" w:color="000000" w:fill="BFBFBF"/>
      <w:spacing w:before="100" w:beforeAutospacing="1" w:after="100" w:afterAutospacing="1"/>
      <w:textAlignment w:val="center"/>
    </w:pPr>
    <w:rPr>
      <w:rFonts w:asciiTheme="minorHAnsi" w:hAnsiTheme="minorHAnsi" w:cstheme="minorHAnsi"/>
      <w:b/>
      <w:bCs/>
      <w:lang w:eastAsia="sk-SK"/>
    </w:rPr>
  </w:style>
  <w:style w:type="paragraph" w:customStyle="1" w:styleId="xl2550">
    <w:name w:val="xl2550"/>
    <w:basedOn w:val="Normlny"/>
    <w:rsid w:val="0025522E"/>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textAlignment w:val="center"/>
    </w:pPr>
    <w:rPr>
      <w:rFonts w:asciiTheme="minorHAnsi" w:hAnsiTheme="minorHAnsi" w:cstheme="minorHAnsi"/>
      <w:b/>
      <w:bCs/>
      <w:lang w:eastAsia="sk-SK"/>
    </w:rPr>
  </w:style>
  <w:style w:type="paragraph" w:customStyle="1" w:styleId="xl2551">
    <w:name w:val="xl2551"/>
    <w:basedOn w:val="Normlny"/>
    <w:rsid w:val="0025522E"/>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jc w:val="right"/>
      <w:textAlignment w:val="center"/>
    </w:pPr>
    <w:rPr>
      <w:rFonts w:asciiTheme="minorHAnsi" w:hAnsiTheme="minorHAnsi" w:cstheme="minorHAnsi"/>
      <w:lang w:eastAsia="sk-SK"/>
    </w:rPr>
  </w:style>
  <w:style w:type="paragraph" w:customStyle="1" w:styleId="xl2552">
    <w:name w:val="xl2552"/>
    <w:basedOn w:val="Normlny"/>
    <w:rsid w:val="0025522E"/>
    <w:pPr>
      <w:pBdr>
        <w:left w:val="single" w:sz="8" w:space="0" w:color="auto"/>
        <w:right w:val="single" w:sz="4" w:space="0" w:color="auto"/>
      </w:pBdr>
      <w:shd w:val="clear" w:color="000000" w:fill="BFBFBF"/>
      <w:spacing w:before="100" w:beforeAutospacing="1" w:after="100" w:afterAutospacing="1"/>
      <w:textAlignment w:val="center"/>
    </w:pPr>
    <w:rPr>
      <w:rFonts w:asciiTheme="minorHAnsi" w:hAnsiTheme="minorHAnsi" w:cstheme="minorHAnsi"/>
      <w:b/>
      <w:bCs/>
      <w:lang w:eastAsia="sk-SK"/>
    </w:rPr>
  </w:style>
  <w:style w:type="paragraph" w:customStyle="1" w:styleId="xl2553">
    <w:name w:val="xl2553"/>
    <w:basedOn w:val="Normlny"/>
    <w:rsid w:val="0025522E"/>
    <w:pPr>
      <w:pBdr>
        <w:left w:val="single" w:sz="8" w:space="0" w:color="auto"/>
        <w:bottom w:val="single" w:sz="4" w:space="0" w:color="auto"/>
        <w:right w:val="single" w:sz="4" w:space="0" w:color="auto"/>
      </w:pBdr>
      <w:shd w:val="clear" w:color="000000" w:fill="BFBFBF"/>
      <w:spacing w:before="100" w:beforeAutospacing="1" w:after="100" w:afterAutospacing="1"/>
      <w:textAlignment w:val="center"/>
    </w:pPr>
    <w:rPr>
      <w:rFonts w:asciiTheme="minorHAnsi" w:hAnsiTheme="minorHAnsi" w:cstheme="minorHAnsi"/>
      <w:b/>
      <w:bCs/>
      <w:lang w:eastAsia="sk-SK"/>
    </w:rPr>
  </w:style>
  <w:style w:type="paragraph" w:customStyle="1" w:styleId="xl2554">
    <w:name w:val="xl2554"/>
    <w:basedOn w:val="Normlny"/>
    <w:rsid w:val="0025522E"/>
    <w:pPr>
      <w:pBdr>
        <w:top w:val="single" w:sz="4" w:space="0" w:color="auto"/>
        <w:left w:val="single" w:sz="8"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heme="minorHAnsi" w:hAnsiTheme="minorHAnsi" w:cstheme="minorHAnsi"/>
      <w:lang w:eastAsia="sk-SK"/>
    </w:rPr>
  </w:style>
  <w:style w:type="paragraph" w:customStyle="1" w:styleId="xl2555">
    <w:name w:val="xl2555"/>
    <w:basedOn w:val="Normlny"/>
    <w:rsid w:val="0025522E"/>
    <w:pPr>
      <w:pBdr>
        <w:top w:val="single" w:sz="4" w:space="0" w:color="auto"/>
        <w:left w:val="single" w:sz="8" w:space="0" w:color="auto"/>
        <w:bottom w:val="single" w:sz="4" w:space="0" w:color="auto"/>
        <w:right w:val="single" w:sz="8" w:space="0" w:color="auto"/>
      </w:pBdr>
      <w:shd w:val="clear" w:color="000000" w:fill="EAF1DD"/>
      <w:spacing w:before="100" w:beforeAutospacing="1" w:after="100" w:afterAutospacing="1"/>
      <w:jc w:val="right"/>
      <w:textAlignment w:val="center"/>
    </w:pPr>
    <w:rPr>
      <w:rFonts w:asciiTheme="minorHAnsi" w:hAnsiTheme="minorHAnsi" w:cstheme="minorHAnsi"/>
      <w:lang w:eastAsia="sk-SK"/>
    </w:rPr>
  </w:style>
  <w:style w:type="paragraph" w:customStyle="1" w:styleId="xl2556">
    <w:name w:val="xl2556"/>
    <w:basedOn w:val="Normlny"/>
    <w:rsid w:val="0025522E"/>
    <w:pPr>
      <w:pBdr>
        <w:top w:val="single" w:sz="4" w:space="0" w:color="auto"/>
        <w:left w:val="single" w:sz="8"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heme="minorHAnsi" w:hAnsiTheme="minorHAnsi" w:cstheme="minorHAnsi"/>
      <w:lang w:eastAsia="sk-SK"/>
    </w:rPr>
  </w:style>
  <w:style w:type="paragraph" w:customStyle="1" w:styleId="xl2557">
    <w:name w:val="xl2557"/>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58">
    <w:name w:val="xl2558"/>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59">
    <w:name w:val="xl2559"/>
    <w:basedOn w:val="Normlny"/>
    <w:rsid w:val="0025522E"/>
    <w:pPr>
      <w:pBdr>
        <w:top w:val="single" w:sz="4" w:space="0" w:color="auto"/>
        <w:left w:val="single" w:sz="8"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60">
    <w:name w:val="xl2560"/>
    <w:basedOn w:val="Normlny"/>
    <w:rsid w:val="0025522E"/>
    <w:pPr>
      <w:pBdr>
        <w:top w:val="single" w:sz="4" w:space="0" w:color="auto"/>
        <w:left w:val="single" w:sz="8" w:space="0" w:color="auto"/>
        <w:bottom w:val="single" w:sz="4" w:space="0" w:color="auto"/>
        <w:right w:val="single" w:sz="8" w:space="0" w:color="auto"/>
      </w:pBdr>
      <w:shd w:val="clear" w:color="000000" w:fill="DCE6F1"/>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61">
    <w:name w:val="xl2561"/>
    <w:basedOn w:val="Normlny"/>
    <w:rsid w:val="0025522E"/>
    <w:pPr>
      <w:pBdr>
        <w:top w:val="single" w:sz="4" w:space="0" w:color="auto"/>
        <w:left w:val="single" w:sz="8" w:space="0" w:color="auto"/>
        <w:bottom w:val="single" w:sz="4" w:space="0" w:color="auto"/>
        <w:right w:val="single" w:sz="8" w:space="0" w:color="auto"/>
      </w:pBdr>
      <w:shd w:val="clear" w:color="000000" w:fill="EAF1DD"/>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62">
    <w:name w:val="xl2562"/>
    <w:basedOn w:val="Normlny"/>
    <w:rsid w:val="0025522E"/>
    <w:pPr>
      <w:pBdr>
        <w:top w:val="single" w:sz="4" w:space="0" w:color="auto"/>
        <w:left w:val="single" w:sz="8" w:space="0" w:color="auto"/>
        <w:bottom w:val="single" w:sz="4" w:space="0" w:color="auto"/>
        <w:right w:val="single" w:sz="8" w:space="0" w:color="auto"/>
      </w:pBdr>
      <w:shd w:val="clear" w:color="000000" w:fill="E5E0EC"/>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63">
    <w:name w:val="xl2563"/>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64">
    <w:name w:val="xl2564"/>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textAlignment w:val="center"/>
    </w:pPr>
    <w:rPr>
      <w:rFonts w:asciiTheme="minorHAnsi" w:hAnsiTheme="minorHAnsi" w:cstheme="minorHAnsi"/>
      <w:b/>
      <w:bCs/>
      <w:i/>
      <w:iCs/>
      <w:lang w:eastAsia="sk-SK"/>
    </w:rPr>
  </w:style>
  <w:style w:type="paragraph" w:customStyle="1" w:styleId="xl2565">
    <w:name w:val="xl2565"/>
    <w:basedOn w:val="Normlny"/>
    <w:rsid w:val="0025522E"/>
    <w:pPr>
      <w:pBdr>
        <w:top w:val="single" w:sz="4" w:space="0" w:color="auto"/>
        <w:left w:val="single" w:sz="8" w:space="0" w:color="auto"/>
        <w:bottom w:val="single" w:sz="4" w:space="0" w:color="auto"/>
        <w:right w:val="single" w:sz="8" w:space="0" w:color="auto"/>
      </w:pBdr>
      <w:shd w:val="clear" w:color="000000" w:fill="E5E0EC"/>
      <w:spacing w:before="100" w:beforeAutospacing="1" w:after="100" w:afterAutospacing="1"/>
      <w:jc w:val="right"/>
      <w:textAlignment w:val="center"/>
    </w:pPr>
    <w:rPr>
      <w:rFonts w:asciiTheme="minorHAnsi" w:hAnsiTheme="minorHAnsi" w:cstheme="minorHAnsi"/>
      <w:lang w:eastAsia="sk-SK"/>
    </w:rPr>
  </w:style>
  <w:style w:type="paragraph" w:customStyle="1" w:styleId="xl2566">
    <w:name w:val="xl2566"/>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color w:val="FF0000"/>
      <w:lang w:eastAsia="sk-SK"/>
    </w:rPr>
  </w:style>
  <w:style w:type="paragraph" w:customStyle="1" w:styleId="xl2567">
    <w:name w:val="xl2567"/>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color w:val="FF0000"/>
      <w:lang w:eastAsia="sk-SK"/>
    </w:rPr>
  </w:style>
  <w:style w:type="paragraph" w:customStyle="1" w:styleId="xl2568">
    <w:name w:val="xl2568"/>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lang w:eastAsia="sk-SK"/>
    </w:rPr>
  </w:style>
  <w:style w:type="paragraph" w:customStyle="1" w:styleId="xl2569">
    <w:name w:val="xl2569"/>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lang w:eastAsia="sk-SK"/>
    </w:rPr>
  </w:style>
  <w:style w:type="paragraph" w:customStyle="1" w:styleId="xl2570">
    <w:name w:val="xl2570"/>
    <w:basedOn w:val="Normlny"/>
    <w:rsid w:val="0025522E"/>
    <w:pPr>
      <w:pBdr>
        <w:top w:val="single" w:sz="4" w:space="0" w:color="auto"/>
        <w:left w:val="single" w:sz="8" w:space="0" w:color="auto"/>
        <w:bottom w:val="single" w:sz="4" w:space="0" w:color="auto"/>
        <w:right w:val="single" w:sz="8" w:space="0" w:color="auto"/>
      </w:pBdr>
      <w:shd w:val="clear" w:color="000000" w:fill="E5E0EC"/>
      <w:spacing w:before="100" w:beforeAutospacing="1" w:after="100" w:afterAutospacing="1"/>
      <w:jc w:val="right"/>
      <w:textAlignment w:val="center"/>
    </w:pPr>
    <w:rPr>
      <w:rFonts w:asciiTheme="minorHAnsi" w:hAnsiTheme="minorHAnsi" w:cstheme="minorHAnsi"/>
      <w:lang w:eastAsia="sk-SK"/>
    </w:rPr>
  </w:style>
  <w:style w:type="paragraph" w:customStyle="1" w:styleId="xl2571">
    <w:name w:val="xl2571"/>
    <w:basedOn w:val="Normlny"/>
    <w:rsid w:val="0025522E"/>
    <w:pPr>
      <w:pBdr>
        <w:top w:val="single" w:sz="4" w:space="0" w:color="auto"/>
        <w:left w:val="single" w:sz="8" w:space="0" w:color="auto"/>
        <w:bottom w:val="single" w:sz="4" w:space="0" w:color="auto"/>
        <w:right w:val="single" w:sz="8" w:space="0" w:color="auto"/>
      </w:pBdr>
      <w:shd w:val="clear" w:color="000000" w:fill="E5E0EC"/>
      <w:spacing w:before="100" w:beforeAutospacing="1" w:after="100" w:afterAutospacing="1"/>
      <w:jc w:val="right"/>
      <w:textAlignment w:val="center"/>
    </w:pPr>
    <w:rPr>
      <w:rFonts w:asciiTheme="minorHAnsi" w:hAnsiTheme="minorHAnsi" w:cstheme="minorHAnsi"/>
      <w:lang w:eastAsia="sk-SK"/>
    </w:rPr>
  </w:style>
  <w:style w:type="paragraph" w:customStyle="1" w:styleId="xl2572">
    <w:name w:val="xl2572"/>
    <w:basedOn w:val="Normlny"/>
    <w:rsid w:val="0025522E"/>
    <w:pPr>
      <w:pBdr>
        <w:top w:val="single" w:sz="4" w:space="0" w:color="auto"/>
        <w:left w:val="single" w:sz="8" w:space="0" w:color="auto"/>
        <w:bottom w:val="single" w:sz="4" w:space="0" w:color="auto"/>
        <w:right w:val="single" w:sz="8" w:space="0" w:color="auto"/>
      </w:pBdr>
      <w:shd w:val="clear" w:color="000000" w:fill="EAF1DD"/>
      <w:spacing w:before="100" w:beforeAutospacing="1" w:after="100" w:afterAutospacing="1"/>
      <w:jc w:val="right"/>
      <w:textAlignment w:val="center"/>
    </w:pPr>
    <w:rPr>
      <w:rFonts w:asciiTheme="minorHAnsi" w:hAnsiTheme="minorHAnsi" w:cstheme="minorHAnsi"/>
      <w:lang w:eastAsia="sk-SK"/>
    </w:rPr>
  </w:style>
  <w:style w:type="paragraph" w:customStyle="1" w:styleId="xl2573">
    <w:name w:val="xl2573"/>
    <w:basedOn w:val="Normlny"/>
    <w:rsid w:val="0025522E"/>
    <w:pPr>
      <w:spacing w:before="100" w:beforeAutospacing="1" w:after="100" w:afterAutospacing="1"/>
      <w:textAlignment w:val="center"/>
    </w:pPr>
    <w:rPr>
      <w:rFonts w:asciiTheme="minorHAnsi" w:hAnsiTheme="minorHAnsi" w:cstheme="minorHAnsi"/>
      <w:lang w:eastAsia="sk-SK"/>
    </w:rPr>
  </w:style>
  <w:style w:type="paragraph" w:customStyle="1" w:styleId="xl2574">
    <w:name w:val="xl2574"/>
    <w:basedOn w:val="Normlny"/>
    <w:rsid w:val="0025522E"/>
    <w:pPr>
      <w:spacing w:before="100" w:beforeAutospacing="1" w:after="100" w:afterAutospacing="1"/>
      <w:textAlignment w:val="center"/>
    </w:pPr>
    <w:rPr>
      <w:rFonts w:asciiTheme="minorHAnsi" w:hAnsiTheme="minorHAnsi" w:cstheme="minorHAnsi"/>
      <w:b/>
      <w:bCs/>
      <w:lang w:eastAsia="sk-SK"/>
    </w:rPr>
  </w:style>
  <w:style w:type="paragraph" w:customStyle="1" w:styleId="xl2575">
    <w:name w:val="xl2575"/>
    <w:basedOn w:val="Normlny"/>
    <w:rsid w:val="0025522E"/>
    <w:pPr>
      <w:shd w:val="clear" w:color="000000" w:fill="4F6228"/>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76">
    <w:name w:val="xl2576"/>
    <w:basedOn w:val="Normlny"/>
    <w:rsid w:val="0025522E"/>
    <w:pPr>
      <w:pBdr>
        <w:top w:val="single" w:sz="4" w:space="0" w:color="auto"/>
        <w:left w:val="single" w:sz="8" w:space="0" w:color="auto"/>
        <w:bottom w:val="single" w:sz="4" w:space="0" w:color="auto"/>
        <w:right w:val="single" w:sz="8" w:space="0" w:color="auto"/>
      </w:pBdr>
      <w:shd w:val="clear" w:color="000000" w:fill="E6B9B8"/>
      <w:spacing w:before="100" w:beforeAutospacing="1" w:after="100" w:afterAutospacing="1"/>
      <w:jc w:val="right"/>
      <w:textAlignment w:val="center"/>
    </w:pPr>
    <w:rPr>
      <w:rFonts w:asciiTheme="minorHAnsi" w:hAnsiTheme="minorHAnsi" w:cstheme="minorHAnsi"/>
      <w:lang w:eastAsia="sk-SK"/>
    </w:rPr>
  </w:style>
  <w:style w:type="paragraph" w:customStyle="1" w:styleId="xl2577">
    <w:name w:val="xl2577"/>
    <w:basedOn w:val="Normlny"/>
    <w:rsid w:val="0025522E"/>
    <w:pPr>
      <w:pBdr>
        <w:top w:val="single" w:sz="4" w:space="0" w:color="auto"/>
        <w:left w:val="single" w:sz="8" w:space="0" w:color="auto"/>
        <w:bottom w:val="single" w:sz="4" w:space="0" w:color="auto"/>
        <w:right w:val="single" w:sz="8" w:space="0" w:color="auto"/>
      </w:pBdr>
      <w:shd w:val="clear" w:color="000000" w:fill="BFBFBF"/>
      <w:spacing w:before="100" w:beforeAutospacing="1" w:after="100" w:afterAutospacing="1"/>
      <w:jc w:val="center"/>
      <w:textAlignment w:val="center"/>
    </w:pPr>
    <w:rPr>
      <w:rFonts w:asciiTheme="minorHAnsi" w:hAnsiTheme="minorHAnsi" w:cstheme="minorHAnsi"/>
      <w:lang w:eastAsia="sk-SK"/>
    </w:rPr>
  </w:style>
  <w:style w:type="paragraph" w:customStyle="1" w:styleId="xl2578">
    <w:name w:val="xl2578"/>
    <w:basedOn w:val="Normlny"/>
    <w:rsid w:val="0025522E"/>
    <w:pPr>
      <w:pBdr>
        <w:top w:val="single" w:sz="8" w:space="0" w:color="auto"/>
        <w:left w:val="single" w:sz="8" w:space="0" w:color="auto"/>
        <w:bottom w:val="single" w:sz="4" w:space="0" w:color="auto"/>
      </w:pBdr>
      <w:shd w:val="clear" w:color="000000" w:fill="4F6228"/>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79">
    <w:name w:val="xl2579"/>
    <w:basedOn w:val="Normlny"/>
    <w:rsid w:val="0025522E"/>
    <w:pPr>
      <w:pBdr>
        <w:top w:val="single" w:sz="8" w:space="0" w:color="auto"/>
        <w:left w:val="single" w:sz="8" w:space="0" w:color="auto"/>
        <w:bottom w:val="single" w:sz="4" w:space="0" w:color="auto"/>
      </w:pBdr>
      <w:shd w:val="clear" w:color="000000" w:fill="1F497D"/>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80">
    <w:name w:val="xl2580"/>
    <w:basedOn w:val="Normlny"/>
    <w:rsid w:val="0025522E"/>
    <w:pPr>
      <w:pBdr>
        <w:top w:val="single" w:sz="8" w:space="0" w:color="auto"/>
        <w:bottom w:val="single" w:sz="4" w:space="0" w:color="auto"/>
        <w:right w:val="single" w:sz="8" w:space="0" w:color="auto"/>
      </w:pBdr>
      <w:shd w:val="clear" w:color="000000" w:fill="1F497D"/>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81">
    <w:name w:val="xl2581"/>
    <w:basedOn w:val="Normlny"/>
    <w:rsid w:val="0025522E"/>
    <w:pPr>
      <w:pBdr>
        <w:top w:val="single" w:sz="8" w:space="0" w:color="auto"/>
        <w:left w:val="single" w:sz="8" w:space="0" w:color="auto"/>
        <w:bottom w:val="single" w:sz="4" w:space="0" w:color="auto"/>
      </w:pBdr>
      <w:shd w:val="clear" w:color="000000" w:fill="3F3151"/>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82">
    <w:name w:val="xl2582"/>
    <w:basedOn w:val="Normlny"/>
    <w:rsid w:val="0025522E"/>
    <w:pPr>
      <w:pBdr>
        <w:top w:val="single" w:sz="8" w:space="0" w:color="auto"/>
        <w:bottom w:val="single" w:sz="4" w:space="0" w:color="auto"/>
        <w:right w:val="single" w:sz="8" w:space="0" w:color="auto"/>
      </w:pBdr>
      <w:shd w:val="clear" w:color="000000" w:fill="3F3151"/>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83">
    <w:name w:val="xl2583"/>
    <w:basedOn w:val="Normlny"/>
    <w:rsid w:val="0025522E"/>
    <w:pPr>
      <w:pBdr>
        <w:top w:val="single" w:sz="8" w:space="0" w:color="auto"/>
        <w:left w:val="single" w:sz="8" w:space="0" w:color="auto"/>
        <w:bottom w:val="single" w:sz="4" w:space="0" w:color="auto"/>
      </w:pBdr>
      <w:shd w:val="clear" w:color="000000" w:fill="E46D0A"/>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84">
    <w:name w:val="xl2584"/>
    <w:basedOn w:val="Normlny"/>
    <w:rsid w:val="0025522E"/>
    <w:pPr>
      <w:pBdr>
        <w:top w:val="single" w:sz="8" w:space="0" w:color="auto"/>
        <w:bottom w:val="single" w:sz="4" w:space="0" w:color="auto"/>
        <w:right w:val="single" w:sz="8" w:space="0" w:color="auto"/>
      </w:pBdr>
      <w:shd w:val="clear" w:color="000000" w:fill="E46D0A"/>
      <w:spacing w:before="100" w:beforeAutospacing="1" w:after="100" w:afterAutospacing="1"/>
      <w:jc w:val="center"/>
      <w:textAlignment w:val="center"/>
    </w:pPr>
    <w:rPr>
      <w:rFonts w:asciiTheme="minorHAnsi" w:hAnsiTheme="minorHAnsi" w:cstheme="minorHAnsi"/>
      <w:b/>
      <w:bCs/>
      <w:color w:val="FFFFFF"/>
      <w:lang w:eastAsia="sk-SK"/>
    </w:rPr>
  </w:style>
  <w:style w:type="paragraph" w:customStyle="1" w:styleId="xl2585">
    <w:name w:val="xl2585"/>
    <w:basedOn w:val="Normlny"/>
    <w:rsid w:val="0025522E"/>
    <w:pPr>
      <w:pBdr>
        <w:left w:val="single" w:sz="8" w:space="0" w:color="auto"/>
        <w:right w:val="single" w:sz="4" w:space="0" w:color="auto"/>
      </w:pBdr>
      <w:shd w:val="clear" w:color="000000" w:fill="95B3D7"/>
      <w:spacing w:before="100" w:beforeAutospacing="1" w:after="100" w:afterAutospacing="1"/>
      <w:jc w:val="center"/>
      <w:textAlignment w:val="center"/>
    </w:pPr>
    <w:rPr>
      <w:rFonts w:asciiTheme="minorHAnsi" w:hAnsiTheme="minorHAnsi" w:cstheme="minorHAnsi"/>
      <w:b/>
      <w:bCs/>
      <w:lang w:eastAsia="sk-SK"/>
    </w:rPr>
  </w:style>
  <w:style w:type="paragraph" w:customStyle="1" w:styleId="xl2586">
    <w:name w:val="xl2586"/>
    <w:basedOn w:val="Normlny"/>
    <w:rsid w:val="0025522E"/>
    <w:pPr>
      <w:pBdr>
        <w:left w:val="single" w:sz="8" w:space="0" w:color="auto"/>
        <w:bottom w:val="single" w:sz="4" w:space="0" w:color="auto"/>
        <w:right w:val="single" w:sz="4" w:space="0" w:color="auto"/>
      </w:pBdr>
      <w:shd w:val="clear" w:color="000000" w:fill="95B3D7"/>
      <w:spacing w:before="100" w:beforeAutospacing="1" w:after="100" w:afterAutospacing="1"/>
      <w:jc w:val="center"/>
      <w:textAlignment w:val="center"/>
    </w:pPr>
    <w:rPr>
      <w:rFonts w:asciiTheme="minorHAnsi" w:hAnsiTheme="minorHAnsi" w:cstheme="minorHAnsi"/>
      <w:b/>
      <w:bCs/>
      <w:lang w:eastAsia="sk-SK"/>
    </w:rPr>
  </w:style>
  <w:style w:type="paragraph" w:customStyle="1" w:styleId="xl2587">
    <w:name w:val="xl2587"/>
    <w:basedOn w:val="Normlny"/>
    <w:rsid w:val="0025522E"/>
    <w:pPr>
      <w:pBdr>
        <w:top w:val="single" w:sz="8" w:space="0" w:color="auto"/>
        <w:left w:val="single" w:sz="8" w:space="0" w:color="auto"/>
      </w:pBdr>
      <w:shd w:val="clear" w:color="000000" w:fill="C00000"/>
      <w:spacing w:before="100" w:beforeAutospacing="1" w:after="100" w:afterAutospacing="1"/>
      <w:jc w:val="center"/>
      <w:textAlignment w:val="center"/>
    </w:pPr>
    <w:rPr>
      <w:rFonts w:asciiTheme="minorHAnsi" w:hAnsiTheme="minorHAnsi" w:cstheme="minorHAnsi"/>
      <w:b/>
      <w:bCs/>
      <w:color w:val="FFFFFF"/>
      <w:sz w:val="28"/>
      <w:szCs w:val="28"/>
      <w:lang w:eastAsia="sk-SK"/>
    </w:rPr>
  </w:style>
  <w:style w:type="paragraph" w:customStyle="1" w:styleId="xl2588">
    <w:name w:val="xl2588"/>
    <w:basedOn w:val="Normlny"/>
    <w:rsid w:val="0025522E"/>
    <w:pPr>
      <w:pBdr>
        <w:top w:val="single" w:sz="8" w:space="0" w:color="auto"/>
        <w:right w:val="single" w:sz="8" w:space="0" w:color="auto"/>
      </w:pBdr>
      <w:shd w:val="clear" w:color="000000" w:fill="C00000"/>
      <w:spacing w:before="100" w:beforeAutospacing="1" w:after="100" w:afterAutospacing="1"/>
      <w:jc w:val="center"/>
      <w:textAlignment w:val="center"/>
    </w:pPr>
    <w:rPr>
      <w:rFonts w:asciiTheme="minorHAnsi" w:hAnsiTheme="minorHAnsi" w:cstheme="minorHAnsi"/>
      <w:b/>
      <w:bCs/>
      <w:color w:val="FFFFFF"/>
      <w:sz w:val="28"/>
      <w:szCs w:val="28"/>
      <w:lang w:eastAsia="sk-SK"/>
    </w:rPr>
  </w:style>
  <w:style w:type="paragraph" w:customStyle="1" w:styleId="xl2589">
    <w:name w:val="xl2589"/>
    <w:basedOn w:val="Normlny"/>
    <w:rsid w:val="0025522E"/>
    <w:pPr>
      <w:pBdr>
        <w:top w:val="single" w:sz="4" w:space="0" w:color="auto"/>
        <w:left w:val="single" w:sz="8" w:space="0" w:color="auto"/>
        <w:bottom w:val="single" w:sz="4" w:space="0" w:color="auto"/>
        <w:right w:val="single" w:sz="8" w:space="0" w:color="auto"/>
      </w:pBdr>
      <w:spacing w:before="100" w:beforeAutospacing="1" w:after="100" w:afterAutospacing="1"/>
      <w:jc w:val="right"/>
      <w:textAlignment w:val="center"/>
    </w:pPr>
    <w:rPr>
      <w:rFonts w:asciiTheme="minorHAnsi" w:hAnsiTheme="minorHAnsi" w:cstheme="minorHAnsi"/>
      <w:color w:val="FF0000"/>
      <w:lang w:eastAsia="sk-SK"/>
    </w:rPr>
  </w:style>
  <w:style w:type="paragraph" w:customStyle="1" w:styleId="xl2590">
    <w:name w:val="xl2590"/>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lang w:eastAsia="sk-SK"/>
    </w:rPr>
  </w:style>
  <w:style w:type="paragraph" w:customStyle="1" w:styleId="xl2591">
    <w:name w:val="xl2591"/>
    <w:basedOn w:val="Normlny"/>
    <w:rsid w:val="0025522E"/>
    <w:pPr>
      <w:pBdr>
        <w:top w:val="single" w:sz="4" w:space="0" w:color="auto"/>
        <w:left w:val="single" w:sz="8" w:space="0" w:color="auto"/>
        <w:bottom w:val="single" w:sz="4" w:space="0" w:color="auto"/>
        <w:right w:val="single" w:sz="8" w:space="0" w:color="auto"/>
      </w:pBdr>
      <w:shd w:val="clear" w:color="000000" w:fill="FDE9D9"/>
      <w:spacing w:before="100" w:beforeAutospacing="1" w:after="100" w:afterAutospacing="1"/>
      <w:jc w:val="right"/>
    </w:pPr>
    <w:rPr>
      <w:rFonts w:asciiTheme="minorHAnsi" w:hAnsiTheme="minorHAnsi" w:cstheme="minorHAnsi"/>
      <w:lang w:eastAsia="sk-SK"/>
    </w:rPr>
  </w:style>
  <w:style w:type="character" w:customStyle="1" w:styleId="PtaChar">
    <w:name w:val="Päta Char"/>
    <w:basedOn w:val="Predvolenpsmoodseku"/>
    <w:link w:val="Pta"/>
    <w:uiPriority w:val="99"/>
    <w:rsid w:val="00B87BD8"/>
    <w:rPr>
      <w:rFonts w:ascii="Calibri" w:hAnsi="Calibri"/>
      <w:spacing w:val="-4"/>
      <w:sz w:val="16"/>
      <w:szCs w:val="16"/>
      <w:lang w:eastAsia="en-US"/>
    </w:rPr>
  </w:style>
  <w:style w:type="character" w:customStyle="1" w:styleId="TextkomentraChar">
    <w:name w:val="Text komentára Char"/>
    <w:basedOn w:val="Predvolenpsmoodseku"/>
    <w:link w:val="Textkomentra"/>
    <w:uiPriority w:val="99"/>
    <w:semiHidden/>
    <w:rsid w:val="008353C4"/>
    <w:rPr>
      <w:rFonts w:ascii="Calibri" w:hAnsi="Calibri"/>
      <w:sz w:val="18"/>
      <w:szCs w:val="22"/>
      <w:lang w:eastAsia="en-US"/>
    </w:rPr>
  </w:style>
  <w:style w:type="paragraph" w:customStyle="1" w:styleId="xl84">
    <w:name w:val="xl84"/>
    <w:basedOn w:val="Normlny"/>
    <w:rsid w:val="008353C4"/>
    <w:pPr>
      <w:pBdr>
        <w:top w:val="single" w:sz="4" w:space="0" w:color="000000"/>
        <w:left w:val="single" w:sz="4" w:space="0" w:color="000000"/>
        <w:bottom w:val="single" w:sz="4" w:space="0" w:color="000000"/>
        <w:right w:val="single" w:sz="4" w:space="0" w:color="000000"/>
      </w:pBdr>
      <w:shd w:val="clear" w:color="000000" w:fill="DDD9C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63">
    <w:name w:val="xl63"/>
    <w:basedOn w:val="Normlny"/>
    <w:rsid w:val="0098463D"/>
    <w:pPr>
      <w:spacing w:before="100" w:beforeAutospacing="1" w:after="100" w:afterAutospacing="1" w:line="240" w:lineRule="auto"/>
      <w:jc w:val="center"/>
    </w:pPr>
    <w:rPr>
      <w:rFonts w:ascii="Times New Roman" w:hAnsi="Times New Roman"/>
      <w:sz w:val="18"/>
      <w:szCs w:val="18"/>
      <w:lang w:eastAsia="sk-SK"/>
    </w:rPr>
  </w:style>
  <w:style w:type="paragraph" w:customStyle="1" w:styleId="xl64">
    <w:name w:val="xl64"/>
    <w:basedOn w:val="Normlny"/>
    <w:rsid w:val="0098463D"/>
    <w:pPr>
      <w:shd w:val="clear" w:color="000000" w:fill="808080"/>
      <w:spacing w:before="100" w:beforeAutospacing="1" w:after="100" w:afterAutospacing="1" w:line="240" w:lineRule="auto"/>
      <w:jc w:val="left"/>
    </w:pPr>
    <w:rPr>
      <w:rFonts w:ascii="Times New Roman" w:hAnsi="Times New Roman"/>
      <w:color w:val="FFFFFF"/>
      <w:sz w:val="18"/>
      <w:szCs w:val="18"/>
      <w:lang w:eastAsia="sk-SK"/>
    </w:rPr>
  </w:style>
  <w:style w:type="paragraph" w:customStyle="1" w:styleId="xl65">
    <w:name w:val="xl65"/>
    <w:basedOn w:val="Normlny"/>
    <w:rsid w:val="0098463D"/>
    <w:pPr>
      <w:shd w:val="clear" w:color="000000" w:fill="808080"/>
      <w:spacing w:before="100" w:beforeAutospacing="1" w:after="100" w:afterAutospacing="1" w:line="240" w:lineRule="auto"/>
      <w:jc w:val="center"/>
    </w:pPr>
    <w:rPr>
      <w:rFonts w:ascii="Times New Roman" w:hAnsi="Times New Roman"/>
      <w:color w:val="FFFFFF"/>
      <w:sz w:val="18"/>
      <w:szCs w:val="18"/>
      <w:lang w:eastAsia="sk-SK"/>
    </w:rPr>
  </w:style>
  <w:style w:type="paragraph" w:customStyle="1" w:styleId="xl66">
    <w:name w:val="xl66"/>
    <w:basedOn w:val="Normlny"/>
    <w:rsid w:val="0098463D"/>
    <w:pPr>
      <w:shd w:val="clear" w:color="000000" w:fill="F2F2F2"/>
      <w:spacing w:before="100" w:beforeAutospacing="1" w:after="100" w:afterAutospacing="1" w:line="240" w:lineRule="auto"/>
      <w:jc w:val="center"/>
    </w:pPr>
    <w:rPr>
      <w:rFonts w:ascii="Times New Roman" w:hAnsi="Times New Roman"/>
      <w:sz w:val="18"/>
      <w:szCs w:val="18"/>
      <w:lang w:eastAsia="sk-SK"/>
    </w:rPr>
  </w:style>
  <w:style w:type="paragraph" w:customStyle="1" w:styleId="xl67">
    <w:name w:val="xl67"/>
    <w:basedOn w:val="Normlny"/>
    <w:rsid w:val="0098463D"/>
    <w:pPr>
      <w:shd w:val="clear" w:color="000000" w:fill="DDD9C3"/>
      <w:spacing w:before="100" w:beforeAutospacing="1" w:after="100" w:afterAutospacing="1" w:line="240" w:lineRule="auto"/>
      <w:jc w:val="center"/>
    </w:pPr>
    <w:rPr>
      <w:rFonts w:ascii="Times New Roman" w:hAnsi="Times New Roman"/>
      <w:sz w:val="18"/>
      <w:szCs w:val="18"/>
      <w:lang w:eastAsia="sk-SK"/>
    </w:rPr>
  </w:style>
  <w:style w:type="paragraph" w:customStyle="1" w:styleId="xl68">
    <w:name w:val="xl68"/>
    <w:basedOn w:val="Normlny"/>
    <w:rsid w:val="0098463D"/>
    <w:pPr>
      <w:shd w:val="clear" w:color="000000" w:fill="C5D9F1"/>
      <w:spacing w:before="100" w:beforeAutospacing="1" w:after="100" w:afterAutospacing="1" w:line="240" w:lineRule="auto"/>
      <w:jc w:val="center"/>
    </w:pPr>
    <w:rPr>
      <w:rFonts w:ascii="Times New Roman" w:hAnsi="Times New Roman"/>
      <w:sz w:val="18"/>
      <w:szCs w:val="18"/>
      <w:lang w:eastAsia="sk-SK"/>
    </w:rPr>
  </w:style>
  <w:style w:type="paragraph" w:customStyle="1" w:styleId="xl69">
    <w:name w:val="xl69"/>
    <w:basedOn w:val="Normlny"/>
    <w:rsid w:val="0098463D"/>
    <w:pPr>
      <w:shd w:val="clear" w:color="000000" w:fill="F2DDDC"/>
      <w:spacing w:before="100" w:beforeAutospacing="1" w:after="100" w:afterAutospacing="1" w:line="240" w:lineRule="auto"/>
      <w:jc w:val="center"/>
    </w:pPr>
    <w:rPr>
      <w:rFonts w:ascii="Times New Roman" w:hAnsi="Times New Roman"/>
      <w:sz w:val="18"/>
      <w:szCs w:val="18"/>
      <w:lang w:eastAsia="sk-SK"/>
    </w:rPr>
  </w:style>
  <w:style w:type="paragraph" w:customStyle="1" w:styleId="xl70">
    <w:name w:val="xl70"/>
    <w:basedOn w:val="Normlny"/>
    <w:rsid w:val="0098463D"/>
    <w:pPr>
      <w:shd w:val="clear" w:color="000000" w:fill="EAF1DD"/>
      <w:spacing w:before="100" w:beforeAutospacing="1" w:after="100" w:afterAutospacing="1" w:line="240" w:lineRule="auto"/>
      <w:jc w:val="center"/>
    </w:pPr>
    <w:rPr>
      <w:rFonts w:ascii="Times New Roman" w:hAnsi="Times New Roman"/>
      <w:sz w:val="18"/>
      <w:szCs w:val="18"/>
      <w:lang w:eastAsia="sk-SK"/>
    </w:rPr>
  </w:style>
  <w:style w:type="paragraph" w:customStyle="1" w:styleId="xl71">
    <w:name w:val="xl71"/>
    <w:basedOn w:val="Normlny"/>
    <w:rsid w:val="0098463D"/>
    <w:pP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72">
    <w:name w:val="xl72"/>
    <w:basedOn w:val="Normlny"/>
    <w:rsid w:val="0098463D"/>
    <w:pPr>
      <w:spacing w:before="100" w:beforeAutospacing="1" w:after="100" w:afterAutospacing="1" w:line="240" w:lineRule="auto"/>
      <w:jc w:val="left"/>
    </w:pPr>
    <w:rPr>
      <w:rFonts w:ascii="Times New Roman" w:hAnsi="Times New Roman"/>
      <w:sz w:val="18"/>
      <w:szCs w:val="18"/>
      <w:lang w:eastAsia="sk-SK"/>
    </w:rPr>
  </w:style>
  <w:style w:type="paragraph" w:customStyle="1" w:styleId="xl73">
    <w:name w:val="xl73"/>
    <w:basedOn w:val="Normlny"/>
    <w:rsid w:val="0098463D"/>
    <w:pPr>
      <w:shd w:val="clear" w:color="000000" w:fill="FFFFFF"/>
      <w:spacing w:before="100" w:beforeAutospacing="1" w:after="100" w:afterAutospacing="1" w:line="240" w:lineRule="auto"/>
      <w:jc w:val="center"/>
    </w:pPr>
    <w:rPr>
      <w:rFonts w:ascii="Times New Roman" w:hAnsi="Times New Roman"/>
      <w:sz w:val="18"/>
      <w:szCs w:val="18"/>
      <w:lang w:eastAsia="sk-SK"/>
    </w:rPr>
  </w:style>
  <w:style w:type="paragraph" w:customStyle="1" w:styleId="xl74">
    <w:name w:val="xl74"/>
    <w:basedOn w:val="Normlny"/>
    <w:rsid w:val="0098463D"/>
    <w:pPr>
      <w:pBdr>
        <w:top w:val="single" w:sz="4" w:space="0" w:color="auto"/>
        <w:left w:val="single" w:sz="4" w:space="0" w:color="auto"/>
      </w:pBdr>
      <w:shd w:val="clear" w:color="000000" w:fill="808080"/>
      <w:spacing w:before="100" w:beforeAutospacing="1" w:after="100" w:afterAutospacing="1" w:line="240" w:lineRule="auto"/>
      <w:jc w:val="left"/>
    </w:pPr>
    <w:rPr>
      <w:rFonts w:ascii="Times New Roman" w:hAnsi="Times New Roman"/>
      <w:color w:val="FFFFFF"/>
      <w:sz w:val="18"/>
      <w:szCs w:val="18"/>
      <w:lang w:eastAsia="sk-SK"/>
    </w:rPr>
  </w:style>
  <w:style w:type="paragraph" w:customStyle="1" w:styleId="xl75">
    <w:name w:val="xl75"/>
    <w:basedOn w:val="Normlny"/>
    <w:rsid w:val="0098463D"/>
    <w:pPr>
      <w:pBdr>
        <w:top w:val="single" w:sz="4" w:space="0" w:color="auto"/>
      </w:pBdr>
      <w:shd w:val="clear" w:color="000000" w:fill="808080"/>
      <w:spacing w:before="100" w:beforeAutospacing="1" w:after="100" w:afterAutospacing="1" w:line="240" w:lineRule="auto"/>
      <w:jc w:val="center"/>
    </w:pPr>
    <w:rPr>
      <w:rFonts w:ascii="Times New Roman" w:hAnsi="Times New Roman"/>
      <w:color w:val="FFFFFF"/>
      <w:sz w:val="18"/>
      <w:szCs w:val="18"/>
      <w:lang w:eastAsia="sk-SK"/>
    </w:rPr>
  </w:style>
  <w:style w:type="paragraph" w:customStyle="1" w:styleId="xl76">
    <w:name w:val="xl76"/>
    <w:basedOn w:val="Normlny"/>
    <w:rsid w:val="0098463D"/>
    <w:pPr>
      <w:pBdr>
        <w:top w:val="single" w:sz="4" w:space="0" w:color="auto"/>
        <w:right w:val="single" w:sz="4" w:space="0" w:color="auto"/>
      </w:pBdr>
      <w:shd w:val="clear" w:color="000000" w:fill="808080"/>
      <w:spacing w:before="100" w:beforeAutospacing="1" w:after="100" w:afterAutospacing="1" w:line="240" w:lineRule="auto"/>
      <w:jc w:val="center"/>
    </w:pPr>
    <w:rPr>
      <w:rFonts w:ascii="Times New Roman" w:hAnsi="Times New Roman"/>
      <w:color w:val="FFFFFF"/>
      <w:sz w:val="18"/>
      <w:szCs w:val="18"/>
      <w:lang w:eastAsia="sk-SK"/>
    </w:rPr>
  </w:style>
  <w:style w:type="paragraph" w:customStyle="1" w:styleId="xl77">
    <w:name w:val="xl77"/>
    <w:basedOn w:val="Normlny"/>
    <w:rsid w:val="0098463D"/>
    <w:pPr>
      <w:pBdr>
        <w:left w:val="single" w:sz="4" w:space="0" w:color="auto"/>
      </w:pBdr>
      <w:shd w:val="clear" w:color="000000" w:fill="F2F2F2"/>
      <w:spacing w:before="100" w:beforeAutospacing="1" w:after="100" w:afterAutospacing="1" w:line="240" w:lineRule="auto"/>
      <w:jc w:val="center"/>
    </w:pPr>
    <w:rPr>
      <w:rFonts w:ascii="Times New Roman" w:hAnsi="Times New Roman"/>
      <w:sz w:val="18"/>
      <w:szCs w:val="18"/>
      <w:lang w:eastAsia="sk-SK"/>
    </w:rPr>
  </w:style>
  <w:style w:type="paragraph" w:customStyle="1" w:styleId="xl78">
    <w:name w:val="xl78"/>
    <w:basedOn w:val="Normlny"/>
    <w:rsid w:val="0098463D"/>
    <w:pPr>
      <w:pBdr>
        <w:right w:val="single" w:sz="4" w:space="0" w:color="auto"/>
      </w:pBdr>
      <w:shd w:val="clear" w:color="000000" w:fill="F2F2F2"/>
      <w:spacing w:before="100" w:beforeAutospacing="1" w:after="100" w:afterAutospacing="1" w:line="240" w:lineRule="auto"/>
      <w:jc w:val="center"/>
    </w:pPr>
    <w:rPr>
      <w:rFonts w:ascii="Times New Roman" w:hAnsi="Times New Roman"/>
      <w:sz w:val="18"/>
      <w:szCs w:val="18"/>
      <w:lang w:eastAsia="sk-SK"/>
    </w:rPr>
  </w:style>
  <w:style w:type="paragraph" w:customStyle="1" w:styleId="xl79">
    <w:name w:val="xl79"/>
    <w:basedOn w:val="Normlny"/>
    <w:rsid w:val="0098463D"/>
    <w:pPr>
      <w:pBdr>
        <w:left w:val="single" w:sz="4" w:space="0" w:color="auto"/>
      </w:pBdr>
      <w:shd w:val="clear" w:color="000000" w:fill="F2F2F2"/>
      <w:spacing w:before="100" w:beforeAutospacing="1" w:after="100" w:afterAutospacing="1" w:line="240" w:lineRule="auto"/>
      <w:jc w:val="left"/>
    </w:pPr>
    <w:rPr>
      <w:rFonts w:ascii="Times New Roman" w:hAnsi="Times New Roman"/>
      <w:sz w:val="18"/>
      <w:szCs w:val="18"/>
      <w:lang w:eastAsia="sk-SK"/>
    </w:rPr>
  </w:style>
  <w:style w:type="paragraph" w:customStyle="1" w:styleId="xl80">
    <w:name w:val="xl80"/>
    <w:basedOn w:val="Normlny"/>
    <w:rsid w:val="0098463D"/>
    <w:pPr>
      <w:pBdr>
        <w:left w:val="single" w:sz="4" w:space="0" w:color="auto"/>
      </w:pBdr>
      <w:shd w:val="clear" w:color="000000" w:fill="808080"/>
      <w:spacing w:before="100" w:beforeAutospacing="1" w:after="100" w:afterAutospacing="1" w:line="240" w:lineRule="auto"/>
      <w:jc w:val="left"/>
    </w:pPr>
    <w:rPr>
      <w:rFonts w:ascii="Times New Roman" w:hAnsi="Times New Roman"/>
      <w:color w:val="FFFFFF"/>
      <w:sz w:val="18"/>
      <w:szCs w:val="18"/>
      <w:lang w:eastAsia="sk-SK"/>
    </w:rPr>
  </w:style>
  <w:style w:type="paragraph" w:customStyle="1" w:styleId="xl81">
    <w:name w:val="xl81"/>
    <w:basedOn w:val="Normlny"/>
    <w:rsid w:val="0098463D"/>
    <w:pPr>
      <w:pBdr>
        <w:right w:val="single" w:sz="4" w:space="0" w:color="auto"/>
      </w:pBdr>
      <w:shd w:val="clear" w:color="000000" w:fill="808080"/>
      <w:spacing w:before="100" w:beforeAutospacing="1" w:after="100" w:afterAutospacing="1" w:line="240" w:lineRule="auto"/>
      <w:jc w:val="center"/>
    </w:pPr>
    <w:rPr>
      <w:rFonts w:ascii="Times New Roman" w:hAnsi="Times New Roman"/>
      <w:color w:val="FFFFFF"/>
      <w:sz w:val="18"/>
      <w:szCs w:val="18"/>
      <w:lang w:eastAsia="sk-SK"/>
    </w:rPr>
  </w:style>
  <w:style w:type="paragraph" w:customStyle="1" w:styleId="xl82">
    <w:name w:val="xl82"/>
    <w:basedOn w:val="Normlny"/>
    <w:rsid w:val="0098463D"/>
    <w:pPr>
      <w:pBdr>
        <w:left w:val="single" w:sz="4" w:space="0" w:color="auto"/>
      </w:pBdr>
      <w:shd w:val="clear" w:color="000000" w:fill="DDD9C3"/>
      <w:spacing w:before="100" w:beforeAutospacing="1" w:after="100" w:afterAutospacing="1" w:line="240" w:lineRule="auto"/>
      <w:jc w:val="center"/>
    </w:pPr>
    <w:rPr>
      <w:rFonts w:ascii="Times New Roman" w:hAnsi="Times New Roman"/>
      <w:sz w:val="18"/>
      <w:szCs w:val="18"/>
      <w:lang w:eastAsia="sk-SK"/>
    </w:rPr>
  </w:style>
  <w:style w:type="paragraph" w:customStyle="1" w:styleId="xl83">
    <w:name w:val="xl83"/>
    <w:basedOn w:val="Normlny"/>
    <w:rsid w:val="0098463D"/>
    <w:pPr>
      <w:shd w:val="clear" w:color="000000" w:fill="DDD9C3"/>
      <w:spacing w:before="100" w:beforeAutospacing="1" w:after="100" w:afterAutospacing="1" w:line="240" w:lineRule="auto"/>
      <w:jc w:val="center"/>
    </w:pPr>
    <w:rPr>
      <w:rFonts w:ascii="Times New Roman" w:hAnsi="Times New Roman"/>
      <w:color w:val="333333"/>
      <w:sz w:val="18"/>
      <w:szCs w:val="18"/>
      <w:lang w:eastAsia="sk-SK"/>
    </w:rPr>
  </w:style>
  <w:style w:type="paragraph" w:customStyle="1" w:styleId="xl85">
    <w:name w:val="xl85"/>
    <w:basedOn w:val="Normlny"/>
    <w:rsid w:val="0098463D"/>
    <w:pPr>
      <w:pBdr>
        <w:left w:val="single" w:sz="4" w:space="0" w:color="auto"/>
      </w:pBdr>
      <w:shd w:val="clear" w:color="000000" w:fill="DDD9C3"/>
      <w:spacing w:before="100" w:beforeAutospacing="1" w:after="100" w:afterAutospacing="1" w:line="240" w:lineRule="auto"/>
      <w:jc w:val="left"/>
    </w:pPr>
    <w:rPr>
      <w:rFonts w:ascii="Times New Roman" w:hAnsi="Times New Roman"/>
      <w:sz w:val="18"/>
      <w:szCs w:val="18"/>
      <w:lang w:eastAsia="sk-SK"/>
    </w:rPr>
  </w:style>
  <w:style w:type="paragraph" w:customStyle="1" w:styleId="xl86">
    <w:name w:val="xl86"/>
    <w:basedOn w:val="Normlny"/>
    <w:rsid w:val="0098463D"/>
    <w:pPr>
      <w:pBdr>
        <w:left w:val="single" w:sz="4" w:space="0" w:color="auto"/>
      </w:pBdr>
      <w:shd w:val="clear" w:color="000000" w:fill="C5D9F1"/>
      <w:spacing w:before="100" w:beforeAutospacing="1" w:after="100" w:afterAutospacing="1" w:line="240" w:lineRule="auto"/>
      <w:jc w:val="center"/>
    </w:pPr>
    <w:rPr>
      <w:rFonts w:ascii="Times New Roman" w:hAnsi="Times New Roman"/>
      <w:sz w:val="18"/>
      <w:szCs w:val="18"/>
      <w:lang w:eastAsia="sk-SK"/>
    </w:rPr>
  </w:style>
  <w:style w:type="paragraph" w:customStyle="1" w:styleId="xl87">
    <w:name w:val="xl87"/>
    <w:basedOn w:val="Normlny"/>
    <w:rsid w:val="0098463D"/>
    <w:pPr>
      <w:shd w:val="clear" w:color="000000" w:fill="C5D9F1"/>
      <w:spacing w:before="100" w:beforeAutospacing="1" w:after="100" w:afterAutospacing="1" w:line="240" w:lineRule="auto"/>
      <w:jc w:val="center"/>
    </w:pPr>
    <w:rPr>
      <w:rFonts w:ascii="Times New Roman" w:hAnsi="Times New Roman"/>
      <w:color w:val="333333"/>
      <w:sz w:val="18"/>
      <w:szCs w:val="18"/>
      <w:lang w:eastAsia="sk-SK"/>
    </w:rPr>
  </w:style>
  <w:style w:type="paragraph" w:customStyle="1" w:styleId="xl88">
    <w:name w:val="xl88"/>
    <w:basedOn w:val="Normlny"/>
    <w:rsid w:val="0098463D"/>
    <w:pPr>
      <w:pBdr>
        <w:right w:val="single" w:sz="4" w:space="0" w:color="auto"/>
      </w:pBdr>
      <w:shd w:val="clear" w:color="000000" w:fill="C5D9F1"/>
      <w:spacing w:before="100" w:beforeAutospacing="1" w:after="100" w:afterAutospacing="1" w:line="240" w:lineRule="auto"/>
      <w:jc w:val="center"/>
    </w:pPr>
    <w:rPr>
      <w:rFonts w:ascii="Times New Roman" w:hAnsi="Times New Roman"/>
      <w:color w:val="333333"/>
      <w:sz w:val="18"/>
      <w:szCs w:val="18"/>
      <w:lang w:eastAsia="sk-SK"/>
    </w:rPr>
  </w:style>
  <w:style w:type="paragraph" w:customStyle="1" w:styleId="xl89">
    <w:name w:val="xl89"/>
    <w:basedOn w:val="Normlny"/>
    <w:rsid w:val="0098463D"/>
    <w:pPr>
      <w:pBdr>
        <w:left w:val="single" w:sz="4" w:space="0" w:color="auto"/>
      </w:pBdr>
      <w:shd w:val="clear" w:color="000000" w:fill="C5D9F1"/>
      <w:spacing w:before="100" w:beforeAutospacing="1" w:after="100" w:afterAutospacing="1" w:line="240" w:lineRule="auto"/>
      <w:jc w:val="left"/>
    </w:pPr>
    <w:rPr>
      <w:rFonts w:ascii="Times New Roman" w:hAnsi="Times New Roman"/>
      <w:sz w:val="18"/>
      <w:szCs w:val="18"/>
      <w:lang w:eastAsia="sk-SK"/>
    </w:rPr>
  </w:style>
  <w:style w:type="paragraph" w:customStyle="1" w:styleId="xl90">
    <w:name w:val="xl90"/>
    <w:basedOn w:val="Normlny"/>
    <w:rsid w:val="0098463D"/>
    <w:pPr>
      <w:pBdr>
        <w:left w:val="single" w:sz="4" w:space="0" w:color="auto"/>
      </w:pBdr>
      <w:shd w:val="clear" w:color="000000" w:fill="F2DDDC"/>
      <w:spacing w:before="100" w:beforeAutospacing="1" w:after="100" w:afterAutospacing="1" w:line="240" w:lineRule="auto"/>
      <w:jc w:val="center"/>
    </w:pPr>
    <w:rPr>
      <w:rFonts w:ascii="Times New Roman" w:hAnsi="Times New Roman"/>
      <w:sz w:val="18"/>
      <w:szCs w:val="18"/>
      <w:lang w:eastAsia="sk-SK"/>
    </w:rPr>
  </w:style>
  <w:style w:type="paragraph" w:customStyle="1" w:styleId="xl91">
    <w:name w:val="xl91"/>
    <w:basedOn w:val="Normlny"/>
    <w:rsid w:val="0098463D"/>
    <w:pPr>
      <w:pBdr>
        <w:right w:val="single" w:sz="4" w:space="0" w:color="auto"/>
      </w:pBdr>
      <w:shd w:val="clear" w:color="000000" w:fill="F2DDDC"/>
      <w:spacing w:before="100" w:beforeAutospacing="1" w:after="100" w:afterAutospacing="1" w:line="240" w:lineRule="auto"/>
      <w:jc w:val="center"/>
    </w:pPr>
    <w:rPr>
      <w:rFonts w:ascii="Times New Roman" w:hAnsi="Times New Roman"/>
      <w:sz w:val="18"/>
      <w:szCs w:val="18"/>
      <w:lang w:eastAsia="sk-SK"/>
    </w:rPr>
  </w:style>
  <w:style w:type="paragraph" w:customStyle="1" w:styleId="xl92">
    <w:name w:val="xl92"/>
    <w:basedOn w:val="Normlny"/>
    <w:rsid w:val="0098463D"/>
    <w:pPr>
      <w:pBdr>
        <w:left w:val="single" w:sz="4" w:space="0" w:color="auto"/>
      </w:pBdr>
      <w:shd w:val="clear" w:color="000000" w:fill="F2DDDC"/>
      <w:spacing w:before="100" w:beforeAutospacing="1" w:after="100" w:afterAutospacing="1" w:line="240" w:lineRule="auto"/>
      <w:jc w:val="left"/>
    </w:pPr>
    <w:rPr>
      <w:rFonts w:ascii="Times New Roman" w:hAnsi="Times New Roman"/>
      <w:sz w:val="18"/>
      <w:szCs w:val="18"/>
      <w:lang w:eastAsia="sk-SK"/>
    </w:rPr>
  </w:style>
  <w:style w:type="paragraph" w:customStyle="1" w:styleId="xl93">
    <w:name w:val="xl93"/>
    <w:basedOn w:val="Normlny"/>
    <w:rsid w:val="0098463D"/>
    <w:pPr>
      <w:pBdr>
        <w:left w:val="single" w:sz="4" w:space="0" w:color="auto"/>
      </w:pBdr>
      <w:shd w:val="clear" w:color="000000" w:fill="EAF1DD"/>
      <w:spacing w:before="100" w:beforeAutospacing="1" w:after="100" w:afterAutospacing="1" w:line="240" w:lineRule="auto"/>
      <w:jc w:val="center"/>
    </w:pPr>
    <w:rPr>
      <w:rFonts w:ascii="Times New Roman" w:hAnsi="Times New Roman"/>
      <w:sz w:val="18"/>
      <w:szCs w:val="18"/>
      <w:lang w:eastAsia="sk-SK"/>
    </w:rPr>
  </w:style>
  <w:style w:type="paragraph" w:customStyle="1" w:styleId="xl94">
    <w:name w:val="xl94"/>
    <w:basedOn w:val="Normlny"/>
    <w:rsid w:val="0098463D"/>
    <w:pPr>
      <w:pBdr>
        <w:right w:val="single" w:sz="4" w:space="0" w:color="auto"/>
      </w:pBdr>
      <w:shd w:val="clear" w:color="000000" w:fill="EAF1DD"/>
      <w:spacing w:before="100" w:beforeAutospacing="1" w:after="100" w:afterAutospacing="1" w:line="240" w:lineRule="auto"/>
      <w:jc w:val="center"/>
    </w:pPr>
    <w:rPr>
      <w:rFonts w:ascii="Times New Roman" w:hAnsi="Times New Roman"/>
      <w:sz w:val="18"/>
      <w:szCs w:val="18"/>
      <w:lang w:eastAsia="sk-SK"/>
    </w:rPr>
  </w:style>
  <w:style w:type="paragraph" w:customStyle="1" w:styleId="xl95">
    <w:name w:val="xl95"/>
    <w:basedOn w:val="Normlny"/>
    <w:rsid w:val="0098463D"/>
    <w:pPr>
      <w:pBdr>
        <w:left w:val="single" w:sz="4" w:space="0" w:color="auto"/>
      </w:pBdr>
      <w:shd w:val="clear" w:color="000000" w:fill="EAF1DD"/>
      <w:spacing w:before="100" w:beforeAutospacing="1" w:after="100" w:afterAutospacing="1" w:line="240" w:lineRule="auto"/>
      <w:jc w:val="left"/>
    </w:pPr>
    <w:rPr>
      <w:rFonts w:ascii="Times New Roman" w:hAnsi="Times New Roman"/>
      <w:sz w:val="18"/>
      <w:szCs w:val="18"/>
      <w:lang w:eastAsia="sk-SK"/>
    </w:rPr>
  </w:style>
  <w:style w:type="paragraph" w:customStyle="1" w:styleId="xl96">
    <w:name w:val="xl96"/>
    <w:basedOn w:val="Normlny"/>
    <w:rsid w:val="0098463D"/>
    <w:pPr>
      <w:pBdr>
        <w:left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97">
    <w:name w:val="xl97"/>
    <w:basedOn w:val="Normlny"/>
    <w:rsid w:val="0098463D"/>
    <w:pPr>
      <w:pBdr>
        <w:right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98">
    <w:name w:val="xl98"/>
    <w:basedOn w:val="Normlny"/>
    <w:rsid w:val="0098463D"/>
    <w:pPr>
      <w:pBdr>
        <w:left w:val="single" w:sz="4" w:space="0" w:color="auto"/>
      </w:pBdr>
      <w:shd w:val="clear" w:color="000000" w:fill="E5E0EC"/>
      <w:spacing w:before="100" w:beforeAutospacing="1" w:after="100" w:afterAutospacing="1" w:line="240" w:lineRule="auto"/>
      <w:jc w:val="left"/>
    </w:pPr>
    <w:rPr>
      <w:rFonts w:ascii="Times New Roman" w:hAnsi="Times New Roman"/>
      <w:sz w:val="18"/>
      <w:szCs w:val="18"/>
      <w:lang w:eastAsia="sk-SK"/>
    </w:rPr>
  </w:style>
  <w:style w:type="paragraph" w:customStyle="1" w:styleId="xl99">
    <w:name w:val="xl99"/>
    <w:basedOn w:val="Normlny"/>
    <w:rsid w:val="0098463D"/>
    <w:pPr>
      <w:pBdr>
        <w:left w:val="single" w:sz="4" w:space="0" w:color="auto"/>
      </w:pBdr>
      <w:shd w:val="clear" w:color="000000" w:fill="DBEEF3"/>
      <w:spacing w:before="100" w:beforeAutospacing="1" w:after="100" w:afterAutospacing="1" w:line="240" w:lineRule="auto"/>
      <w:jc w:val="center"/>
    </w:pPr>
    <w:rPr>
      <w:rFonts w:ascii="Times New Roman" w:hAnsi="Times New Roman"/>
      <w:sz w:val="18"/>
      <w:szCs w:val="18"/>
      <w:lang w:eastAsia="sk-SK"/>
    </w:rPr>
  </w:style>
  <w:style w:type="paragraph" w:customStyle="1" w:styleId="xl100">
    <w:name w:val="xl100"/>
    <w:basedOn w:val="Normlny"/>
    <w:rsid w:val="0098463D"/>
    <w:pPr>
      <w:shd w:val="clear" w:color="000000" w:fill="DBEEF3"/>
      <w:spacing w:before="100" w:beforeAutospacing="1" w:after="100" w:afterAutospacing="1" w:line="240" w:lineRule="auto"/>
      <w:jc w:val="center"/>
    </w:pPr>
    <w:rPr>
      <w:rFonts w:ascii="Times New Roman" w:hAnsi="Times New Roman"/>
      <w:sz w:val="18"/>
      <w:szCs w:val="18"/>
      <w:lang w:eastAsia="sk-SK"/>
    </w:rPr>
  </w:style>
  <w:style w:type="paragraph" w:customStyle="1" w:styleId="xl101">
    <w:name w:val="xl101"/>
    <w:basedOn w:val="Normlny"/>
    <w:rsid w:val="0098463D"/>
    <w:pPr>
      <w:pBdr>
        <w:right w:val="single" w:sz="4" w:space="0" w:color="auto"/>
      </w:pBdr>
      <w:shd w:val="clear" w:color="000000" w:fill="DBEEF3"/>
      <w:spacing w:before="100" w:beforeAutospacing="1" w:after="100" w:afterAutospacing="1" w:line="240" w:lineRule="auto"/>
      <w:jc w:val="center"/>
    </w:pPr>
    <w:rPr>
      <w:rFonts w:ascii="Times New Roman" w:hAnsi="Times New Roman"/>
      <w:sz w:val="18"/>
      <w:szCs w:val="18"/>
      <w:lang w:eastAsia="sk-SK"/>
    </w:rPr>
  </w:style>
  <w:style w:type="paragraph" w:customStyle="1" w:styleId="xl102">
    <w:name w:val="xl102"/>
    <w:basedOn w:val="Normlny"/>
    <w:rsid w:val="0098463D"/>
    <w:pPr>
      <w:pBdr>
        <w:left w:val="single" w:sz="4" w:space="0" w:color="auto"/>
      </w:pBdr>
      <w:shd w:val="clear" w:color="000000" w:fill="DBEEF3"/>
      <w:spacing w:before="100" w:beforeAutospacing="1" w:after="100" w:afterAutospacing="1" w:line="240" w:lineRule="auto"/>
      <w:jc w:val="left"/>
    </w:pPr>
    <w:rPr>
      <w:rFonts w:ascii="Times New Roman" w:hAnsi="Times New Roman"/>
      <w:sz w:val="18"/>
      <w:szCs w:val="18"/>
      <w:lang w:eastAsia="sk-SK"/>
    </w:rPr>
  </w:style>
  <w:style w:type="paragraph" w:customStyle="1" w:styleId="xl103">
    <w:name w:val="xl103"/>
    <w:basedOn w:val="Normlny"/>
    <w:rsid w:val="0098463D"/>
    <w:pPr>
      <w:pBdr>
        <w:left w:val="single" w:sz="4" w:space="0" w:color="auto"/>
      </w:pBdr>
      <w:shd w:val="clear" w:color="000000" w:fill="FDE9D9"/>
      <w:spacing w:before="100" w:beforeAutospacing="1" w:after="100" w:afterAutospacing="1" w:line="240" w:lineRule="auto"/>
      <w:jc w:val="center"/>
    </w:pPr>
    <w:rPr>
      <w:rFonts w:ascii="Times New Roman" w:hAnsi="Times New Roman"/>
      <w:sz w:val="18"/>
      <w:szCs w:val="18"/>
      <w:lang w:eastAsia="sk-SK"/>
    </w:rPr>
  </w:style>
  <w:style w:type="paragraph" w:customStyle="1" w:styleId="xl104">
    <w:name w:val="xl104"/>
    <w:basedOn w:val="Normlny"/>
    <w:rsid w:val="0098463D"/>
    <w:pPr>
      <w:shd w:val="clear" w:color="000000" w:fill="FDE9D9"/>
      <w:spacing w:before="100" w:beforeAutospacing="1" w:after="100" w:afterAutospacing="1" w:line="240" w:lineRule="auto"/>
      <w:jc w:val="center"/>
    </w:pPr>
    <w:rPr>
      <w:rFonts w:ascii="Times New Roman" w:hAnsi="Times New Roman"/>
      <w:sz w:val="18"/>
      <w:szCs w:val="18"/>
      <w:lang w:eastAsia="sk-SK"/>
    </w:rPr>
  </w:style>
  <w:style w:type="paragraph" w:customStyle="1" w:styleId="xl105">
    <w:name w:val="xl105"/>
    <w:basedOn w:val="Normlny"/>
    <w:rsid w:val="0098463D"/>
    <w:pPr>
      <w:pBdr>
        <w:right w:val="single" w:sz="4" w:space="0" w:color="auto"/>
      </w:pBdr>
      <w:shd w:val="clear" w:color="000000" w:fill="FDE9D9"/>
      <w:spacing w:before="100" w:beforeAutospacing="1" w:after="100" w:afterAutospacing="1" w:line="240" w:lineRule="auto"/>
      <w:jc w:val="center"/>
    </w:pPr>
    <w:rPr>
      <w:rFonts w:ascii="Times New Roman" w:hAnsi="Times New Roman"/>
      <w:sz w:val="18"/>
      <w:szCs w:val="18"/>
      <w:lang w:eastAsia="sk-SK"/>
    </w:rPr>
  </w:style>
  <w:style w:type="paragraph" w:customStyle="1" w:styleId="xl106">
    <w:name w:val="xl106"/>
    <w:basedOn w:val="Normlny"/>
    <w:rsid w:val="0098463D"/>
    <w:pPr>
      <w:pBdr>
        <w:left w:val="single" w:sz="4" w:space="0" w:color="auto"/>
      </w:pBdr>
      <w:shd w:val="clear" w:color="000000" w:fill="FDE9D9"/>
      <w:spacing w:before="100" w:beforeAutospacing="1" w:after="100" w:afterAutospacing="1" w:line="240" w:lineRule="auto"/>
      <w:jc w:val="left"/>
    </w:pPr>
    <w:rPr>
      <w:rFonts w:ascii="Times New Roman" w:hAnsi="Times New Roman"/>
      <w:sz w:val="18"/>
      <w:szCs w:val="18"/>
      <w:lang w:eastAsia="sk-SK"/>
    </w:rPr>
  </w:style>
  <w:style w:type="paragraph" w:customStyle="1" w:styleId="xl107">
    <w:name w:val="xl107"/>
    <w:basedOn w:val="Normlny"/>
    <w:rsid w:val="0098463D"/>
    <w:pP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08">
    <w:name w:val="xl108"/>
    <w:basedOn w:val="Normlny"/>
    <w:rsid w:val="0098463D"/>
    <w:pPr>
      <w:pBdr>
        <w:right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09">
    <w:name w:val="xl109"/>
    <w:basedOn w:val="Normlny"/>
    <w:rsid w:val="0098463D"/>
    <w:pPr>
      <w:pBdr>
        <w:left w:val="single" w:sz="4" w:space="0" w:color="auto"/>
        <w:bottom w:val="single" w:sz="4" w:space="0" w:color="auto"/>
      </w:pBdr>
      <w:shd w:val="clear" w:color="000000" w:fill="E5E0EC"/>
      <w:spacing w:before="100" w:beforeAutospacing="1" w:after="100" w:afterAutospacing="1" w:line="240" w:lineRule="auto"/>
      <w:jc w:val="left"/>
    </w:pPr>
    <w:rPr>
      <w:rFonts w:ascii="Times New Roman" w:hAnsi="Times New Roman"/>
      <w:sz w:val="18"/>
      <w:szCs w:val="18"/>
      <w:lang w:eastAsia="sk-SK"/>
    </w:rPr>
  </w:style>
  <w:style w:type="paragraph" w:customStyle="1" w:styleId="xl110">
    <w:name w:val="xl110"/>
    <w:basedOn w:val="Normlny"/>
    <w:rsid w:val="0098463D"/>
    <w:pPr>
      <w:pBdr>
        <w:bottom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11">
    <w:name w:val="xl111"/>
    <w:basedOn w:val="Normlny"/>
    <w:rsid w:val="0098463D"/>
    <w:pPr>
      <w:pBdr>
        <w:bottom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12">
    <w:name w:val="xl112"/>
    <w:basedOn w:val="Normlny"/>
    <w:rsid w:val="0098463D"/>
    <w:pPr>
      <w:pBdr>
        <w:bottom w:val="single" w:sz="4" w:space="0" w:color="auto"/>
        <w:right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13">
    <w:name w:val="xl113"/>
    <w:basedOn w:val="Normlny"/>
    <w:rsid w:val="0098463D"/>
    <w:pPr>
      <w:pBdr>
        <w:right w:val="single" w:sz="4" w:space="0" w:color="auto"/>
      </w:pBdr>
      <w:shd w:val="clear" w:color="000000" w:fill="DDD9C3"/>
      <w:spacing w:before="100" w:beforeAutospacing="1" w:after="100" w:afterAutospacing="1" w:line="240" w:lineRule="auto"/>
      <w:jc w:val="center"/>
    </w:pPr>
    <w:rPr>
      <w:rFonts w:ascii="Times New Roman" w:hAnsi="Times New Roman"/>
      <w:sz w:val="18"/>
      <w:szCs w:val="18"/>
      <w:lang w:eastAsia="sk-SK"/>
    </w:rPr>
  </w:style>
  <w:style w:type="paragraph" w:customStyle="1" w:styleId="xl114">
    <w:name w:val="xl114"/>
    <w:basedOn w:val="Normlny"/>
    <w:rsid w:val="0098463D"/>
    <w:pPr>
      <w:pBdr>
        <w:right w:val="single" w:sz="4" w:space="0" w:color="auto"/>
      </w:pBdr>
      <w:shd w:val="clear" w:color="000000" w:fill="C5D9F1"/>
      <w:spacing w:before="100" w:beforeAutospacing="1" w:after="100" w:afterAutospacing="1" w:line="240" w:lineRule="auto"/>
      <w:jc w:val="center"/>
    </w:pPr>
    <w:rPr>
      <w:rFonts w:ascii="Times New Roman" w:hAnsi="Times New Roman"/>
      <w:sz w:val="18"/>
      <w:szCs w:val="18"/>
      <w:lang w:eastAsia="sk-SK"/>
    </w:rPr>
  </w:style>
  <w:style w:type="paragraph" w:customStyle="1" w:styleId="xl115">
    <w:name w:val="xl115"/>
    <w:basedOn w:val="Normlny"/>
    <w:rsid w:val="0098463D"/>
    <w:pPr>
      <w:pBdr>
        <w:left w:val="single" w:sz="4" w:space="0" w:color="auto"/>
        <w:bottom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16">
    <w:name w:val="xl116"/>
    <w:basedOn w:val="Normlny"/>
    <w:rsid w:val="0098463D"/>
    <w:pPr>
      <w:pBdr>
        <w:bottom w:val="single" w:sz="4" w:space="0" w:color="auto"/>
        <w:right w:val="single" w:sz="4" w:space="0" w:color="auto"/>
      </w:pBdr>
      <w:shd w:val="clear" w:color="000000" w:fill="E5E0EC"/>
      <w:spacing w:before="100" w:beforeAutospacing="1" w:after="100" w:afterAutospacing="1" w:line="240" w:lineRule="auto"/>
      <w:jc w:val="center"/>
    </w:pPr>
    <w:rPr>
      <w:rFonts w:ascii="Times New Roman" w:hAnsi="Times New Roman"/>
      <w:sz w:val="18"/>
      <w:szCs w:val="18"/>
      <w:lang w:eastAsia="sk-SK"/>
    </w:rPr>
  </w:style>
  <w:style w:type="paragraph" w:customStyle="1" w:styleId="xl117">
    <w:name w:val="xl117"/>
    <w:basedOn w:val="Normlny"/>
    <w:rsid w:val="0048319F"/>
    <w:pPr>
      <w:pBdr>
        <w:left w:val="single" w:sz="4" w:space="0" w:color="000000"/>
        <w:bottom w:val="single" w:sz="4" w:space="0" w:color="000000"/>
      </w:pBdr>
      <w:shd w:val="clear" w:color="000000" w:fill="B6DDE8"/>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18">
    <w:name w:val="xl118"/>
    <w:basedOn w:val="Normlny"/>
    <w:rsid w:val="0048319F"/>
    <w:pPr>
      <w:pBdr>
        <w:bottom w:val="single" w:sz="4" w:space="0" w:color="000000"/>
      </w:pBdr>
      <w:shd w:val="clear" w:color="000000" w:fill="B6DDE8"/>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19">
    <w:name w:val="xl119"/>
    <w:basedOn w:val="Normlny"/>
    <w:rsid w:val="0048319F"/>
    <w:pPr>
      <w:pBdr>
        <w:bottom w:val="single" w:sz="4" w:space="0" w:color="000000"/>
        <w:right w:val="single" w:sz="4" w:space="0" w:color="000000"/>
      </w:pBdr>
      <w:shd w:val="clear" w:color="000000" w:fill="B6DDE8"/>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20">
    <w:name w:val="xl120"/>
    <w:basedOn w:val="Normlny"/>
    <w:rsid w:val="0048319F"/>
    <w:pPr>
      <w:pBdr>
        <w:top w:val="single" w:sz="4" w:space="0" w:color="000000"/>
        <w:left w:val="single" w:sz="4" w:space="0" w:color="000000"/>
      </w:pBdr>
      <w:shd w:val="clear" w:color="000000" w:fill="B6DDE8"/>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21">
    <w:name w:val="xl121"/>
    <w:basedOn w:val="Normlny"/>
    <w:rsid w:val="0048319F"/>
    <w:pPr>
      <w:pBdr>
        <w:top w:val="single" w:sz="4" w:space="0" w:color="000000"/>
      </w:pBdr>
      <w:shd w:val="clear" w:color="000000" w:fill="B6DDE8"/>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22">
    <w:name w:val="xl122"/>
    <w:basedOn w:val="Normlny"/>
    <w:rsid w:val="0048319F"/>
    <w:pPr>
      <w:pBdr>
        <w:top w:val="single" w:sz="4" w:space="0" w:color="000000"/>
        <w:right w:val="single" w:sz="4" w:space="0" w:color="000000"/>
      </w:pBdr>
      <w:shd w:val="clear" w:color="000000" w:fill="B6DDE8"/>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23">
    <w:name w:val="xl123"/>
    <w:basedOn w:val="Normlny"/>
    <w:rsid w:val="0048319F"/>
    <w:pPr>
      <w:pBdr>
        <w:left w:val="single" w:sz="4" w:space="0" w:color="000000"/>
      </w:pBdr>
      <w:shd w:val="clear" w:color="000000" w:fill="B6DDE8"/>
      <w:spacing w:before="100" w:beforeAutospacing="1" w:after="100" w:afterAutospacing="1" w:line="240" w:lineRule="auto"/>
      <w:jc w:val="left"/>
    </w:pPr>
    <w:rPr>
      <w:rFonts w:ascii="Times New Roman" w:hAnsi="Times New Roman"/>
      <w:sz w:val="20"/>
      <w:szCs w:val="20"/>
      <w:lang w:eastAsia="sk-SK"/>
    </w:rPr>
  </w:style>
  <w:style w:type="paragraph" w:customStyle="1" w:styleId="xl124">
    <w:name w:val="xl124"/>
    <w:basedOn w:val="Normlny"/>
    <w:rsid w:val="0048319F"/>
    <w:pPr>
      <w:shd w:val="clear" w:color="000000" w:fill="B6DDE8"/>
      <w:spacing w:before="100" w:beforeAutospacing="1" w:after="100" w:afterAutospacing="1" w:line="240" w:lineRule="auto"/>
      <w:jc w:val="left"/>
    </w:pPr>
    <w:rPr>
      <w:rFonts w:ascii="Times New Roman" w:hAnsi="Times New Roman"/>
      <w:sz w:val="20"/>
      <w:szCs w:val="20"/>
      <w:lang w:eastAsia="sk-SK"/>
    </w:rPr>
  </w:style>
  <w:style w:type="paragraph" w:customStyle="1" w:styleId="xl125">
    <w:name w:val="xl125"/>
    <w:basedOn w:val="Normlny"/>
    <w:rsid w:val="0048319F"/>
    <w:pPr>
      <w:pBdr>
        <w:right w:val="single" w:sz="4" w:space="0" w:color="000000"/>
      </w:pBdr>
      <w:shd w:val="clear" w:color="000000" w:fill="B6DDE8"/>
      <w:spacing w:before="100" w:beforeAutospacing="1" w:after="100" w:afterAutospacing="1" w:line="240" w:lineRule="auto"/>
      <w:jc w:val="left"/>
    </w:pPr>
    <w:rPr>
      <w:rFonts w:ascii="Times New Roman" w:hAnsi="Times New Roman"/>
      <w:sz w:val="20"/>
      <w:szCs w:val="20"/>
      <w:lang w:eastAsia="sk-SK"/>
    </w:rPr>
  </w:style>
  <w:style w:type="paragraph" w:customStyle="1" w:styleId="xl126">
    <w:name w:val="xl126"/>
    <w:basedOn w:val="Normlny"/>
    <w:rsid w:val="0048319F"/>
    <w:pPr>
      <w:pBdr>
        <w:top w:val="single" w:sz="4" w:space="0" w:color="000000"/>
        <w:left w:val="single" w:sz="4" w:space="0" w:color="000000"/>
        <w:bottom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27">
    <w:name w:val="xl127"/>
    <w:basedOn w:val="Normlny"/>
    <w:rsid w:val="0048319F"/>
    <w:pPr>
      <w:pBdr>
        <w:top w:val="single" w:sz="4" w:space="0" w:color="000000"/>
        <w:bottom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28">
    <w:name w:val="xl128"/>
    <w:basedOn w:val="Normlny"/>
    <w:rsid w:val="0048319F"/>
    <w:pPr>
      <w:pBdr>
        <w:top w:val="single" w:sz="4" w:space="0" w:color="000000"/>
        <w:bottom w:val="single" w:sz="4" w:space="0" w:color="000000"/>
        <w:right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29">
    <w:name w:val="xl129"/>
    <w:basedOn w:val="Normlny"/>
    <w:rsid w:val="0048319F"/>
    <w:pPr>
      <w:pBdr>
        <w:top w:val="single" w:sz="4" w:space="0" w:color="000000"/>
        <w:left w:val="single" w:sz="4" w:space="0" w:color="000000"/>
        <w:right w:val="single" w:sz="4" w:space="0" w:color="000000"/>
      </w:pBdr>
      <w:shd w:val="clear" w:color="000000" w:fill="B6DDE8"/>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30">
    <w:name w:val="xl130"/>
    <w:basedOn w:val="Normlny"/>
    <w:rsid w:val="0048319F"/>
    <w:pPr>
      <w:pBdr>
        <w:left w:val="single" w:sz="4" w:space="0" w:color="000000"/>
        <w:right w:val="single" w:sz="4" w:space="0" w:color="000000"/>
      </w:pBdr>
      <w:shd w:val="clear" w:color="000000" w:fill="B6DDE8"/>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31">
    <w:name w:val="xl131"/>
    <w:basedOn w:val="Normlny"/>
    <w:rsid w:val="0048319F"/>
    <w:pPr>
      <w:pBdr>
        <w:left w:val="single" w:sz="4" w:space="0" w:color="000000"/>
        <w:bottom w:val="single" w:sz="4" w:space="0" w:color="000000"/>
        <w:right w:val="single" w:sz="4" w:space="0" w:color="000000"/>
      </w:pBdr>
      <w:shd w:val="clear" w:color="000000" w:fill="B6DDE8"/>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32">
    <w:name w:val="xl132"/>
    <w:basedOn w:val="Normlny"/>
    <w:rsid w:val="0048319F"/>
    <w:pPr>
      <w:pBdr>
        <w:top w:val="single" w:sz="4" w:space="0" w:color="000000"/>
        <w:left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3">
    <w:name w:val="xl133"/>
    <w:basedOn w:val="Normlny"/>
    <w:rsid w:val="0048319F"/>
    <w:pPr>
      <w:pBdr>
        <w:top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4">
    <w:name w:val="xl134"/>
    <w:basedOn w:val="Normlny"/>
    <w:rsid w:val="0048319F"/>
    <w:pPr>
      <w:pBdr>
        <w:top w:val="single" w:sz="4" w:space="0" w:color="000000"/>
        <w:right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5">
    <w:name w:val="xl135"/>
    <w:basedOn w:val="Normlny"/>
    <w:rsid w:val="0048319F"/>
    <w:pPr>
      <w:pBdr>
        <w:left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6">
    <w:name w:val="xl136"/>
    <w:basedOn w:val="Normlny"/>
    <w:rsid w:val="0048319F"/>
    <w:pP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7">
    <w:name w:val="xl137"/>
    <w:basedOn w:val="Normlny"/>
    <w:rsid w:val="0048319F"/>
    <w:pPr>
      <w:pBdr>
        <w:right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8">
    <w:name w:val="xl138"/>
    <w:basedOn w:val="Normlny"/>
    <w:rsid w:val="0048319F"/>
    <w:pPr>
      <w:pBdr>
        <w:left w:val="single" w:sz="4" w:space="0" w:color="000000"/>
        <w:bottom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39">
    <w:name w:val="xl139"/>
    <w:basedOn w:val="Normlny"/>
    <w:rsid w:val="0048319F"/>
    <w:pPr>
      <w:pBdr>
        <w:bottom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40">
    <w:name w:val="xl140"/>
    <w:basedOn w:val="Normlny"/>
    <w:rsid w:val="0048319F"/>
    <w:pPr>
      <w:pBdr>
        <w:bottom w:val="single" w:sz="4" w:space="0" w:color="000000"/>
        <w:right w:val="single" w:sz="4" w:space="0" w:color="000000"/>
      </w:pBdr>
      <w:shd w:val="clear" w:color="000000" w:fill="FCD5B4"/>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41">
    <w:name w:val="xl141"/>
    <w:basedOn w:val="Normlny"/>
    <w:rsid w:val="0048319F"/>
    <w:pPr>
      <w:pBdr>
        <w:top w:val="single" w:sz="4" w:space="0" w:color="000000"/>
        <w:left w:val="single" w:sz="4" w:space="0" w:color="000000"/>
      </w:pBdr>
      <w:shd w:val="clear" w:color="000000" w:fill="FCD5B4"/>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42">
    <w:name w:val="xl142"/>
    <w:basedOn w:val="Normlny"/>
    <w:rsid w:val="0048319F"/>
    <w:pPr>
      <w:pBdr>
        <w:top w:val="single" w:sz="4" w:space="0" w:color="000000"/>
      </w:pBdr>
      <w:shd w:val="clear" w:color="000000" w:fill="FCD5B4"/>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43">
    <w:name w:val="xl143"/>
    <w:basedOn w:val="Normlny"/>
    <w:rsid w:val="0048319F"/>
    <w:pPr>
      <w:pBdr>
        <w:top w:val="single" w:sz="4" w:space="0" w:color="000000"/>
        <w:right w:val="single" w:sz="4" w:space="0" w:color="000000"/>
      </w:pBdr>
      <w:shd w:val="clear" w:color="000000" w:fill="FCD5B4"/>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44">
    <w:name w:val="xl144"/>
    <w:basedOn w:val="Normlny"/>
    <w:rsid w:val="0048319F"/>
    <w:pPr>
      <w:pBdr>
        <w:left w:val="single" w:sz="4" w:space="0" w:color="000000"/>
      </w:pBdr>
      <w:shd w:val="clear" w:color="000000" w:fill="FCD5B4"/>
      <w:spacing w:before="100" w:beforeAutospacing="1" w:after="100" w:afterAutospacing="1" w:line="240" w:lineRule="auto"/>
      <w:jc w:val="left"/>
    </w:pPr>
    <w:rPr>
      <w:rFonts w:ascii="Times New Roman" w:hAnsi="Times New Roman"/>
      <w:sz w:val="20"/>
      <w:szCs w:val="20"/>
      <w:lang w:eastAsia="sk-SK"/>
    </w:rPr>
  </w:style>
  <w:style w:type="paragraph" w:customStyle="1" w:styleId="xl145">
    <w:name w:val="xl145"/>
    <w:basedOn w:val="Normlny"/>
    <w:rsid w:val="0048319F"/>
    <w:pPr>
      <w:shd w:val="clear" w:color="000000" w:fill="FCD5B4"/>
      <w:spacing w:before="100" w:beforeAutospacing="1" w:after="100" w:afterAutospacing="1" w:line="240" w:lineRule="auto"/>
      <w:jc w:val="left"/>
    </w:pPr>
    <w:rPr>
      <w:rFonts w:ascii="Times New Roman" w:hAnsi="Times New Roman"/>
      <w:sz w:val="20"/>
      <w:szCs w:val="20"/>
      <w:lang w:eastAsia="sk-SK"/>
    </w:rPr>
  </w:style>
  <w:style w:type="paragraph" w:customStyle="1" w:styleId="xl146">
    <w:name w:val="xl146"/>
    <w:basedOn w:val="Normlny"/>
    <w:rsid w:val="0048319F"/>
    <w:pPr>
      <w:pBdr>
        <w:right w:val="single" w:sz="4" w:space="0" w:color="000000"/>
      </w:pBdr>
      <w:shd w:val="clear" w:color="000000" w:fill="FCD5B4"/>
      <w:spacing w:before="100" w:beforeAutospacing="1" w:after="100" w:afterAutospacing="1" w:line="240" w:lineRule="auto"/>
      <w:jc w:val="left"/>
    </w:pPr>
    <w:rPr>
      <w:rFonts w:ascii="Times New Roman" w:hAnsi="Times New Roman"/>
      <w:sz w:val="20"/>
      <w:szCs w:val="20"/>
      <w:lang w:eastAsia="sk-SK"/>
    </w:rPr>
  </w:style>
  <w:style w:type="paragraph" w:customStyle="1" w:styleId="xl147">
    <w:name w:val="xl147"/>
    <w:basedOn w:val="Normlny"/>
    <w:rsid w:val="0048319F"/>
    <w:pPr>
      <w:pBdr>
        <w:top w:val="single" w:sz="4" w:space="0" w:color="000000"/>
        <w:left w:val="single" w:sz="4" w:space="0" w:color="000000"/>
        <w:bottom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48">
    <w:name w:val="xl148"/>
    <w:basedOn w:val="Normlny"/>
    <w:rsid w:val="0048319F"/>
    <w:pPr>
      <w:pBdr>
        <w:top w:val="single" w:sz="4" w:space="0" w:color="000000"/>
        <w:bottom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49">
    <w:name w:val="xl149"/>
    <w:basedOn w:val="Normlny"/>
    <w:rsid w:val="0048319F"/>
    <w:pPr>
      <w:pBdr>
        <w:top w:val="single" w:sz="4" w:space="0" w:color="000000"/>
        <w:bottom w:val="single" w:sz="4" w:space="0" w:color="000000"/>
        <w:right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0">
    <w:name w:val="xl150"/>
    <w:basedOn w:val="Normlny"/>
    <w:rsid w:val="0048319F"/>
    <w:pPr>
      <w:pBdr>
        <w:top w:val="single" w:sz="4" w:space="0" w:color="000000"/>
        <w:left w:val="single" w:sz="4" w:space="0" w:color="000000"/>
        <w:right w:val="single" w:sz="4" w:space="0" w:color="000000"/>
      </w:pBdr>
      <w:shd w:val="clear" w:color="000000" w:fill="FCD5B4"/>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51">
    <w:name w:val="xl151"/>
    <w:basedOn w:val="Normlny"/>
    <w:rsid w:val="0048319F"/>
    <w:pPr>
      <w:pBdr>
        <w:left w:val="single" w:sz="4" w:space="0" w:color="000000"/>
        <w:right w:val="single" w:sz="4" w:space="0" w:color="000000"/>
      </w:pBdr>
      <w:shd w:val="clear" w:color="000000" w:fill="FCD5B4"/>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52">
    <w:name w:val="xl152"/>
    <w:basedOn w:val="Normlny"/>
    <w:rsid w:val="0048319F"/>
    <w:pPr>
      <w:pBdr>
        <w:left w:val="single" w:sz="4" w:space="0" w:color="000000"/>
        <w:bottom w:val="single" w:sz="4" w:space="0" w:color="000000"/>
        <w:right w:val="single" w:sz="4" w:space="0" w:color="000000"/>
      </w:pBdr>
      <w:shd w:val="clear" w:color="000000" w:fill="FCD5B4"/>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53">
    <w:name w:val="xl153"/>
    <w:basedOn w:val="Normlny"/>
    <w:rsid w:val="0048319F"/>
    <w:pPr>
      <w:pBdr>
        <w:top w:val="single" w:sz="4" w:space="0" w:color="000000"/>
        <w:left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4">
    <w:name w:val="xl154"/>
    <w:basedOn w:val="Normlny"/>
    <w:rsid w:val="0048319F"/>
    <w:pPr>
      <w:pBdr>
        <w:top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5">
    <w:name w:val="xl155"/>
    <w:basedOn w:val="Normlny"/>
    <w:rsid w:val="0048319F"/>
    <w:pPr>
      <w:pBdr>
        <w:top w:val="single" w:sz="4" w:space="0" w:color="000000"/>
        <w:right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6">
    <w:name w:val="xl156"/>
    <w:basedOn w:val="Normlny"/>
    <w:rsid w:val="0048319F"/>
    <w:pPr>
      <w:pBdr>
        <w:left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7">
    <w:name w:val="xl157"/>
    <w:basedOn w:val="Normlny"/>
    <w:rsid w:val="0048319F"/>
    <w:pP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8">
    <w:name w:val="xl158"/>
    <w:basedOn w:val="Normlny"/>
    <w:rsid w:val="0048319F"/>
    <w:pPr>
      <w:pBdr>
        <w:right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59">
    <w:name w:val="xl159"/>
    <w:basedOn w:val="Normlny"/>
    <w:rsid w:val="0048319F"/>
    <w:pPr>
      <w:pBdr>
        <w:left w:val="single" w:sz="4" w:space="0" w:color="000000"/>
        <w:bottom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60">
    <w:name w:val="xl160"/>
    <w:basedOn w:val="Normlny"/>
    <w:rsid w:val="0048319F"/>
    <w:pPr>
      <w:pBdr>
        <w:bottom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61">
    <w:name w:val="xl161"/>
    <w:basedOn w:val="Normlny"/>
    <w:rsid w:val="0048319F"/>
    <w:pPr>
      <w:pBdr>
        <w:bottom w:val="single" w:sz="4" w:space="0" w:color="000000"/>
        <w:right w:val="single" w:sz="4" w:space="0" w:color="000000"/>
      </w:pBdr>
      <w:shd w:val="clear" w:color="000000" w:fill="FDE9D9"/>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62">
    <w:name w:val="xl162"/>
    <w:basedOn w:val="Normlny"/>
    <w:rsid w:val="0048319F"/>
    <w:pPr>
      <w:pBdr>
        <w:top w:val="single" w:sz="4" w:space="0" w:color="000000"/>
        <w:left w:val="single" w:sz="4" w:space="0" w:color="000000"/>
      </w:pBdr>
      <w:shd w:val="clear" w:color="000000" w:fill="FDE9D9"/>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63">
    <w:name w:val="xl163"/>
    <w:basedOn w:val="Normlny"/>
    <w:rsid w:val="0048319F"/>
    <w:pPr>
      <w:pBdr>
        <w:top w:val="single" w:sz="4" w:space="0" w:color="000000"/>
      </w:pBdr>
      <w:shd w:val="clear" w:color="000000" w:fill="FDE9D9"/>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64">
    <w:name w:val="xl164"/>
    <w:basedOn w:val="Normlny"/>
    <w:rsid w:val="0048319F"/>
    <w:pPr>
      <w:pBdr>
        <w:top w:val="single" w:sz="4" w:space="0" w:color="000000"/>
        <w:right w:val="single" w:sz="4" w:space="0" w:color="000000"/>
      </w:pBdr>
      <w:shd w:val="clear" w:color="000000" w:fill="FDE9D9"/>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65">
    <w:name w:val="xl165"/>
    <w:basedOn w:val="Normlny"/>
    <w:rsid w:val="0048319F"/>
    <w:pPr>
      <w:pBdr>
        <w:left w:val="single" w:sz="4" w:space="0" w:color="000000"/>
      </w:pBdr>
      <w:shd w:val="clear" w:color="000000" w:fill="FDE9D9"/>
      <w:spacing w:before="100" w:beforeAutospacing="1" w:after="100" w:afterAutospacing="1" w:line="240" w:lineRule="auto"/>
      <w:jc w:val="left"/>
    </w:pPr>
    <w:rPr>
      <w:rFonts w:ascii="Times New Roman" w:hAnsi="Times New Roman"/>
      <w:sz w:val="20"/>
      <w:szCs w:val="20"/>
      <w:lang w:eastAsia="sk-SK"/>
    </w:rPr>
  </w:style>
  <w:style w:type="paragraph" w:customStyle="1" w:styleId="xl166">
    <w:name w:val="xl166"/>
    <w:basedOn w:val="Normlny"/>
    <w:rsid w:val="0048319F"/>
    <w:pPr>
      <w:shd w:val="clear" w:color="000000" w:fill="FDE9D9"/>
      <w:spacing w:before="100" w:beforeAutospacing="1" w:after="100" w:afterAutospacing="1" w:line="240" w:lineRule="auto"/>
      <w:jc w:val="left"/>
    </w:pPr>
    <w:rPr>
      <w:rFonts w:ascii="Times New Roman" w:hAnsi="Times New Roman"/>
      <w:sz w:val="20"/>
      <w:szCs w:val="20"/>
      <w:lang w:eastAsia="sk-SK"/>
    </w:rPr>
  </w:style>
  <w:style w:type="paragraph" w:customStyle="1" w:styleId="xl167">
    <w:name w:val="xl167"/>
    <w:basedOn w:val="Normlny"/>
    <w:rsid w:val="0048319F"/>
    <w:pPr>
      <w:pBdr>
        <w:right w:val="single" w:sz="4" w:space="0" w:color="000000"/>
      </w:pBdr>
      <w:shd w:val="clear" w:color="000000" w:fill="FDE9D9"/>
      <w:spacing w:before="100" w:beforeAutospacing="1" w:after="100" w:afterAutospacing="1" w:line="240" w:lineRule="auto"/>
      <w:jc w:val="left"/>
    </w:pPr>
    <w:rPr>
      <w:rFonts w:ascii="Times New Roman" w:hAnsi="Times New Roman"/>
      <w:sz w:val="20"/>
      <w:szCs w:val="20"/>
      <w:lang w:eastAsia="sk-SK"/>
    </w:rPr>
  </w:style>
  <w:style w:type="paragraph" w:customStyle="1" w:styleId="xl168">
    <w:name w:val="xl168"/>
    <w:basedOn w:val="Normlny"/>
    <w:rsid w:val="0048319F"/>
    <w:pPr>
      <w:pBdr>
        <w:top w:val="single" w:sz="4" w:space="0" w:color="000000"/>
        <w:left w:val="single" w:sz="4" w:space="0" w:color="000000"/>
        <w:bottom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69">
    <w:name w:val="xl169"/>
    <w:basedOn w:val="Normlny"/>
    <w:rsid w:val="0048319F"/>
    <w:pPr>
      <w:pBdr>
        <w:top w:val="single" w:sz="4" w:space="0" w:color="000000"/>
        <w:bottom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0">
    <w:name w:val="xl170"/>
    <w:basedOn w:val="Normlny"/>
    <w:rsid w:val="0048319F"/>
    <w:pPr>
      <w:pBdr>
        <w:top w:val="single" w:sz="4" w:space="0" w:color="000000"/>
        <w:bottom w:val="single" w:sz="4" w:space="0" w:color="000000"/>
        <w:right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1">
    <w:name w:val="xl171"/>
    <w:basedOn w:val="Normlny"/>
    <w:rsid w:val="0048319F"/>
    <w:pPr>
      <w:pBdr>
        <w:top w:val="single" w:sz="4" w:space="0" w:color="000000"/>
        <w:left w:val="single" w:sz="4" w:space="0" w:color="000000"/>
        <w:right w:val="single" w:sz="4" w:space="0" w:color="000000"/>
      </w:pBdr>
      <w:shd w:val="clear" w:color="000000" w:fill="FDE9D9"/>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72">
    <w:name w:val="xl172"/>
    <w:basedOn w:val="Normlny"/>
    <w:rsid w:val="0048319F"/>
    <w:pPr>
      <w:pBdr>
        <w:left w:val="single" w:sz="4" w:space="0" w:color="000000"/>
        <w:right w:val="single" w:sz="4" w:space="0" w:color="000000"/>
      </w:pBdr>
      <w:shd w:val="clear" w:color="000000" w:fill="FDE9D9"/>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73">
    <w:name w:val="xl173"/>
    <w:basedOn w:val="Normlny"/>
    <w:rsid w:val="0048319F"/>
    <w:pPr>
      <w:pBdr>
        <w:left w:val="single" w:sz="4" w:space="0" w:color="000000"/>
        <w:bottom w:val="single" w:sz="4" w:space="0" w:color="000000"/>
        <w:right w:val="single" w:sz="4" w:space="0" w:color="000000"/>
      </w:pBdr>
      <w:shd w:val="clear" w:color="000000" w:fill="FDE9D9"/>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74">
    <w:name w:val="xl174"/>
    <w:basedOn w:val="Normlny"/>
    <w:rsid w:val="0048319F"/>
    <w:pPr>
      <w:pBdr>
        <w:top w:val="single" w:sz="4" w:space="0" w:color="000000"/>
        <w:left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5">
    <w:name w:val="xl175"/>
    <w:basedOn w:val="Normlny"/>
    <w:rsid w:val="0048319F"/>
    <w:pPr>
      <w:pBdr>
        <w:top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6">
    <w:name w:val="xl176"/>
    <w:basedOn w:val="Normlny"/>
    <w:rsid w:val="0048319F"/>
    <w:pPr>
      <w:pBdr>
        <w:top w:val="single" w:sz="4" w:space="0" w:color="000000"/>
        <w:right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7">
    <w:name w:val="xl177"/>
    <w:basedOn w:val="Normlny"/>
    <w:rsid w:val="0048319F"/>
    <w:pPr>
      <w:pBdr>
        <w:left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8">
    <w:name w:val="xl178"/>
    <w:basedOn w:val="Normlny"/>
    <w:rsid w:val="0048319F"/>
    <w:pP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79">
    <w:name w:val="xl179"/>
    <w:basedOn w:val="Normlny"/>
    <w:rsid w:val="0048319F"/>
    <w:pPr>
      <w:pBdr>
        <w:right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80">
    <w:name w:val="xl180"/>
    <w:basedOn w:val="Normlny"/>
    <w:rsid w:val="0048319F"/>
    <w:pPr>
      <w:pBdr>
        <w:left w:val="single" w:sz="4" w:space="0" w:color="000000"/>
        <w:bottom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81">
    <w:name w:val="xl181"/>
    <w:basedOn w:val="Normlny"/>
    <w:rsid w:val="0048319F"/>
    <w:pPr>
      <w:pBdr>
        <w:bottom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82">
    <w:name w:val="xl182"/>
    <w:basedOn w:val="Normlny"/>
    <w:rsid w:val="0048319F"/>
    <w:pPr>
      <w:pBdr>
        <w:bottom w:val="single" w:sz="4" w:space="0" w:color="000000"/>
        <w:right w:val="single" w:sz="4" w:space="0" w:color="000000"/>
      </w:pBdr>
      <w:shd w:val="clear" w:color="000000" w:fill="DBEEF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83">
    <w:name w:val="xl183"/>
    <w:basedOn w:val="Normlny"/>
    <w:rsid w:val="0048319F"/>
    <w:pPr>
      <w:pBdr>
        <w:top w:val="single" w:sz="4" w:space="0" w:color="000000"/>
        <w:left w:val="single" w:sz="4" w:space="0" w:color="000000"/>
      </w:pBdr>
      <w:shd w:val="clear" w:color="000000" w:fill="DBEEF3"/>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84">
    <w:name w:val="xl184"/>
    <w:basedOn w:val="Normlny"/>
    <w:rsid w:val="0048319F"/>
    <w:pPr>
      <w:pBdr>
        <w:top w:val="single" w:sz="4" w:space="0" w:color="000000"/>
      </w:pBdr>
      <w:shd w:val="clear" w:color="000000" w:fill="DBEEF3"/>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85">
    <w:name w:val="xl185"/>
    <w:basedOn w:val="Normlny"/>
    <w:rsid w:val="0048319F"/>
    <w:pPr>
      <w:pBdr>
        <w:top w:val="single" w:sz="4" w:space="0" w:color="000000"/>
        <w:right w:val="single" w:sz="4" w:space="0" w:color="000000"/>
      </w:pBdr>
      <w:shd w:val="clear" w:color="000000" w:fill="DBEEF3"/>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186">
    <w:name w:val="xl186"/>
    <w:basedOn w:val="Normlny"/>
    <w:rsid w:val="0048319F"/>
    <w:pPr>
      <w:pBdr>
        <w:left w:val="single" w:sz="4" w:space="0" w:color="000000"/>
      </w:pBdr>
      <w:shd w:val="clear" w:color="000000" w:fill="DBEEF3"/>
      <w:spacing w:before="100" w:beforeAutospacing="1" w:after="100" w:afterAutospacing="1" w:line="240" w:lineRule="auto"/>
      <w:jc w:val="left"/>
    </w:pPr>
    <w:rPr>
      <w:rFonts w:ascii="Times New Roman" w:hAnsi="Times New Roman"/>
      <w:sz w:val="20"/>
      <w:szCs w:val="20"/>
      <w:lang w:eastAsia="sk-SK"/>
    </w:rPr>
  </w:style>
  <w:style w:type="paragraph" w:customStyle="1" w:styleId="xl187">
    <w:name w:val="xl187"/>
    <w:basedOn w:val="Normlny"/>
    <w:rsid w:val="0048319F"/>
    <w:pPr>
      <w:shd w:val="clear" w:color="000000" w:fill="DBEEF3"/>
      <w:spacing w:before="100" w:beforeAutospacing="1" w:after="100" w:afterAutospacing="1" w:line="240" w:lineRule="auto"/>
      <w:jc w:val="left"/>
    </w:pPr>
    <w:rPr>
      <w:rFonts w:ascii="Times New Roman" w:hAnsi="Times New Roman"/>
      <w:sz w:val="20"/>
      <w:szCs w:val="20"/>
      <w:lang w:eastAsia="sk-SK"/>
    </w:rPr>
  </w:style>
  <w:style w:type="paragraph" w:customStyle="1" w:styleId="xl188">
    <w:name w:val="xl188"/>
    <w:basedOn w:val="Normlny"/>
    <w:rsid w:val="0048319F"/>
    <w:pPr>
      <w:pBdr>
        <w:right w:val="single" w:sz="4" w:space="0" w:color="000000"/>
      </w:pBdr>
      <w:shd w:val="clear" w:color="000000" w:fill="DBEEF3"/>
      <w:spacing w:before="100" w:beforeAutospacing="1" w:after="100" w:afterAutospacing="1" w:line="240" w:lineRule="auto"/>
      <w:jc w:val="left"/>
    </w:pPr>
    <w:rPr>
      <w:rFonts w:ascii="Times New Roman" w:hAnsi="Times New Roman"/>
      <w:sz w:val="20"/>
      <w:szCs w:val="20"/>
      <w:lang w:eastAsia="sk-SK"/>
    </w:rPr>
  </w:style>
  <w:style w:type="paragraph" w:customStyle="1" w:styleId="xl189">
    <w:name w:val="xl189"/>
    <w:basedOn w:val="Normlny"/>
    <w:rsid w:val="0048319F"/>
    <w:pPr>
      <w:pBdr>
        <w:top w:val="single" w:sz="4" w:space="0" w:color="000000"/>
        <w:left w:val="single" w:sz="4" w:space="0" w:color="000000"/>
        <w:bottom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0">
    <w:name w:val="xl190"/>
    <w:basedOn w:val="Normlny"/>
    <w:rsid w:val="0048319F"/>
    <w:pPr>
      <w:pBdr>
        <w:top w:val="single" w:sz="4" w:space="0" w:color="000000"/>
        <w:bottom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1">
    <w:name w:val="xl191"/>
    <w:basedOn w:val="Normlny"/>
    <w:rsid w:val="0048319F"/>
    <w:pPr>
      <w:pBdr>
        <w:top w:val="single" w:sz="4" w:space="0" w:color="000000"/>
        <w:bottom w:val="single" w:sz="4" w:space="0" w:color="000000"/>
        <w:right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2">
    <w:name w:val="xl192"/>
    <w:basedOn w:val="Normlny"/>
    <w:rsid w:val="0048319F"/>
    <w:pPr>
      <w:pBdr>
        <w:top w:val="single" w:sz="4" w:space="0" w:color="000000"/>
        <w:left w:val="single" w:sz="4" w:space="0" w:color="000000"/>
        <w:right w:val="single" w:sz="4" w:space="0" w:color="000000"/>
      </w:pBdr>
      <w:shd w:val="clear" w:color="000000" w:fill="DBEEF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93">
    <w:name w:val="xl193"/>
    <w:basedOn w:val="Normlny"/>
    <w:rsid w:val="0048319F"/>
    <w:pPr>
      <w:pBdr>
        <w:left w:val="single" w:sz="4" w:space="0" w:color="000000"/>
        <w:right w:val="single" w:sz="4" w:space="0" w:color="000000"/>
      </w:pBdr>
      <w:shd w:val="clear" w:color="000000" w:fill="DBEEF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94">
    <w:name w:val="xl194"/>
    <w:basedOn w:val="Normlny"/>
    <w:rsid w:val="0048319F"/>
    <w:pPr>
      <w:pBdr>
        <w:left w:val="single" w:sz="4" w:space="0" w:color="000000"/>
        <w:bottom w:val="single" w:sz="4" w:space="0" w:color="000000"/>
        <w:right w:val="single" w:sz="4" w:space="0" w:color="000000"/>
      </w:pBdr>
      <w:shd w:val="clear" w:color="000000" w:fill="DBEEF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195">
    <w:name w:val="xl195"/>
    <w:basedOn w:val="Normlny"/>
    <w:rsid w:val="0048319F"/>
    <w:pPr>
      <w:pBdr>
        <w:top w:val="single" w:sz="4" w:space="0" w:color="000000"/>
        <w:left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6">
    <w:name w:val="xl196"/>
    <w:basedOn w:val="Normlny"/>
    <w:rsid w:val="0048319F"/>
    <w:pPr>
      <w:pBdr>
        <w:top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7">
    <w:name w:val="xl197"/>
    <w:basedOn w:val="Normlny"/>
    <w:rsid w:val="0048319F"/>
    <w:pPr>
      <w:pBdr>
        <w:top w:val="single" w:sz="4" w:space="0" w:color="000000"/>
        <w:right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8">
    <w:name w:val="xl198"/>
    <w:basedOn w:val="Normlny"/>
    <w:rsid w:val="0048319F"/>
    <w:pPr>
      <w:pBdr>
        <w:left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199">
    <w:name w:val="xl199"/>
    <w:basedOn w:val="Normlny"/>
    <w:rsid w:val="0048319F"/>
    <w:pP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0">
    <w:name w:val="xl200"/>
    <w:basedOn w:val="Normlny"/>
    <w:rsid w:val="0048319F"/>
    <w:pPr>
      <w:pBdr>
        <w:right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1">
    <w:name w:val="xl201"/>
    <w:basedOn w:val="Normlny"/>
    <w:rsid w:val="0048319F"/>
    <w:pPr>
      <w:pBdr>
        <w:left w:val="single" w:sz="4" w:space="0" w:color="000000"/>
        <w:bottom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2">
    <w:name w:val="xl202"/>
    <w:basedOn w:val="Normlny"/>
    <w:rsid w:val="0048319F"/>
    <w:pPr>
      <w:pBdr>
        <w:bottom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3">
    <w:name w:val="xl203"/>
    <w:basedOn w:val="Normlny"/>
    <w:rsid w:val="0048319F"/>
    <w:pPr>
      <w:pBdr>
        <w:bottom w:val="single" w:sz="4" w:space="0" w:color="000000"/>
        <w:right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4">
    <w:name w:val="xl204"/>
    <w:basedOn w:val="Normlny"/>
    <w:rsid w:val="0048319F"/>
    <w:pPr>
      <w:pBdr>
        <w:top w:val="single" w:sz="4" w:space="0" w:color="000000"/>
        <w:left w:val="single" w:sz="4" w:space="0" w:color="000000"/>
      </w:pBdr>
      <w:shd w:val="clear" w:color="000000" w:fill="E5E0EC"/>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05">
    <w:name w:val="xl205"/>
    <w:basedOn w:val="Normlny"/>
    <w:rsid w:val="0048319F"/>
    <w:pPr>
      <w:pBdr>
        <w:top w:val="single" w:sz="4" w:space="0" w:color="000000"/>
      </w:pBdr>
      <w:shd w:val="clear" w:color="000000" w:fill="E5E0EC"/>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06">
    <w:name w:val="xl206"/>
    <w:basedOn w:val="Normlny"/>
    <w:rsid w:val="0048319F"/>
    <w:pPr>
      <w:pBdr>
        <w:top w:val="single" w:sz="4" w:space="0" w:color="000000"/>
        <w:right w:val="single" w:sz="4" w:space="0" w:color="000000"/>
      </w:pBdr>
      <w:shd w:val="clear" w:color="000000" w:fill="E5E0EC"/>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07">
    <w:name w:val="xl207"/>
    <w:basedOn w:val="Normlny"/>
    <w:rsid w:val="0048319F"/>
    <w:pPr>
      <w:pBdr>
        <w:top w:val="single" w:sz="4" w:space="0" w:color="000000"/>
        <w:left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8">
    <w:name w:val="xl208"/>
    <w:basedOn w:val="Normlny"/>
    <w:rsid w:val="0048319F"/>
    <w:pPr>
      <w:pBdr>
        <w:top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09">
    <w:name w:val="xl209"/>
    <w:basedOn w:val="Normlny"/>
    <w:rsid w:val="0048319F"/>
    <w:pPr>
      <w:pBdr>
        <w:top w:val="single" w:sz="4" w:space="0" w:color="000000"/>
        <w:right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0">
    <w:name w:val="xl210"/>
    <w:basedOn w:val="Normlny"/>
    <w:rsid w:val="0048319F"/>
    <w:pPr>
      <w:pBdr>
        <w:left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1">
    <w:name w:val="xl211"/>
    <w:basedOn w:val="Normlny"/>
    <w:rsid w:val="0048319F"/>
    <w:pP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2">
    <w:name w:val="xl212"/>
    <w:basedOn w:val="Normlny"/>
    <w:rsid w:val="0048319F"/>
    <w:pPr>
      <w:pBdr>
        <w:right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3">
    <w:name w:val="xl213"/>
    <w:basedOn w:val="Normlny"/>
    <w:rsid w:val="0048319F"/>
    <w:pPr>
      <w:pBdr>
        <w:left w:val="single" w:sz="4" w:space="0" w:color="000000"/>
        <w:bottom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4">
    <w:name w:val="xl214"/>
    <w:basedOn w:val="Normlny"/>
    <w:rsid w:val="0048319F"/>
    <w:pPr>
      <w:pBdr>
        <w:bottom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5">
    <w:name w:val="xl215"/>
    <w:basedOn w:val="Normlny"/>
    <w:rsid w:val="0048319F"/>
    <w:pPr>
      <w:pBdr>
        <w:bottom w:val="single" w:sz="4" w:space="0" w:color="000000"/>
        <w:right w:val="single" w:sz="4" w:space="0" w:color="000000"/>
      </w:pBdr>
      <w:shd w:val="clear" w:color="000000" w:fill="F2DDD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16">
    <w:name w:val="xl216"/>
    <w:basedOn w:val="Normlny"/>
    <w:rsid w:val="0048319F"/>
    <w:pPr>
      <w:pBdr>
        <w:top w:val="single" w:sz="4" w:space="0" w:color="000000"/>
        <w:left w:val="single" w:sz="4" w:space="0" w:color="000000"/>
      </w:pBdr>
      <w:shd w:val="clear" w:color="000000" w:fill="F2DDDC"/>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17">
    <w:name w:val="xl217"/>
    <w:basedOn w:val="Normlny"/>
    <w:rsid w:val="0048319F"/>
    <w:pPr>
      <w:pBdr>
        <w:top w:val="single" w:sz="4" w:space="0" w:color="000000"/>
      </w:pBdr>
      <w:shd w:val="clear" w:color="000000" w:fill="F2DDDC"/>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18">
    <w:name w:val="xl218"/>
    <w:basedOn w:val="Normlny"/>
    <w:rsid w:val="0048319F"/>
    <w:pPr>
      <w:pBdr>
        <w:top w:val="single" w:sz="4" w:space="0" w:color="000000"/>
        <w:right w:val="single" w:sz="4" w:space="0" w:color="000000"/>
      </w:pBdr>
      <w:shd w:val="clear" w:color="000000" w:fill="F2DDDC"/>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19">
    <w:name w:val="xl219"/>
    <w:basedOn w:val="Normlny"/>
    <w:rsid w:val="0048319F"/>
    <w:pPr>
      <w:pBdr>
        <w:left w:val="single" w:sz="4" w:space="0" w:color="000000"/>
      </w:pBdr>
      <w:shd w:val="clear" w:color="000000" w:fill="F2DDDC"/>
      <w:spacing w:before="100" w:beforeAutospacing="1" w:after="100" w:afterAutospacing="1" w:line="240" w:lineRule="auto"/>
      <w:jc w:val="left"/>
    </w:pPr>
    <w:rPr>
      <w:rFonts w:ascii="Times New Roman" w:hAnsi="Times New Roman"/>
      <w:sz w:val="20"/>
      <w:szCs w:val="20"/>
      <w:lang w:eastAsia="sk-SK"/>
    </w:rPr>
  </w:style>
  <w:style w:type="paragraph" w:customStyle="1" w:styleId="xl220">
    <w:name w:val="xl220"/>
    <w:basedOn w:val="Normlny"/>
    <w:rsid w:val="0048319F"/>
    <w:pPr>
      <w:shd w:val="clear" w:color="000000" w:fill="F2DDDC"/>
      <w:spacing w:before="100" w:beforeAutospacing="1" w:after="100" w:afterAutospacing="1" w:line="240" w:lineRule="auto"/>
      <w:jc w:val="left"/>
    </w:pPr>
    <w:rPr>
      <w:rFonts w:ascii="Times New Roman" w:hAnsi="Times New Roman"/>
      <w:sz w:val="20"/>
      <w:szCs w:val="20"/>
      <w:lang w:eastAsia="sk-SK"/>
    </w:rPr>
  </w:style>
  <w:style w:type="paragraph" w:customStyle="1" w:styleId="xl221">
    <w:name w:val="xl221"/>
    <w:basedOn w:val="Normlny"/>
    <w:rsid w:val="0048319F"/>
    <w:pPr>
      <w:pBdr>
        <w:right w:val="single" w:sz="4" w:space="0" w:color="000000"/>
      </w:pBdr>
      <w:shd w:val="clear" w:color="000000" w:fill="F2DDDC"/>
      <w:spacing w:before="100" w:beforeAutospacing="1" w:after="100" w:afterAutospacing="1" w:line="240" w:lineRule="auto"/>
      <w:jc w:val="left"/>
    </w:pPr>
    <w:rPr>
      <w:rFonts w:ascii="Times New Roman" w:hAnsi="Times New Roman"/>
      <w:sz w:val="20"/>
      <w:szCs w:val="20"/>
      <w:lang w:eastAsia="sk-SK"/>
    </w:rPr>
  </w:style>
  <w:style w:type="paragraph" w:customStyle="1" w:styleId="xl222">
    <w:name w:val="xl222"/>
    <w:basedOn w:val="Normlny"/>
    <w:rsid w:val="0048319F"/>
    <w:pPr>
      <w:pBdr>
        <w:top w:val="single" w:sz="4" w:space="0" w:color="000000"/>
        <w:left w:val="single" w:sz="4" w:space="0" w:color="000000"/>
        <w:bottom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23">
    <w:name w:val="xl223"/>
    <w:basedOn w:val="Normlny"/>
    <w:rsid w:val="0048319F"/>
    <w:pPr>
      <w:pBdr>
        <w:top w:val="single" w:sz="4" w:space="0" w:color="000000"/>
        <w:bottom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24">
    <w:name w:val="xl224"/>
    <w:basedOn w:val="Normlny"/>
    <w:rsid w:val="0048319F"/>
    <w:pPr>
      <w:pBdr>
        <w:top w:val="single" w:sz="4" w:space="0" w:color="000000"/>
        <w:bottom w:val="single" w:sz="4" w:space="0" w:color="000000"/>
        <w:right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25">
    <w:name w:val="xl225"/>
    <w:basedOn w:val="Normlny"/>
    <w:rsid w:val="0048319F"/>
    <w:pPr>
      <w:pBdr>
        <w:top w:val="single" w:sz="4" w:space="0" w:color="000000"/>
        <w:left w:val="single" w:sz="4" w:space="0" w:color="000000"/>
        <w:right w:val="single" w:sz="4" w:space="0" w:color="000000"/>
      </w:pBdr>
      <w:shd w:val="clear" w:color="000000" w:fill="F2DDDC"/>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26">
    <w:name w:val="xl226"/>
    <w:basedOn w:val="Normlny"/>
    <w:rsid w:val="0048319F"/>
    <w:pPr>
      <w:pBdr>
        <w:left w:val="single" w:sz="4" w:space="0" w:color="000000"/>
        <w:right w:val="single" w:sz="4" w:space="0" w:color="000000"/>
      </w:pBdr>
      <w:shd w:val="clear" w:color="000000" w:fill="F2DDDC"/>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27">
    <w:name w:val="xl227"/>
    <w:basedOn w:val="Normlny"/>
    <w:rsid w:val="0048319F"/>
    <w:pPr>
      <w:pBdr>
        <w:left w:val="single" w:sz="4" w:space="0" w:color="000000"/>
        <w:bottom w:val="single" w:sz="4" w:space="0" w:color="000000"/>
        <w:right w:val="single" w:sz="4" w:space="0" w:color="000000"/>
      </w:pBdr>
      <w:shd w:val="clear" w:color="000000" w:fill="F2DDDC"/>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28">
    <w:name w:val="xl228"/>
    <w:basedOn w:val="Normlny"/>
    <w:rsid w:val="0048319F"/>
    <w:pPr>
      <w:pBdr>
        <w:top w:val="single" w:sz="4" w:space="0" w:color="000000"/>
        <w:left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29">
    <w:name w:val="xl229"/>
    <w:basedOn w:val="Normlny"/>
    <w:rsid w:val="0048319F"/>
    <w:pPr>
      <w:pBdr>
        <w:top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0">
    <w:name w:val="xl230"/>
    <w:basedOn w:val="Normlny"/>
    <w:rsid w:val="0048319F"/>
    <w:pPr>
      <w:pBdr>
        <w:top w:val="single" w:sz="4" w:space="0" w:color="000000"/>
        <w:right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1">
    <w:name w:val="xl231"/>
    <w:basedOn w:val="Normlny"/>
    <w:rsid w:val="0048319F"/>
    <w:pPr>
      <w:pBdr>
        <w:left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2">
    <w:name w:val="xl232"/>
    <w:basedOn w:val="Normlny"/>
    <w:rsid w:val="0048319F"/>
    <w:pP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3">
    <w:name w:val="xl233"/>
    <w:basedOn w:val="Normlny"/>
    <w:rsid w:val="0048319F"/>
    <w:pPr>
      <w:pBdr>
        <w:right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4">
    <w:name w:val="xl234"/>
    <w:basedOn w:val="Normlny"/>
    <w:rsid w:val="0048319F"/>
    <w:pPr>
      <w:pBdr>
        <w:left w:val="single" w:sz="4" w:space="0" w:color="000000"/>
        <w:bottom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5">
    <w:name w:val="xl235"/>
    <w:basedOn w:val="Normlny"/>
    <w:rsid w:val="0048319F"/>
    <w:pPr>
      <w:pBdr>
        <w:bottom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6">
    <w:name w:val="xl236"/>
    <w:basedOn w:val="Normlny"/>
    <w:rsid w:val="0048319F"/>
    <w:pPr>
      <w:pBdr>
        <w:bottom w:val="single" w:sz="4" w:space="0" w:color="000000"/>
        <w:right w:val="single" w:sz="4" w:space="0" w:color="000000"/>
      </w:pBdr>
      <w:shd w:val="clear" w:color="000000" w:fill="DBE5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37">
    <w:name w:val="xl237"/>
    <w:basedOn w:val="Normlny"/>
    <w:rsid w:val="0048319F"/>
    <w:pPr>
      <w:pBdr>
        <w:top w:val="single" w:sz="4" w:space="0" w:color="000000"/>
        <w:left w:val="single" w:sz="4" w:space="0" w:color="000000"/>
      </w:pBdr>
      <w:shd w:val="clear" w:color="000000" w:fill="DBE5F1"/>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38">
    <w:name w:val="xl238"/>
    <w:basedOn w:val="Normlny"/>
    <w:rsid w:val="0048319F"/>
    <w:pPr>
      <w:pBdr>
        <w:top w:val="single" w:sz="4" w:space="0" w:color="000000"/>
      </w:pBdr>
      <w:shd w:val="clear" w:color="000000" w:fill="DBE5F1"/>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39">
    <w:name w:val="xl239"/>
    <w:basedOn w:val="Normlny"/>
    <w:rsid w:val="0048319F"/>
    <w:pPr>
      <w:pBdr>
        <w:top w:val="single" w:sz="4" w:space="0" w:color="000000"/>
        <w:right w:val="single" w:sz="4" w:space="0" w:color="000000"/>
      </w:pBdr>
      <w:shd w:val="clear" w:color="000000" w:fill="DBE5F1"/>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40">
    <w:name w:val="xl240"/>
    <w:basedOn w:val="Normlny"/>
    <w:rsid w:val="0048319F"/>
    <w:pPr>
      <w:pBdr>
        <w:left w:val="single" w:sz="4" w:space="0" w:color="000000"/>
      </w:pBdr>
      <w:shd w:val="clear" w:color="000000" w:fill="DBE5F1"/>
      <w:spacing w:before="100" w:beforeAutospacing="1" w:after="100" w:afterAutospacing="1" w:line="240" w:lineRule="auto"/>
      <w:jc w:val="left"/>
    </w:pPr>
    <w:rPr>
      <w:rFonts w:ascii="Times New Roman" w:hAnsi="Times New Roman"/>
      <w:sz w:val="20"/>
      <w:szCs w:val="20"/>
      <w:lang w:eastAsia="sk-SK"/>
    </w:rPr>
  </w:style>
  <w:style w:type="paragraph" w:customStyle="1" w:styleId="xl241">
    <w:name w:val="xl241"/>
    <w:basedOn w:val="Normlny"/>
    <w:rsid w:val="0048319F"/>
    <w:pPr>
      <w:shd w:val="clear" w:color="000000" w:fill="DBE5F1"/>
      <w:spacing w:before="100" w:beforeAutospacing="1" w:after="100" w:afterAutospacing="1" w:line="240" w:lineRule="auto"/>
      <w:jc w:val="left"/>
    </w:pPr>
    <w:rPr>
      <w:rFonts w:ascii="Times New Roman" w:hAnsi="Times New Roman"/>
      <w:sz w:val="20"/>
      <w:szCs w:val="20"/>
      <w:lang w:eastAsia="sk-SK"/>
    </w:rPr>
  </w:style>
  <w:style w:type="paragraph" w:customStyle="1" w:styleId="xl242">
    <w:name w:val="xl242"/>
    <w:basedOn w:val="Normlny"/>
    <w:rsid w:val="0048319F"/>
    <w:pPr>
      <w:pBdr>
        <w:right w:val="single" w:sz="4" w:space="0" w:color="000000"/>
      </w:pBdr>
      <w:shd w:val="clear" w:color="000000" w:fill="DBE5F1"/>
      <w:spacing w:before="100" w:beforeAutospacing="1" w:after="100" w:afterAutospacing="1" w:line="240" w:lineRule="auto"/>
      <w:jc w:val="left"/>
    </w:pPr>
    <w:rPr>
      <w:rFonts w:ascii="Times New Roman" w:hAnsi="Times New Roman"/>
      <w:sz w:val="20"/>
      <w:szCs w:val="20"/>
      <w:lang w:eastAsia="sk-SK"/>
    </w:rPr>
  </w:style>
  <w:style w:type="paragraph" w:customStyle="1" w:styleId="xl243">
    <w:name w:val="xl243"/>
    <w:basedOn w:val="Normlny"/>
    <w:rsid w:val="0048319F"/>
    <w:pPr>
      <w:pBdr>
        <w:top w:val="single" w:sz="4" w:space="0" w:color="000000"/>
        <w:left w:val="single" w:sz="4" w:space="0" w:color="000000"/>
        <w:bottom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44">
    <w:name w:val="xl244"/>
    <w:basedOn w:val="Normlny"/>
    <w:rsid w:val="0048319F"/>
    <w:pPr>
      <w:pBdr>
        <w:top w:val="single" w:sz="4" w:space="0" w:color="000000"/>
        <w:bottom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45">
    <w:name w:val="xl245"/>
    <w:basedOn w:val="Normlny"/>
    <w:rsid w:val="0048319F"/>
    <w:pPr>
      <w:pBdr>
        <w:top w:val="single" w:sz="4" w:space="0" w:color="000000"/>
        <w:bottom w:val="single" w:sz="4" w:space="0" w:color="000000"/>
        <w:right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46">
    <w:name w:val="xl246"/>
    <w:basedOn w:val="Normlny"/>
    <w:rsid w:val="0048319F"/>
    <w:pPr>
      <w:pBdr>
        <w:top w:val="single" w:sz="4" w:space="0" w:color="000000"/>
        <w:left w:val="single" w:sz="4" w:space="0" w:color="000000"/>
        <w:right w:val="single" w:sz="4" w:space="0" w:color="000000"/>
      </w:pBdr>
      <w:shd w:val="clear" w:color="000000" w:fill="DBE5F1"/>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47">
    <w:name w:val="xl247"/>
    <w:basedOn w:val="Normlny"/>
    <w:rsid w:val="0048319F"/>
    <w:pPr>
      <w:pBdr>
        <w:left w:val="single" w:sz="4" w:space="0" w:color="000000"/>
        <w:right w:val="single" w:sz="4" w:space="0" w:color="000000"/>
      </w:pBdr>
      <w:shd w:val="clear" w:color="000000" w:fill="DBE5F1"/>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48">
    <w:name w:val="xl248"/>
    <w:basedOn w:val="Normlny"/>
    <w:rsid w:val="0048319F"/>
    <w:pPr>
      <w:pBdr>
        <w:left w:val="single" w:sz="4" w:space="0" w:color="000000"/>
        <w:bottom w:val="single" w:sz="4" w:space="0" w:color="000000"/>
        <w:right w:val="single" w:sz="4" w:space="0" w:color="000000"/>
      </w:pBdr>
      <w:shd w:val="clear" w:color="000000" w:fill="DBE5F1"/>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49">
    <w:name w:val="xl249"/>
    <w:basedOn w:val="Normlny"/>
    <w:rsid w:val="0048319F"/>
    <w:pPr>
      <w:pBdr>
        <w:top w:val="single" w:sz="4" w:space="0" w:color="000000"/>
        <w:left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0">
    <w:name w:val="xl250"/>
    <w:basedOn w:val="Normlny"/>
    <w:rsid w:val="0048319F"/>
    <w:pPr>
      <w:pBdr>
        <w:top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1">
    <w:name w:val="xl251"/>
    <w:basedOn w:val="Normlny"/>
    <w:rsid w:val="0048319F"/>
    <w:pPr>
      <w:pBdr>
        <w:top w:val="single" w:sz="4" w:space="0" w:color="000000"/>
        <w:right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2">
    <w:name w:val="xl252"/>
    <w:basedOn w:val="Normlny"/>
    <w:rsid w:val="0048319F"/>
    <w:pPr>
      <w:pBdr>
        <w:left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3">
    <w:name w:val="xl253"/>
    <w:basedOn w:val="Normlny"/>
    <w:rsid w:val="0048319F"/>
    <w:pP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4">
    <w:name w:val="xl254"/>
    <w:basedOn w:val="Normlny"/>
    <w:rsid w:val="0048319F"/>
    <w:pPr>
      <w:pBdr>
        <w:right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5">
    <w:name w:val="xl255"/>
    <w:basedOn w:val="Normlny"/>
    <w:rsid w:val="0048319F"/>
    <w:pPr>
      <w:pBdr>
        <w:left w:val="single" w:sz="4" w:space="0" w:color="000000"/>
        <w:bottom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6">
    <w:name w:val="xl256"/>
    <w:basedOn w:val="Normlny"/>
    <w:rsid w:val="0048319F"/>
    <w:pPr>
      <w:pBdr>
        <w:bottom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7">
    <w:name w:val="xl257"/>
    <w:basedOn w:val="Normlny"/>
    <w:rsid w:val="0048319F"/>
    <w:pPr>
      <w:pBdr>
        <w:bottom w:val="single" w:sz="4" w:space="0" w:color="000000"/>
        <w:right w:val="single" w:sz="4" w:space="0" w:color="000000"/>
      </w:pBdr>
      <w:shd w:val="clear" w:color="000000" w:fill="C5D9F1"/>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58">
    <w:name w:val="xl258"/>
    <w:basedOn w:val="Normlny"/>
    <w:rsid w:val="0048319F"/>
    <w:pPr>
      <w:pBdr>
        <w:top w:val="single" w:sz="4" w:space="0" w:color="000000"/>
        <w:left w:val="single" w:sz="4" w:space="0" w:color="000000"/>
      </w:pBdr>
      <w:shd w:val="clear" w:color="000000" w:fill="C5D9F1"/>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59">
    <w:name w:val="xl259"/>
    <w:basedOn w:val="Normlny"/>
    <w:rsid w:val="0048319F"/>
    <w:pPr>
      <w:pBdr>
        <w:top w:val="single" w:sz="4" w:space="0" w:color="000000"/>
      </w:pBdr>
      <w:shd w:val="clear" w:color="000000" w:fill="C5D9F1"/>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60">
    <w:name w:val="xl260"/>
    <w:basedOn w:val="Normlny"/>
    <w:rsid w:val="0048319F"/>
    <w:pPr>
      <w:pBdr>
        <w:top w:val="single" w:sz="4" w:space="0" w:color="000000"/>
        <w:right w:val="single" w:sz="4" w:space="0" w:color="000000"/>
      </w:pBdr>
      <w:shd w:val="clear" w:color="000000" w:fill="C5D9F1"/>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61">
    <w:name w:val="xl261"/>
    <w:basedOn w:val="Normlny"/>
    <w:rsid w:val="0048319F"/>
    <w:pPr>
      <w:pBdr>
        <w:left w:val="single" w:sz="4" w:space="0" w:color="000000"/>
      </w:pBdr>
      <w:shd w:val="clear" w:color="000000" w:fill="C5D9F1"/>
      <w:spacing w:before="100" w:beforeAutospacing="1" w:after="100" w:afterAutospacing="1" w:line="240" w:lineRule="auto"/>
      <w:jc w:val="left"/>
    </w:pPr>
    <w:rPr>
      <w:rFonts w:ascii="Times New Roman" w:hAnsi="Times New Roman"/>
      <w:sz w:val="20"/>
      <w:szCs w:val="20"/>
      <w:lang w:eastAsia="sk-SK"/>
    </w:rPr>
  </w:style>
  <w:style w:type="paragraph" w:customStyle="1" w:styleId="xl262">
    <w:name w:val="xl262"/>
    <w:basedOn w:val="Normlny"/>
    <w:rsid w:val="0048319F"/>
    <w:pPr>
      <w:shd w:val="clear" w:color="000000" w:fill="C5D9F1"/>
      <w:spacing w:before="100" w:beforeAutospacing="1" w:after="100" w:afterAutospacing="1" w:line="240" w:lineRule="auto"/>
      <w:jc w:val="left"/>
    </w:pPr>
    <w:rPr>
      <w:rFonts w:ascii="Times New Roman" w:hAnsi="Times New Roman"/>
      <w:sz w:val="20"/>
      <w:szCs w:val="20"/>
      <w:lang w:eastAsia="sk-SK"/>
    </w:rPr>
  </w:style>
  <w:style w:type="paragraph" w:customStyle="1" w:styleId="xl263">
    <w:name w:val="xl263"/>
    <w:basedOn w:val="Normlny"/>
    <w:rsid w:val="0048319F"/>
    <w:pPr>
      <w:pBdr>
        <w:right w:val="single" w:sz="4" w:space="0" w:color="000000"/>
      </w:pBdr>
      <w:shd w:val="clear" w:color="000000" w:fill="C5D9F1"/>
      <w:spacing w:before="100" w:beforeAutospacing="1" w:after="100" w:afterAutospacing="1" w:line="240" w:lineRule="auto"/>
      <w:jc w:val="left"/>
    </w:pPr>
    <w:rPr>
      <w:rFonts w:ascii="Times New Roman" w:hAnsi="Times New Roman"/>
      <w:sz w:val="20"/>
      <w:szCs w:val="20"/>
      <w:lang w:eastAsia="sk-SK"/>
    </w:rPr>
  </w:style>
  <w:style w:type="paragraph" w:customStyle="1" w:styleId="xl264">
    <w:name w:val="xl264"/>
    <w:basedOn w:val="Normlny"/>
    <w:rsid w:val="0048319F"/>
    <w:pPr>
      <w:pBdr>
        <w:top w:val="single" w:sz="4" w:space="0" w:color="000000"/>
        <w:left w:val="single" w:sz="4" w:space="0" w:color="000000"/>
        <w:bottom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65">
    <w:name w:val="xl265"/>
    <w:basedOn w:val="Normlny"/>
    <w:rsid w:val="0048319F"/>
    <w:pPr>
      <w:pBdr>
        <w:top w:val="single" w:sz="4" w:space="0" w:color="000000"/>
        <w:bottom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66">
    <w:name w:val="xl266"/>
    <w:basedOn w:val="Normlny"/>
    <w:rsid w:val="0048319F"/>
    <w:pPr>
      <w:pBdr>
        <w:top w:val="single" w:sz="4" w:space="0" w:color="000000"/>
        <w:bottom w:val="single" w:sz="4" w:space="0" w:color="000000"/>
        <w:right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67">
    <w:name w:val="xl267"/>
    <w:basedOn w:val="Normlny"/>
    <w:rsid w:val="0048319F"/>
    <w:pPr>
      <w:pBdr>
        <w:top w:val="single" w:sz="4" w:space="0" w:color="000000"/>
        <w:left w:val="single" w:sz="4" w:space="0" w:color="000000"/>
        <w:right w:val="single" w:sz="4" w:space="0" w:color="000000"/>
      </w:pBdr>
      <w:shd w:val="clear" w:color="000000" w:fill="C5D9F1"/>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68">
    <w:name w:val="xl268"/>
    <w:basedOn w:val="Normlny"/>
    <w:rsid w:val="0048319F"/>
    <w:pPr>
      <w:pBdr>
        <w:left w:val="single" w:sz="4" w:space="0" w:color="000000"/>
        <w:right w:val="single" w:sz="4" w:space="0" w:color="000000"/>
      </w:pBdr>
      <w:shd w:val="clear" w:color="000000" w:fill="C5D9F1"/>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69">
    <w:name w:val="xl269"/>
    <w:basedOn w:val="Normlny"/>
    <w:rsid w:val="0048319F"/>
    <w:pPr>
      <w:pBdr>
        <w:left w:val="single" w:sz="4" w:space="0" w:color="000000"/>
        <w:bottom w:val="single" w:sz="4" w:space="0" w:color="000000"/>
        <w:right w:val="single" w:sz="4" w:space="0" w:color="000000"/>
      </w:pBdr>
      <w:shd w:val="clear" w:color="000000" w:fill="C5D9F1"/>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70">
    <w:name w:val="xl270"/>
    <w:basedOn w:val="Normlny"/>
    <w:rsid w:val="0048319F"/>
    <w:pPr>
      <w:pBdr>
        <w:top w:val="single" w:sz="4" w:space="0" w:color="000000"/>
        <w:left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1">
    <w:name w:val="xl271"/>
    <w:basedOn w:val="Normlny"/>
    <w:rsid w:val="0048319F"/>
    <w:pPr>
      <w:pBdr>
        <w:top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2">
    <w:name w:val="xl272"/>
    <w:basedOn w:val="Normlny"/>
    <w:rsid w:val="0048319F"/>
    <w:pPr>
      <w:pBdr>
        <w:top w:val="single" w:sz="4" w:space="0" w:color="000000"/>
        <w:right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3">
    <w:name w:val="xl273"/>
    <w:basedOn w:val="Normlny"/>
    <w:rsid w:val="0048319F"/>
    <w:pPr>
      <w:pBdr>
        <w:left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4">
    <w:name w:val="xl274"/>
    <w:basedOn w:val="Normlny"/>
    <w:rsid w:val="0048319F"/>
    <w:pP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5">
    <w:name w:val="xl275"/>
    <w:basedOn w:val="Normlny"/>
    <w:rsid w:val="0048319F"/>
    <w:pPr>
      <w:pBdr>
        <w:right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6">
    <w:name w:val="xl276"/>
    <w:basedOn w:val="Normlny"/>
    <w:rsid w:val="0048319F"/>
    <w:pPr>
      <w:pBdr>
        <w:left w:val="single" w:sz="4" w:space="0" w:color="000000"/>
        <w:bottom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7">
    <w:name w:val="xl277"/>
    <w:basedOn w:val="Normlny"/>
    <w:rsid w:val="0048319F"/>
    <w:pPr>
      <w:pBdr>
        <w:bottom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8">
    <w:name w:val="xl278"/>
    <w:basedOn w:val="Normlny"/>
    <w:rsid w:val="0048319F"/>
    <w:pPr>
      <w:pBdr>
        <w:bottom w:val="single" w:sz="4" w:space="0" w:color="000000"/>
        <w:right w:val="single" w:sz="4" w:space="0" w:color="000000"/>
      </w:pBdr>
      <w:shd w:val="clear" w:color="000000" w:fill="DDD9C3"/>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79">
    <w:name w:val="xl279"/>
    <w:basedOn w:val="Normlny"/>
    <w:rsid w:val="0048319F"/>
    <w:pPr>
      <w:pBdr>
        <w:top w:val="single" w:sz="4" w:space="0" w:color="000000"/>
        <w:left w:val="single" w:sz="4" w:space="0" w:color="000000"/>
      </w:pBdr>
      <w:shd w:val="clear" w:color="000000" w:fill="DDD9C3"/>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80">
    <w:name w:val="xl280"/>
    <w:basedOn w:val="Normlny"/>
    <w:rsid w:val="0048319F"/>
    <w:pPr>
      <w:pBdr>
        <w:top w:val="single" w:sz="4" w:space="0" w:color="000000"/>
      </w:pBdr>
      <w:shd w:val="clear" w:color="000000" w:fill="DDD9C3"/>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81">
    <w:name w:val="xl281"/>
    <w:basedOn w:val="Normlny"/>
    <w:rsid w:val="0048319F"/>
    <w:pPr>
      <w:pBdr>
        <w:top w:val="single" w:sz="4" w:space="0" w:color="000000"/>
        <w:right w:val="single" w:sz="4" w:space="0" w:color="000000"/>
      </w:pBdr>
      <w:shd w:val="clear" w:color="000000" w:fill="DDD9C3"/>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282">
    <w:name w:val="xl282"/>
    <w:basedOn w:val="Normlny"/>
    <w:rsid w:val="0048319F"/>
    <w:pPr>
      <w:pBdr>
        <w:left w:val="single" w:sz="4" w:space="0" w:color="000000"/>
      </w:pBdr>
      <w:shd w:val="clear" w:color="000000" w:fill="DDD9C3"/>
      <w:spacing w:before="100" w:beforeAutospacing="1" w:after="100" w:afterAutospacing="1" w:line="240" w:lineRule="auto"/>
      <w:jc w:val="left"/>
    </w:pPr>
    <w:rPr>
      <w:rFonts w:ascii="Times New Roman" w:hAnsi="Times New Roman"/>
      <w:sz w:val="20"/>
      <w:szCs w:val="20"/>
      <w:lang w:eastAsia="sk-SK"/>
    </w:rPr>
  </w:style>
  <w:style w:type="paragraph" w:customStyle="1" w:styleId="xl283">
    <w:name w:val="xl283"/>
    <w:basedOn w:val="Normlny"/>
    <w:rsid w:val="0048319F"/>
    <w:pPr>
      <w:shd w:val="clear" w:color="000000" w:fill="DDD9C3"/>
      <w:spacing w:before="100" w:beforeAutospacing="1" w:after="100" w:afterAutospacing="1" w:line="240" w:lineRule="auto"/>
      <w:jc w:val="left"/>
    </w:pPr>
    <w:rPr>
      <w:rFonts w:ascii="Times New Roman" w:hAnsi="Times New Roman"/>
      <w:sz w:val="20"/>
      <w:szCs w:val="20"/>
      <w:lang w:eastAsia="sk-SK"/>
    </w:rPr>
  </w:style>
  <w:style w:type="paragraph" w:customStyle="1" w:styleId="xl284">
    <w:name w:val="xl284"/>
    <w:basedOn w:val="Normlny"/>
    <w:rsid w:val="0048319F"/>
    <w:pPr>
      <w:pBdr>
        <w:right w:val="single" w:sz="4" w:space="0" w:color="000000"/>
      </w:pBdr>
      <w:shd w:val="clear" w:color="000000" w:fill="DDD9C3"/>
      <w:spacing w:before="100" w:beforeAutospacing="1" w:after="100" w:afterAutospacing="1" w:line="240" w:lineRule="auto"/>
      <w:jc w:val="left"/>
    </w:pPr>
    <w:rPr>
      <w:rFonts w:ascii="Times New Roman" w:hAnsi="Times New Roman"/>
      <w:sz w:val="20"/>
      <w:szCs w:val="20"/>
      <w:lang w:eastAsia="sk-SK"/>
    </w:rPr>
  </w:style>
  <w:style w:type="paragraph" w:customStyle="1" w:styleId="xl285">
    <w:name w:val="xl285"/>
    <w:basedOn w:val="Normlny"/>
    <w:rsid w:val="0048319F"/>
    <w:pPr>
      <w:pBdr>
        <w:top w:val="single" w:sz="4" w:space="0" w:color="000000"/>
        <w:left w:val="single" w:sz="4" w:space="0" w:color="000000"/>
        <w:bottom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86">
    <w:name w:val="xl286"/>
    <w:basedOn w:val="Normlny"/>
    <w:rsid w:val="0048319F"/>
    <w:pPr>
      <w:pBdr>
        <w:top w:val="single" w:sz="4" w:space="0" w:color="000000"/>
        <w:bottom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87">
    <w:name w:val="xl287"/>
    <w:basedOn w:val="Normlny"/>
    <w:rsid w:val="0048319F"/>
    <w:pPr>
      <w:pBdr>
        <w:top w:val="single" w:sz="4" w:space="0" w:color="000000"/>
        <w:bottom w:val="single" w:sz="4" w:space="0" w:color="000000"/>
        <w:right w:val="single" w:sz="4" w:space="0" w:color="000000"/>
      </w:pBdr>
      <w:shd w:val="clear" w:color="000000" w:fill="E5E0EC"/>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88">
    <w:name w:val="xl288"/>
    <w:basedOn w:val="Normlny"/>
    <w:rsid w:val="0048319F"/>
    <w:pPr>
      <w:pBdr>
        <w:top w:val="single" w:sz="4" w:space="0" w:color="000000"/>
        <w:left w:val="single" w:sz="4" w:space="0" w:color="000000"/>
        <w:right w:val="single" w:sz="4" w:space="0" w:color="000000"/>
      </w:pBdr>
      <w:shd w:val="clear" w:color="000000" w:fill="DDD9C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89">
    <w:name w:val="xl289"/>
    <w:basedOn w:val="Normlny"/>
    <w:rsid w:val="0048319F"/>
    <w:pPr>
      <w:pBdr>
        <w:left w:val="single" w:sz="4" w:space="0" w:color="000000"/>
        <w:right w:val="single" w:sz="4" w:space="0" w:color="000000"/>
      </w:pBdr>
      <w:shd w:val="clear" w:color="000000" w:fill="DDD9C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90">
    <w:name w:val="xl290"/>
    <w:basedOn w:val="Normlny"/>
    <w:rsid w:val="0048319F"/>
    <w:pPr>
      <w:pBdr>
        <w:left w:val="single" w:sz="4" w:space="0" w:color="000000"/>
        <w:bottom w:val="single" w:sz="4" w:space="0" w:color="000000"/>
        <w:right w:val="single" w:sz="4" w:space="0" w:color="000000"/>
      </w:pBdr>
      <w:shd w:val="clear" w:color="000000" w:fill="DDD9C3"/>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91">
    <w:name w:val="xl291"/>
    <w:basedOn w:val="Normlny"/>
    <w:rsid w:val="0048319F"/>
    <w:pPr>
      <w:pBdr>
        <w:left w:val="single" w:sz="4" w:space="0" w:color="000000"/>
      </w:pBdr>
      <w:shd w:val="clear" w:color="000000" w:fill="E5E0EC"/>
      <w:spacing w:before="100" w:beforeAutospacing="1" w:after="100" w:afterAutospacing="1" w:line="240" w:lineRule="auto"/>
      <w:jc w:val="left"/>
    </w:pPr>
    <w:rPr>
      <w:rFonts w:ascii="Times New Roman" w:hAnsi="Times New Roman"/>
      <w:sz w:val="20"/>
      <w:szCs w:val="20"/>
      <w:lang w:eastAsia="sk-SK"/>
    </w:rPr>
  </w:style>
  <w:style w:type="paragraph" w:customStyle="1" w:styleId="xl292">
    <w:name w:val="xl292"/>
    <w:basedOn w:val="Normlny"/>
    <w:rsid w:val="0048319F"/>
    <w:pPr>
      <w:shd w:val="clear" w:color="000000" w:fill="E5E0EC"/>
      <w:spacing w:before="100" w:beforeAutospacing="1" w:after="100" w:afterAutospacing="1" w:line="240" w:lineRule="auto"/>
      <w:jc w:val="left"/>
    </w:pPr>
    <w:rPr>
      <w:rFonts w:ascii="Times New Roman" w:hAnsi="Times New Roman"/>
      <w:sz w:val="20"/>
      <w:szCs w:val="20"/>
      <w:lang w:eastAsia="sk-SK"/>
    </w:rPr>
  </w:style>
  <w:style w:type="paragraph" w:customStyle="1" w:styleId="xl293">
    <w:name w:val="xl293"/>
    <w:basedOn w:val="Normlny"/>
    <w:rsid w:val="0048319F"/>
    <w:pPr>
      <w:pBdr>
        <w:right w:val="single" w:sz="4" w:space="0" w:color="000000"/>
      </w:pBdr>
      <w:shd w:val="clear" w:color="000000" w:fill="E5E0EC"/>
      <w:spacing w:before="100" w:beforeAutospacing="1" w:after="100" w:afterAutospacing="1" w:line="240" w:lineRule="auto"/>
      <w:jc w:val="left"/>
    </w:pPr>
    <w:rPr>
      <w:rFonts w:ascii="Times New Roman" w:hAnsi="Times New Roman"/>
      <w:sz w:val="20"/>
      <w:szCs w:val="20"/>
      <w:lang w:eastAsia="sk-SK"/>
    </w:rPr>
  </w:style>
  <w:style w:type="paragraph" w:customStyle="1" w:styleId="xl294">
    <w:name w:val="xl294"/>
    <w:basedOn w:val="Normlny"/>
    <w:rsid w:val="0048319F"/>
    <w:pPr>
      <w:pBdr>
        <w:top w:val="single" w:sz="4" w:space="0" w:color="000000"/>
        <w:left w:val="single" w:sz="4" w:space="0" w:color="000000"/>
        <w:right w:val="single" w:sz="4" w:space="0" w:color="000000"/>
      </w:pBdr>
      <w:shd w:val="clear" w:color="000000" w:fill="E5E0EC"/>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95">
    <w:name w:val="xl295"/>
    <w:basedOn w:val="Normlny"/>
    <w:rsid w:val="0048319F"/>
    <w:pPr>
      <w:pBdr>
        <w:left w:val="single" w:sz="4" w:space="0" w:color="000000"/>
        <w:right w:val="single" w:sz="4" w:space="0" w:color="000000"/>
      </w:pBdr>
      <w:shd w:val="clear" w:color="000000" w:fill="E5E0EC"/>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96">
    <w:name w:val="xl296"/>
    <w:basedOn w:val="Normlny"/>
    <w:rsid w:val="0048319F"/>
    <w:pPr>
      <w:pBdr>
        <w:left w:val="single" w:sz="4" w:space="0" w:color="000000"/>
        <w:bottom w:val="single" w:sz="4" w:space="0" w:color="000000"/>
        <w:right w:val="single" w:sz="4" w:space="0" w:color="000000"/>
      </w:pBdr>
      <w:shd w:val="clear" w:color="000000" w:fill="E5E0EC"/>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297">
    <w:name w:val="xl297"/>
    <w:basedOn w:val="Normlny"/>
    <w:rsid w:val="0048319F"/>
    <w:pPr>
      <w:pBdr>
        <w:top w:val="single" w:sz="4" w:space="0" w:color="000000"/>
        <w:left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98">
    <w:name w:val="xl298"/>
    <w:basedOn w:val="Normlny"/>
    <w:rsid w:val="0048319F"/>
    <w:pPr>
      <w:pBdr>
        <w:top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299">
    <w:name w:val="xl299"/>
    <w:basedOn w:val="Normlny"/>
    <w:rsid w:val="0048319F"/>
    <w:pPr>
      <w:pBdr>
        <w:top w:val="single" w:sz="4" w:space="0" w:color="000000"/>
        <w:right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0">
    <w:name w:val="xl300"/>
    <w:basedOn w:val="Normlny"/>
    <w:rsid w:val="0048319F"/>
    <w:pPr>
      <w:pBdr>
        <w:left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1">
    <w:name w:val="xl301"/>
    <w:basedOn w:val="Normlny"/>
    <w:rsid w:val="0048319F"/>
    <w:pP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2">
    <w:name w:val="xl302"/>
    <w:basedOn w:val="Normlny"/>
    <w:rsid w:val="0048319F"/>
    <w:pPr>
      <w:pBdr>
        <w:right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3">
    <w:name w:val="xl303"/>
    <w:basedOn w:val="Normlny"/>
    <w:rsid w:val="0048319F"/>
    <w:pPr>
      <w:pBdr>
        <w:left w:val="single" w:sz="4" w:space="0" w:color="000000"/>
        <w:bottom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4">
    <w:name w:val="xl304"/>
    <w:basedOn w:val="Normlny"/>
    <w:rsid w:val="0048319F"/>
    <w:pPr>
      <w:pBdr>
        <w:bottom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5">
    <w:name w:val="xl305"/>
    <w:basedOn w:val="Normlny"/>
    <w:rsid w:val="0048319F"/>
    <w:pPr>
      <w:pBdr>
        <w:bottom w:val="single" w:sz="4" w:space="0" w:color="000000"/>
        <w:right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06">
    <w:name w:val="xl306"/>
    <w:basedOn w:val="Normlny"/>
    <w:rsid w:val="0048319F"/>
    <w:pPr>
      <w:pBdr>
        <w:top w:val="single" w:sz="4" w:space="0" w:color="000000"/>
        <w:left w:val="single" w:sz="4" w:space="0" w:color="000000"/>
      </w:pBdr>
      <w:shd w:val="clear" w:color="000000" w:fill="EAF1DD"/>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307">
    <w:name w:val="xl307"/>
    <w:basedOn w:val="Normlny"/>
    <w:rsid w:val="0048319F"/>
    <w:pPr>
      <w:pBdr>
        <w:top w:val="single" w:sz="4" w:space="0" w:color="000000"/>
      </w:pBdr>
      <w:shd w:val="clear" w:color="000000" w:fill="EAF1DD"/>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308">
    <w:name w:val="xl308"/>
    <w:basedOn w:val="Normlny"/>
    <w:rsid w:val="0048319F"/>
    <w:pPr>
      <w:pBdr>
        <w:top w:val="single" w:sz="4" w:space="0" w:color="000000"/>
        <w:right w:val="single" w:sz="4" w:space="0" w:color="000000"/>
      </w:pBdr>
      <w:shd w:val="clear" w:color="000000" w:fill="EAF1DD"/>
      <w:spacing w:before="100" w:beforeAutospacing="1" w:after="100" w:afterAutospacing="1" w:line="240" w:lineRule="auto"/>
      <w:jc w:val="center"/>
    </w:pPr>
    <w:rPr>
      <w:rFonts w:ascii="Times New Roman" w:hAnsi="Times New Roman"/>
      <w:b/>
      <w:bCs/>
      <w:i/>
      <w:iCs/>
      <w:color w:val="333333"/>
      <w:sz w:val="20"/>
      <w:szCs w:val="20"/>
      <w:lang w:eastAsia="sk-SK"/>
    </w:rPr>
  </w:style>
  <w:style w:type="paragraph" w:customStyle="1" w:styleId="xl309">
    <w:name w:val="xl309"/>
    <w:basedOn w:val="Normlny"/>
    <w:rsid w:val="0048319F"/>
    <w:pPr>
      <w:pBdr>
        <w:left w:val="single" w:sz="4" w:space="0" w:color="000000"/>
      </w:pBdr>
      <w:shd w:val="clear" w:color="000000" w:fill="EAF1DD"/>
      <w:spacing w:before="100" w:beforeAutospacing="1" w:after="100" w:afterAutospacing="1" w:line="240" w:lineRule="auto"/>
      <w:jc w:val="left"/>
    </w:pPr>
    <w:rPr>
      <w:rFonts w:ascii="Times New Roman" w:hAnsi="Times New Roman"/>
      <w:sz w:val="20"/>
      <w:szCs w:val="20"/>
      <w:lang w:eastAsia="sk-SK"/>
    </w:rPr>
  </w:style>
  <w:style w:type="paragraph" w:customStyle="1" w:styleId="xl310">
    <w:name w:val="xl310"/>
    <w:basedOn w:val="Normlny"/>
    <w:rsid w:val="0048319F"/>
    <w:pPr>
      <w:shd w:val="clear" w:color="000000" w:fill="EAF1DD"/>
      <w:spacing w:before="100" w:beforeAutospacing="1" w:after="100" w:afterAutospacing="1" w:line="240" w:lineRule="auto"/>
      <w:jc w:val="left"/>
    </w:pPr>
    <w:rPr>
      <w:rFonts w:ascii="Times New Roman" w:hAnsi="Times New Roman"/>
      <w:sz w:val="20"/>
      <w:szCs w:val="20"/>
      <w:lang w:eastAsia="sk-SK"/>
    </w:rPr>
  </w:style>
  <w:style w:type="paragraph" w:customStyle="1" w:styleId="xl311">
    <w:name w:val="xl311"/>
    <w:basedOn w:val="Normlny"/>
    <w:rsid w:val="0048319F"/>
    <w:pPr>
      <w:pBdr>
        <w:right w:val="single" w:sz="4" w:space="0" w:color="000000"/>
      </w:pBdr>
      <w:shd w:val="clear" w:color="000000" w:fill="EAF1DD"/>
      <w:spacing w:before="100" w:beforeAutospacing="1" w:after="100" w:afterAutospacing="1" w:line="240" w:lineRule="auto"/>
      <w:jc w:val="left"/>
    </w:pPr>
    <w:rPr>
      <w:rFonts w:ascii="Times New Roman" w:hAnsi="Times New Roman"/>
      <w:sz w:val="20"/>
      <w:szCs w:val="20"/>
      <w:lang w:eastAsia="sk-SK"/>
    </w:rPr>
  </w:style>
  <w:style w:type="paragraph" w:customStyle="1" w:styleId="xl312">
    <w:name w:val="xl312"/>
    <w:basedOn w:val="Normlny"/>
    <w:rsid w:val="0048319F"/>
    <w:pPr>
      <w:pBdr>
        <w:top w:val="single" w:sz="4" w:space="0" w:color="000000"/>
        <w:left w:val="single" w:sz="4" w:space="0" w:color="000000"/>
        <w:bottom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13">
    <w:name w:val="xl313"/>
    <w:basedOn w:val="Normlny"/>
    <w:rsid w:val="0048319F"/>
    <w:pPr>
      <w:pBdr>
        <w:top w:val="single" w:sz="4" w:space="0" w:color="000000"/>
        <w:bottom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14">
    <w:name w:val="xl314"/>
    <w:basedOn w:val="Normlny"/>
    <w:rsid w:val="0048319F"/>
    <w:pPr>
      <w:pBdr>
        <w:top w:val="single" w:sz="4" w:space="0" w:color="000000"/>
        <w:bottom w:val="single" w:sz="4" w:space="0" w:color="000000"/>
        <w:right w:val="single" w:sz="4" w:space="0" w:color="000000"/>
      </w:pBdr>
      <w:shd w:val="clear" w:color="000000" w:fill="EAF1DD"/>
      <w:spacing w:before="100" w:beforeAutospacing="1" w:after="100" w:afterAutospacing="1" w:line="240" w:lineRule="auto"/>
      <w:jc w:val="center"/>
    </w:pPr>
    <w:rPr>
      <w:rFonts w:ascii="Times New Roman" w:hAnsi="Times New Roman"/>
      <w:color w:val="333333"/>
      <w:sz w:val="20"/>
      <w:szCs w:val="20"/>
      <w:lang w:eastAsia="sk-SK"/>
    </w:rPr>
  </w:style>
  <w:style w:type="paragraph" w:customStyle="1" w:styleId="xl315">
    <w:name w:val="xl315"/>
    <w:basedOn w:val="Normlny"/>
    <w:rsid w:val="0048319F"/>
    <w:pPr>
      <w:pBdr>
        <w:top w:val="single" w:sz="4" w:space="0" w:color="000000"/>
        <w:left w:val="single" w:sz="4" w:space="0" w:color="000000"/>
        <w:right w:val="single" w:sz="4" w:space="0" w:color="000000"/>
      </w:pBdr>
      <w:shd w:val="clear" w:color="000000" w:fill="EAF1DD"/>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316">
    <w:name w:val="xl316"/>
    <w:basedOn w:val="Normlny"/>
    <w:rsid w:val="0048319F"/>
    <w:pPr>
      <w:pBdr>
        <w:left w:val="single" w:sz="4" w:space="0" w:color="000000"/>
        <w:right w:val="single" w:sz="4" w:space="0" w:color="000000"/>
      </w:pBdr>
      <w:shd w:val="clear" w:color="000000" w:fill="EAF1DD"/>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xl317">
    <w:name w:val="xl317"/>
    <w:basedOn w:val="Normlny"/>
    <w:rsid w:val="0048319F"/>
    <w:pPr>
      <w:pBdr>
        <w:left w:val="single" w:sz="4" w:space="0" w:color="000000"/>
        <w:bottom w:val="single" w:sz="4" w:space="0" w:color="000000"/>
        <w:right w:val="single" w:sz="4" w:space="0" w:color="000000"/>
      </w:pBdr>
      <w:shd w:val="clear" w:color="000000" w:fill="EAF1DD"/>
      <w:spacing w:before="100" w:beforeAutospacing="1" w:after="100" w:afterAutospacing="1" w:line="240" w:lineRule="auto"/>
      <w:jc w:val="right"/>
    </w:pPr>
    <w:rPr>
      <w:rFonts w:ascii="Times New Roman" w:hAnsi="Times New Roman"/>
      <w:color w:val="333333"/>
      <w:sz w:val="20"/>
      <w:szCs w:val="20"/>
      <w:lang w:eastAsia="sk-SK"/>
    </w:rPr>
  </w:style>
  <w:style w:type="paragraph" w:customStyle="1" w:styleId="obrnazov">
    <w:name w:val="obr nazov"/>
    <w:basedOn w:val="Normlny"/>
    <w:link w:val="obrnazovChar"/>
    <w:qFormat/>
    <w:rsid w:val="00991EA3"/>
    <w:pPr>
      <w:spacing w:before="40" w:line="240" w:lineRule="auto"/>
      <w:jc w:val="center"/>
    </w:pPr>
    <w:rPr>
      <w:sz w:val="20"/>
    </w:rPr>
  </w:style>
  <w:style w:type="character" w:customStyle="1" w:styleId="obrnazovChar">
    <w:name w:val="obr nazov Char"/>
    <w:basedOn w:val="Predvolenpsmoodseku"/>
    <w:link w:val="obrnazov"/>
    <w:rsid w:val="00991EA3"/>
    <w:rPr>
      <w:rFonts w:ascii="Calibri" w:hAnsi="Calibri"/>
      <w:szCs w:val="22"/>
      <w:lang w:eastAsia="en-US"/>
    </w:rPr>
  </w:style>
  <w:style w:type="paragraph" w:styleId="Revzia">
    <w:name w:val="Revision"/>
    <w:hidden/>
    <w:uiPriority w:val="99"/>
    <w:semiHidden/>
    <w:rsid w:val="00966EBA"/>
    <w:rPr>
      <w:rFonts w:ascii="Calibri" w:hAnsi="Calibri"/>
      <w:sz w:val="22"/>
      <w:szCs w:val="22"/>
      <w:lang w:eastAsia="en-US"/>
    </w:rPr>
  </w:style>
  <w:style w:type="character" w:customStyle="1" w:styleId="source">
    <w:name w:val="source"/>
    <w:basedOn w:val="Predvolenpsmoodseku"/>
    <w:rsid w:val="00B16D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320609">
      <w:bodyDiv w:val="1"/>
      <w:marLeft w:val="0"/>
      <w:marRight w:val="0"/>
      <w:marTop w:val="0"/>
      <w:marBottom w:val="0"/>
      <w:divBdr>
        <w:top w:val="none" w:sz="0" w:space="0" w:color="auto"/>
        <w:left w:val="none" w:sz="0" w:space="0" w:color="auto"/>
        <w:bottom w:val="none" w:sz="0" w:space="0" w:color="auto"/>
        <w:right w:val="none" w:sz="0" w:space="0" w:color="auto"/>
      </w:divBdr>
    </w:div>
    <w:div w:id="92942794">
      <w:bodyDiv w:val="1"/>
      <w:marLeft w:val="0"/>
      <w:marRight w:val="0"/>
      <w:marTop w:val="0"/>
      <w:marBottom w:val="0"/>
      <w:divBdr>
        <w:top w:val="none" w:sz="0" w:space="0" w:color="auto"/>
        <w:left w:val="none" w:sz="0" w:space="0" w:color="auto"/>
        <w:bottom w:val="none" w:sz="0" w:space="0" w:color="auto"/>
        <w:right w:val="none" w:sz="0" w:space="0" w:color="auto"/>
      </w:divBdr>
    </w:div>
    <w:div w:id="107698460">
      <w:bodyDiv w:val="1"/>
      <w:marLeft w:val="0"/>
      <w:marRight w:val="0"/>
      <w:marTop w:val="0"/>
      <w:marBottom w:val="0"/>
      <w:divBdr>
        <w:top w:val="none" w:sz="0" w:space="0" w:color="auto"/>
        <w:left w:val="none" w:sz="0" w:space="0" w:color="auto"/>
        <w:bottom w:val="none" w:sz="0" w:space="0" w:color="auto"/>
        <w:right w:val="none" w:sz="0" w:space="0" w:color="auto"/>
      </w:divBdr>
    </w:div>
    <w:div w:id="107703261">
      <w:bodyDiv w:val="1"/>
      <w:marLeft w:val="0"/>
      <w:marRight w:val="0"/>
      <w:marTop w:val="0"/>
      <w:marBottom w:val="0"/>
      <w:divBdr>
        <w:top w:val="none" w:sz="0" w:space="0" w:color="auto"/>
        <w:left w:val="none" w:sz="0" w:space="0" w:color="auto"/>
        <w:bottom w:val="none" w:sz="0" w:space="0" w:color="auto"/>
        <w:right w:val="none" w:sz="0" w:space="0" w:color="auto"/>
      </w:divBdr>
    </w:div>
    <w:div w:id="177350995">
      <w:bodyDiv w:val="1"/>
      <w:marLeft w:val="0"/>
      <w:marRight w:val="0"/>
      <w:marTop w:val="0"/>
      <w:marBottom w:val="0"/>
      <w:divBdr>
        <w:top w:val="none" w:sz="0" w:space="0" w:color="auto"/>
        <w:left w:val="none" w:sz="0" w:space="0" w:color="auto"/>
        <w:bottom w:val="none" w:sz="0" w:space="0" w:color="auto"/>
        <w:right w:val="none" w:sz="0" w:space="0" w:color="auto"/>
      </w:divBdr>
    </w:div>
    <w:div w:id="237440712">
      <w:bodyDiv w:val="1"/>
      <w:marLeft w:val="0"/>
      <w:marRight w:val="0"/>
      <w:marTop w:val="0"/>
      <w:marBottom w:val="0"/>
      <w:divBdr>
        <w:top w:val="none" w:sz="0" w:space="0" w:color="auto"/>
        <w:left w:val="none" w:sz="0" w:space="0" w:color="auto"/>
        <w:bottom w:val="none" w:sz="0" w:space="0" w:color="auto"/>
        <w:right w:val="none" w:sz="0" w:space="0" w:color="auto"/>
      </w:divBdr>
    </w:div>
    <w:div w:id="250085749">
      <w:bodyDiv w:val="1"/>
      <w:marLeft w:val="0"/>
      <w:marRight w:val="0"/>
      <w:marTop w:val="0"/>
      <w:marBottom w:val="0"/>
      <w:divBdr>
        <w:top w:val="none" w:sz="0" w:space="0" w:color="auto"/>
        <w:left w:val="none" w:sz="0" w:space="0" w:color="auto"/>
        <w:bottom w:val="none" w:sz="0" w:space="0" w:color="auto"/>
        <w:right w:val="none" w:sz="0" w:space="0" w:color="auto"/>
      </w:divBdr>
    </w:div>
    <w:div w:id="315107090">
      <w:bodyDiv w:val="1"/>
      <w:marLeft w:val="0"/>
      <w:marRight w:val="0"/>
      <w:marTop w:val="0"/>
      <w:marBottom w:val="0"/>
      <w:divBdr>
        <w:top w:val="none" w:sz="0" w:space="0" w:color="auto"/>
        <w:left w:val="none" w:sz="0" w:space="0" w:color="auto"/>
        <w:bottom w:val="none" w:sz="0" w:space="0" w:color="auto"/>
        <w:right w:val="none" w:sz="0" w:space="0" w:color="auto"/>
      </w:divBdr>
    </w:div>
    <w:div w:id="368116831">
      <w:bodyDiv w:val="1"/>
      <w:marLeft w:val="0"/>
      <w:marRight w:val="0"/>
      <w:marTop w:val="0"/>
      <w:marBottom w:val="0"/>
      <w:divBdr>
        <w:top w:val="none" w:sz="0" w:space="0" w:color="auto"/>
        <w:left w:val="none" w:sz="0" w:space="0" w:color="auto"/>
        <w:bottom w:val="none" w:sz="0" w:space="0" w:color="auto"/>
        <w:right w:val="none" w:sz="0" w:space="0" w:color="auto"/>
      </w:divBdr>
    </w:div>
    <w:div w:id="380636234">
      <w:bodyDiv w:val="1"/>
      <w:marLeft w:val="0"/>
      <w:marRight w:val="0"/>
      <w:marTop w:val="0"/>
      <w:marBottom w:val="0"/>
      <w:divBdr>
        <w:top w:val="none" w:sz="0" w:space="0" w:color="auto"/>
        <w:left w:val="none" w:sz="0" w:space="0" w:color="auto"/>
        <w:bottom w:val="none" w:sz="0" w:space="0" w:color="auto"/>
        <w:right w:val="none" w:sz="0" w:space="0" w:color="auto"/>
      </w:divBdr>
    </w:div>
    <w:div w:id="380641966">
      <w:bodyDiv w:val="1"/>
      <w:marLeft w:val="0"/>
      <w:marRight w:val="0"/>
      <w:marTop w:val="0"/>
      <w:marBottom w:val="0"/>
      <w:divBdr>
        <w:top w:val="none" w:sz="0" w:space="0" w:color="auto"/>
        <w:left w:val="none" w:sz="0" w:space="0" w:color="auto"/>
        <w:bottom w:val="none" w:sz="0" w:space="0" w:color="auto"/>
        <w:right w:val="none" w:sz="0" w:space="0" w:color="auto"/>
      </w:divBdr>
    </w:div>
    <w:div w:id="430007465">
      <w:bodyDiv w:val="1"/>
      <w:marLeft w:val="0"/>
      <w:marRight w:val="0"/>
      <w:marTop w:val="0"/>
      <w:marBottom w:val="0"/>
      <w:divBdr>
        <w:top w:val="none" w:sz="0" w:space="0" w:color="auto"/>
        <w:left w:val="none" w:sz="0" w:space="0" w:color="auto"/>
        <w:bottom w:val="none" w:sz="0" w:space="0" w:color="auto"/>
        <w:right w:val="none" w:sz="0" w:space="0" w:color="auto"/>
      </w:divBdr>
      <w:divsChild>
        <w:div w:id="1884321320">
          <w:marLeft w:val="0"/>
          <w:marRight w:val="0"/>
          <w:marTop w:val="0"/>
          <w:marBottom w:val="0"/>
          <w:divBdr>
            <w:top w:val="none" w:sz="0" w:space="0" w:color="auto"/>
            <w:left w:val="none" w:sz="0" w:space="0" w:color="auto"/>
            <w:bottom w:val="none" w:sz="0" w:space="0" w:color="auto"/>
            <w:right w:val="none" w:sz="0" w:space="0" w:color="auto"/>
          </w:divBdr>
        </w:div>
      </w:divsChild>
    </w:div>
    <w:div w:id="444161024">
      <w:bodyDiv w:val="1"/>
      <w:marLeft w:val="0"/>
      <w:marRight w:val="0"/>
      <w:marTop w:val="0"/>
      <w:marBottom w:val="0"/>
      <w:divBdr>
        <w:top w:val="none" w:sz="0" w:space="0" w:color="auto"/>
        <w:left w:val="none" w:sz="0" w:space="0" w:color="auto"/>
        <w:bottom w:val="none" w:sz="0" w:space="0" w:color="auto"/>
        <w:right w:val="none" w:sz="0" w:space="0" w:color="auto"/>
      </w:divBdr>
    </w:div>
    <w:div w:id="478302517">
      <w:bodyDiv w:val="1"/>
      <w:marLeft w:val="0"/>
      <w:marRight w:val="0"/>
      <w:marTop w:val="0"/>
      <w:marBottom w:val="0"/>
      <w:divBdr>
        <w:top w:val="none" w:sz="0" w:space="0" w:color="auto"/>
        <w:left w:val="none" w:sz="0" w:space="0" w:color="auto"/>
        <w:bottom w:val="none" w:sz="0" w:space="0" w:color="auto"/>
        <w:right w:val="none" w:sz="0" w:space="0" w:color="auto"/>
      </w:divBdr>
    </w:div>
    <w:div w:id="488907283">
      <w:bodyDiv w:val="1"/>
      <w:marLeft w:val="0"/>
      <w:marRight w:val="0"/>
      <w:marTop w:val="0"/>
      <w:marBottom w:val="0"/>
      <w:divBdr>
        <w:top w:val="none" w:sz="0" w:space="0" w:color="auto"/>
        <w:left w:val="none" w:sz="0" w:space="0" w:color="auto"/>
        <w:bottom w:val="none" w:sz="0" w:space="0" w:color="auto"/>
        <w:right w:val="none" w:sz="0" w:space="0" w:color="auto"/>
      </w:divBdr>
    </w:div>
    <w:div w:id="525100086">
      <w:bodyDiv w:val="1"/>
      <w:marLeft w:val="0"/>
      <w:marRight w:val="0"/>
      <w:marTop w:val="0"/>
      <w:marBottom w:val="0"/>
      <w:divBdr>
        <w:top w:val="none" w:sz="0" w:space="0" w:color="auto"/>
        <w:left w:val="none" w:sz="0" w:space="0" w:color="auto"/>
        <w:bottom w:val="none" w:sz="0" w:space="0" w:color="auto"/>
        <w:right w:val="none" w:sz="0" w:space="0" w:color="auto"/>
      </w:divBdr>
    </w:div>
    <w:div w:id="536236148">
      <w:bodyDiv w:val="1"/>
      <w:marLeft w:val="0"/>
      <w:marRight w:val="0"/>
      <w:marTop w:val="0"/>
      <w:marBottom w:val="0"/>
      <w:divBdr>
        <w:top w:val="none" w:sz="0" w:space="0" w:color="auto"/>
        <w:left w:val="none" w:sz="0" w:space="0" w:color="auto"/>
        <w:bottom w:val="none" w:sz="0" w:space="0" w:color="auto"/>
        <w:right w:val="none" w:sz="0" w:space="0" w:color="auto"/>
      </w:divBdr>
    </w:div>
    <w:div w:id="587735975">
      <w:bodyDiv w:val="1"/>
      <w:marLeft w:val="0"/>
      <w:marRight w:val="0"/>
      <w:marTop w:val="0"/>
      <w:marBottom w:val="0"/>
      <w:divBdr>
        <w:top w:val="none" w:sz="0" w:space="0" w:color="auto"/>
        <w:left w:val="none" w:sz="0" w:space="0" w:color="auto"/>
        <w:bottom w:val="none" w:sz="0" w:space="0" w:color="auto"/>
        <w:right w:val="none" w:sz="0" w:space="0" w:color="auto"/>
      </w:divBdr>
    </w:div>
    <w:div w:id="606541377">
      <w:bodyDiv w:val="1"/>
      <w:marLeft w:val="0"/>
      <w:marRight w:val="0"/>
      <w:marTop w:val="0"/>
      <w:marBottom w:val="0"/>
      <w:divBdr>
        <w:top w:val="none" w:sz="0" w:space="0" w:color="auto"/>
        <w:left w:val="none" w:sz="0" w:space="0" w:color="auto"/>
        <w:bottom w:val="none" w:sz="0" w:space="0" w:color="auto"/>
        <w:right w:val="none" w:sz="0" w:space="0" w:color="auto"/>
      </w:divBdr>
    </w:div>
    <w:div w:id="622731280">
      <w:bodyDiv w:val="1"/>
      <w:marLeft w:val="0"/>
      <w:marRight w:val="0"/>
      <w:marTop w:val="0"/>
      <w:marBottom w:val="0"/>
      <w:divBdr>
        <w:top w:val="none" w:sz="0" w:space="0" w:color="auto"/>
        <w:left w:val="none" w:sz="0" w:space="0" w:color="auto"/>
        <w:bottom w:val="none" w:sz="0" w:space="0" w:color="auto"/>
        <w:right w:val="none" w:sz="0" w:space="0" w:color="auto"/>
      </w:divBdr>
    </w:div>
    <w:div w:id="660471989">
      <w:bodyDiv w:val="1"/>
      <w:marLeft w:val="0"/>
      <w:marRight w:val="0"/>
      <w:marTop w:val="0"/>
      <w:marBottom w:val="0"/>
      <w:divBdr>
        <w:top w:val="none" w:sz="0" w:space="0" w:color="auto"/>
        <w:left w:val="none" w:sz="0" w:space="0" w:color="auto"/>
        <w:bottom w:val="none" w:sz="0" w:space="0" w:color="auto"/>
        <w:right w:val="none" w:sz="0" w:space="0" w:color="auto"/>
      </w:divBdr>
    </w:div>
    <w:div w:id="674579422">
      <w:bodyDiv w:val="1"/>
      <w:marLeft w:val="0"/>
      <w:marRight w:val="0"/>
      <w:marTop w:val="0"/>
      <w:marBottom w:val="0"/>
      <w:divBdr>
        <w:top w:val="none" w:sz="0" w:space="0" w:color="auto"/>
        <w:left w:val="none" w:sz="0" w:space="0" w:color="auto"/>
        <w:bottom w:val="none" w:sz="0" w:space="0" w:color="auto"/>
        <w:right w:val="none" w:sz="0" w:space="0" w:color="auto"/>
      </w:divBdr>
    </w:div>
    <w:div w:id="680550750">
      <w:bodyDiv w:val="1"/>
      <w:marLeft w:val="0"/>
      <w:marRight w:val="0"/>
      <w:marTop w:val="0"/>
      <w:marBottom w:val="0"/>
      <w:divBdr>
        <w:top w:val="none" w:sz="0" w:space="0" w:color="auto"/>
        <w:left w:val="none" w:sz="0" w:space="0" w:color="auto"/>
        <w:bottom w:val="none" w:sz="0" w:space="0" w:color="auto"/>
        <w:right w:val="none" w:sz="0" w:space="0" w:color="auto"/>
      </w:divBdr>
    </w:div>
    <w:div w:id="714619681">
      <w:bodyDiv w:val="1"/>
      <w:marLeft w:val="0"/>
      <w:marRight w:val="0"/>
      <w:marTop w:val="0"/>
      <w:marBottom w:val="0"/>
      <w:divBdr>
        <w:top w:val="none" w:sz="0" w:space="0" w:color="auto"/>
        <w:left w:val="none" w:sz="0" w:space="0" w:color="auto"/>
        <w:bottom w:val="none" w:sz="0" w:space="0" w:color="auto"/>
        <w:right w:val="none" w:sz="0" w:space="0" w:color="auto"/>
      </w:divBdr>
    </w:div>
    <w:div w:id="723019599">
      <w:bodyDiv w:val="1"/>
      <w:marLeft w:val="0"/>
      <w:marRight w:val="0"/>
      <w:marTop w:val="0"/>
      <w:marBottom w:val="0"/>
      <w:divBdr>
        <w:top w:val="none" w:sz="0" w:space="0" w:color="auto"/>
        <w:left w:val="none" w:sz="0" w:space="0" w:color="auto"/>
        <w:bottom w:val="none" w:sz="0" w:space="0" w:color="auto"/>
        <w:right w:val="none" w:sz="0" w:space="0" w:color="auto"/>
      </w:divBdr>
    </w:div>
    <w:div w:id="790519806">
      <w:bodyDiv w:val="1"/>
      <w:marLeft w:val="0"/>
      <w:marRight w:val="0"/>
      <w:marTop w:val="0"/>
      <w:marBottom w:val="0"/>
      <w:divBdr>
        <w:top w:val="none" w:sz="0" w:space="0" w:color="auto"/>
        <w:left w:val="none" w:sz="0" w:space="0" w:color="auto"/>
        <w:bottom w:val="none" w:sz="0" w:space="0" w:color="auto"/>
        <w:right w:val="none" w:sz="0" w:space="0" w:color="auto"/>
      </w:divBdr>
    </w:div>
    <w:div w:id="829101624">
      <w:bodyDiv w:val="1"/>
      <w:marLeft w:val="0"/>
      <w:marRight w:val="0"/>
      <w:marTop w:val="0"/>
      <w:marBottom w:val="0"/>
      <w:divBdr>
        <w:top w:val="none" w:sz="0" w:space="0" w:color="auto"/>
        <w:left w:val="none" w:sz="0" w:space="0" w:color="auto"/>
        <w:bottom w:val="none" w:sz="0" w:space="0" w:color="auto"/>
        <w:right w:val="none" w:sz="0" w:space="0" w:color="auto"/>
      </w:divBdr>
    </w:div>
    <w:div w:id="843665020">
      <w:bodyDiv w:val="1"/>
      <w:marLeft w:val="0"/>
      <w:marRight w:val="0"/>
      <w:marTop w:val="0"/>
      <w:marBottom w:val="0"/>
      <w:divBdr>
        <w:top w:val="none" w:sz="0" w:space="0" w:color="auto"/>
        <w:left w:val="none" w:sz="0" w:space="0" w:color="auto"/>
        <w:bottom w:val="none" w:sz="0" w:space="0" w:color="auto"/>
        <w:right w:val="none" w:sz="0" w:space="0" w:color="auto"/>
      </w:divBdr>
    </w:div>
    <w:div w:id="974335613">
      <w:bodyDiv w:val="1"/>
      <w:marLeft w:val="0"/>
      <w:marRight w:val="0"/>
      <w:marTop w:val="0"/>
      <w:marBottom w:val="0"/>
      <w:divBdr>
        <w:top w:val="none" w:sz="0" w:space="0" w:color="auto"/>
        <w:left w:val="none" w:sz="0" w:space="0" w:color="auto"/>
        <w:bottom w:val="none" w:sz="0" w:space="0" w:color="auto"/>
        <w:right w:val="none" w:sz="0" w:space="0" w:color="auto"/>
      </w:divBdr>
    </w:div>
    <w:div w:id="998189421">
      <w:bodyDiv w:val="1"/>
      <w:marLeft w:val="0"/>
      <w:marRight w:val="0"/>
      <w:marTop w:val="0"/>
      <w:marBottom w:val="0"/>
      <w:divBdr>
        <w:top w:val="none" w:sz="0" w:space="0" w:color="auto"/>
        <w:left w:val="none" w:sz="0" w:space="0" w:color="auto"/>
        <w:bottom w:val="none" w:sz="0" w:space="0" w:color="auto"/>
        <w:right w:val="none" w:sz="0" w:space="0" w:color="auto"/>
      </w:divBdr>
    </w:div>
    <w:div w:id="1022165003">
      <w:bodyDiv w:val="1"/>
      <w:marLeft w:val="0"/>
      <w:marRight w:val="0"/>
      <w:marTop w:val="0"/>
      <w:marBottom w:val="0"/>
      <w:divBdr>
        <w:top w:val="none" w:sz="0" w:space="0" w:color="auto"/>
        <w:left w:val="none" w:sz="0" w:space="0" w:color="auto"/>
        <w:bottom w:val="none" w:sz="0" w:space="0" w:color="auto"/>
        <w:right w:val="none" w:sz="0" w:space="0" w:color="auto"/>
      </w:divBdr>
    </w:div>
    <w:div w:id="1035815200">
      <w:bodyDiv w:val="1"/>
      <w:marLeft w:val="0"/>
      <w:marRight w:val="0"/>
      <w:marTop w:val="0"/>
      <w:marBottom w:val="0"/>
      <w:divBdr>
        <w:top w:val="none" w:sz="0" w:space="0" w:color="auto"/>
        <w:left w:val="none" w:sz="0" w:space="0" w:color="auto"/>
        <w:bottom w:val="none" w:sz="0" w:space="0" w:color="auto"/>
        <w:right w:val="none" w:sz="0" w:space="0" w:color="auto"/>
      </w:divBdr>
    </w:div>
    <w:div w:id="1044135313">
      <w:bodyDiv w:val="1"/>
      <w:marLeft w:val="0"/>
      <w:marRight w:val="0"/>
      <w:marTop w:val="0"/>
      <w:marBottom w:val="0"/>
      <w:divBdr>
        <w:top w:val="none" w:sz="0" w:space="0" w:color="auto"/>
        <w:left w:val="none" w:sz="0" w:space="0" w:color="auto"/>
        <w:bottom w:val="none" w:sz="0" w:space="0" w:color="auto"/>
        <w:right w:val="none" w:sz="0" w:space="0" w:color="auto"/>
      </w:divBdr>
    </w:div>
    <w:div w:id="1067652113">
      <w:bodyDiv w:val="1"/>
      <w:marLeft w:val="0"/>
      <w:marRight w:val="0"/>
      <w:marTop w:val="0"/>
      <w:marBottom w:val="0"/>
      <w:divBdr>
        <w:top w:val="none" w:sz="0" w:space="0" w:color="auto"/>
        <w:left w:val="none" w:sz="0" w:space="0" w:color="auto"/>
        <w:bottom w:val="none" w:sz="0" w:space="0" w:color="auto"/>
        <w:right w:val="none" w:sz="0" w:space="0" w:color="auto"/>
      </w:divBdr>
    </w:div>
    <w:div w:id="1091315206">
      <w:bodyDiv w:val="1"/>
      <w:marLeft w:val="0"/>
      <w:marRight w:val="0"/>
      <w:marTop w:val="0"/>
      <w:marBottom w:val="0"/>
      <w:divBdr>
        <w:top w:val="none" w:sz="0" w:space="0" w:color="auto"/>
        <w:left w:val="none" w:sz="0" w:space="0" w:color="auto"/>
        <w:bottom w:val="none" w:sz="0" w:space="0" w:color="auto"/>
        <w:right w:val="none" w:sz="0" w:space="0" w:color="auto"/>
      </w:divBdr>
    </w:div>
    <w:div w:id="1095831851">
      <w:bodyDiv w:val="1"/>
      <w:marLeft w:val="0"/>
      <w:marRight w:val="0"/>
      <w:marTop w:val="0"/>
      <w:marBottom w:val="0"/>
      <w:divBdr>
        <w:top w:val="none" w:sz="0" w:space="0" w:color="auto"/>
        <w:left w:val="none" w:sz="0" w:space="0" w:color="auto"/>
        <w:bottom w:val="none" w:sz="0" w:space="0" w:color="auto"/>
        <w:right w:val="none" w:sz="0" w:space="0" w:color="auto"/>
      </w:divBdr>
    </w:div>
    <w:div w:id="1097019079">
      <w:bodyDiv w:val="1"/>
      <w:marLeft w:val="0"/>
      <w:marRight w:val="0"/>
      <w:marTop w:val="0"/>
      <w:marBottom w:val="0"/>
      <w:divBdr>
        <w:top w:val="none" w:sz="0" w:space="0" w:color="auto"/>
        <w:left w:val="none" w:sz="0" w:space="0" w:color="auto"/>
        <w:bottom w:val="none" w:sz="0" w:space="0" w:color="auto"/>
        <w:right w:val="none" w:sz="0" w:space="0" w:color="auto"/>
      </w:divBdr>
      <w:divsChild>
        <w:div w:id="1671449360">
          <w:marLeft w:val="0"/>
          <w:marRight w:val="0"/>
          <w:marTop w:val="0"/>
          <w:marBottom w:val="299"/>
          <w:divBdr>
            <w:top w:val="none" w:sz="0" w:space="0" w:color="auto"/>
            <w:left w:val="none" w:sz="0" w:space="0" w:color="auto"/>
            <w:bottom w:val="none" w:sz="0" w:space="0" w:color="auto"/>
            <w:right w:val="none" w:sz="0" w:space="0" w:color="auto"/>
          </w:divBdr>
        </w:div>
        <w:div w:id="813833843">
          <w:marLeft w:val="0"/>
          <w:marRight w:val="0"/>
          <w:marTop w:val="100"/>
          <w:marBottom w:val="100"/>
          <w:divBdr>
            <w:top w:val="none" w:sz="0" w:space="0" w:color="auto"/>
            <w:left w:val="none" w:sz="0" w:space="0" w:color="auto"/>
            <w:bottom w:val="none" w:sz="0" w:space="0" w:color="auto"/>
            <w:right w:val="none" w:sz="0" w:space="0" w:color="auto"/>
          </w:divBdr>
        </w:div>
        <w:div w:id="803618055">
          <w:marLeft w:val="0"/>
          <w:marRight w:val="0"/>
          <w:marTop w:val="0"/>
          <w:marBottom w:val="374"/>
          <w:divBdr>
            <w:top w:val="none" w:sz="0" w:space="0" w:color="auto"/>
            <w:left w:val="none" w:sz="0" w:space="0" w:color="auto"/>
            <w:bottom w:val="single" w:sz="8" w:space="9" w:color="EFEFEF"/>
            <w:right w:val="none" w:sz="0" w:space="0" w:color="auto"/>
          </w:divBdr>
        </w:div>
      </w:divsChild>
    </w:div>
    <w:div w:id="1114405107">
      <w:bodyDiv w:val="1"/>
      <w:marLeft w:val="0"/>
      <w:marRight w:val="0"/>
      <w:marTop w:val="0"/>
      <w:marBottom w:val="0"/>
      <w:divBdr>
        <w:top w:val="none" w:sz="0" w:space="0" w:color="auto"/>
        <w:left w:val="none" w:sz="0" w:space="0" w:color="auto"/>
        <w:bottom w:val="none" w:sz="0" w:space="0" w:color="auto"/>
        <w:right w:val="none" w:sz="0" w:space="0" w:color="auto"/>
      </w:divBdr>
    </w:div>
    <w:div w:id="1140002322">
      <w:bodyDiv w:val="1"/>
      <w:marLeft w:val="0"/>
      <w:marRight w:val="0"/>
      <w:marTop w:val="0"/>
      <w:marBottom w:val="0"/>
      <w:divBdr>
        <w:top w:val="none" w:sz="0" w:space="0" w:color="auto"/>
        <w:left w:val="none" w:sz="0" w:space="0" w:color="auto"/>
        <w:bottom w:val="none" w:sz="0" w:space="0" w:color="auto"/>
        <w:right w:val="none" w:sz="0" w:space="0" w:color="auto"/>
      </w:divBdr>
    </w:div>
    <w:div w:id="1157770922">
      <w:bodyDiv w:val="1"/>
      <w:marLeft w:val="0"/>
      <w:marRight w:val="0"/>
      <w:marTop w:val="0"/>
      <w:marBottom w:val="0"/>
      <w:divBdr>
        <w:top w:val="none" w:sz="0" w:space="0" w:color="auto"/>
        <w:left w:val="none" w:sz="0" w:space="0" w:color="auto"/>
        <w:bottom w:val="none" w:sz="0" w:space="0" w:color="auto"/>
        <w:right w:val="none" w:sz="0" w:space="0" w:color="auto"/>
      </w:divBdr>
    </w:div>
    <w:div w:id="1204101872">
      <w:bodyDiv w:val="1"/>
      <w:marLeft w:val="0"/>
      <w:marRight w:val="0"/>
      <w:marTop w:val="0"/>
      <w:marBottom w:val="0"/>
      <w:divBdr>
        <w:top w:val="none" w:sz="0" w:space="0" w:color="auto"/>
        <w:left w:val="none" w:sz="0" w:space="0" w:color="auto"/>
        <w:bottom w:val="none" w:sz="0" w:space="0" w:color="auto"/>
        <w:right w:val="none" w:sz="0" w:space="0" w:color="auto"/>
      </w:divBdr>
    </w:div>
    <w:div w:id="1216163165">
      <w:bodyDiv w:val="1"/>
      <w:marLeft w:val="0"/>
      <w:marRight w:val="0"/>
      <w:marTop w:val="0"/>
      <w:marBottom w:val="0"/>
      <w:divBdr>
        <w:top w:val="none" w:sz="0" w:space="0" w:color="auto"/>
        <w:left w:val="none" w:sz="0" w:space="0" w:color="auto"/>
        <w:bottom w:val="none" w:sz="0" w:space="0" w:color="auto"/>
        <w:right w:val="none" w:sz="0" w:space="0" w:color="auto"/>
      </w:divBdr>
    </w:div>
    <w:div w:id="1224440481">
      <w:bodyDiv w:val="1"/>
      <w:marLeft w:val="0"/>
      <w:marRight w:val="0"/>
      <w:marTop w:val="0"/>
      <w:marBottom w:val="0"/>
      <w:divBdr>
        <w:top w:val="none" w:sz="0" w:space="0" w:color="auto"/>
        <w:left w:val="none" w:sz="0" w:space="0" w:color="auto"/>
        <w:bottom w:val="none" w:sz="0" w:space="0" w:color="auto"/>
        <w:right w:val="none" w:sz="0" w:space="0" w:color="auto"/>
      </w:divBdr>
    </w:div>
    <w:div w:id="1241795450">
      <w:bodyDiv w:val="1"/>
      <w:marLeft w:val="0"/>
      <w:marRight w:val="0"/>
      <w:marTop w:val="0"/>
      <w:marBottom w:val="0"/>
      <w:divBdr>
        <w:top w:val="none" w:sz="0" w:space="0" w:color="auto"/>
        <w:left w:val="none" w:sz="0" w:space="0" w:color="auto"/>
        <w:bottom w:val="none" w:sz="0" w:space="0" w:color="auto"/>
        <w:right w:val="none" w:sz="0" w:space="0" w:color="auto"/>
      </w:divBdr>
    </w:div>
    <w:div w:id="1243179893">
      <w:bodyDiv w:val="1"/>
      <w:marLeft w:val="0"/>
      <w:marRight w:val="0"/>
      <w:marTop w:val="0"/>
      <w:marBottom w:val="0"/>
      <w:divBdr>
        <w:top w:val="none" w:sz="0" w:space="0" w:color="auto"/>
        <w:left w:val="none" w:sz="0" w:space="0" w:color="auto"/>
        <w:bottom w:val="none" w:sz="0" w:space="0" w:color="auto"/>
        <w:right w:val="none" w:sz="0" w:space="0" w:color="auto"/>
      </w:divBdr>
    </w:div>
    <w:div w:id="1251112180">
      <w:bodyDiv w:val="1"/>
      <w:marLeft w:val="0"/>
      <w:marRight w:val="0"/>
      <w:marTop w:val="0"/>
      <w:marBottom w:val="0"/>
      <w:divBdr>
        <w:top w:val="none" w:sz="0" w:space="0" w:color="auto"/>
        <w:left w:val="none" w:sz="0" w:space="0" w:color="auto"/>
        <w:bottom w:val="none" w:sz="0" w:space="0" w:color="auto"/>
        <w:right w:val="none" w:sz="0" w:space="0" w:color="auto"/>
      </w:divBdr>
    </w:div>
    <w:div w:id="1290210808">
      <w:bodyDiv w:val="1"/>
      <w:marLeft w:val="0"/>
      <w:marRight w:val="0"/>
      <w:marTop w:val="0"/>
      <w:marBottom w:val="0"/>
      <w:divBdr>
        <w:top w:val="none" w:sz="0" w:space="0" w:color="auto"/>
        <w:left w:val="none" w:sz="0" w:space="0" w:color="auto"/>
        <w:bottom w:val="none" w:sz="0" w:space="0" w:color="auto"/>
        <w:right w:val="none" w:sz="0" w:space="0" w:color="auto"/>
      </w:divBdr>
    </w:div>
    <w:div w:id="1320622161">
      <w:bodyDiv w:val="1"/>
      <w:marLeft w:val="0"/>
      <w:marRight w:val="0"/>
      <w:marTop w:val="0"/>
      <w:marBottom w:val="0"/>
      <w:divBdr>
        <w:top w:val="none" w:sz="0" w:space="0" w:color="auto"/>
        <w:left w:val="none" w:sz="0" w:space="0" w:color="auto"/>
        <w:bottom w:val="none" w:sz="0" w:space="0" w:color="auto"/>
        <w:right w:val="none" w:sz="0" w:space="0" w:color="auto"/>
      </w:divBdr>
    </w:div>
    <w:div w:id="1347361747">
      <w:bodyDiv w:val="1"/>
      <w:marLeft w:val="0"/>
      <w:marRight w:val="0"/>
      <w:marTop w:val="0"/>
      <w:marBottom w:val="0"/>
      <w:divBdr>
        <w:top w:val="none" w:sz="0" w:space="0" w:color="auto"/>
        <w:left w:val="none" w:sz="0" w:space="0" w:color="auto"/>
        <w:bottom w:val="none" w:sz="0" w:space="0" w:color="auto"/>
        <w:right w:val="none" w:sz="0" w:space="0" w:color="auto"/>
      </w:divBdr>
    </w:div>
    <w:div w:id="1375622221">
      <w:bodyDiv w:val="1"/>
      <w:marLeft w:val="0"/>
      <w:marRight w:val="0"/>
      <w:marTop w:val="0"/>
      <w:marBottom w:val="0"/>
      <w:divBdr>
        <w:top w:val="none" w:sz="0" w:space="0" w:color="auto"/>
        <w:left w:val="none" w:sz="0" w:space="0" w:color="auto"/>
        <w:bottom w:val="none" w:sz="0" w:space="0" w:color="auto"/>
        <w:right w:val="none" w:sz="0" w:space="0" w:color="auto"/>
      </w:divBdr>
    </w:div>
    <w:div w:id="1392844588">
      <w:bodyDiv w:val="1"/>
      <w:marLeft w:val="0"/>
      <w:marRight w:val="0"/>
      <w:marTop w:val="0"/>
      <w:marBottom w:val="0"/>
      <w:divBdr>
        <w:top w:val="none" w:sz="0" w:space="0" w:color="auto"/>
        <w:left w:val="none" w:sz="0" w:space="0" w:color="auto"/>
        <w:bottom w:val="none" w:sz="0" w:space="0" w:color="auto"/>
        <w:right w:val="none" w:sz="0" w:space="0" w:color="auto"/>
      </w:divBdr>
    </w:div>
    <w:div w:id="1398433308">
      <w:bodyDiv w:val="1"/>
      <w:marLeft w:val="0"/>
      <w:marRight w:val="0"/>
      <w:marTop w:val="0"/>
      <w:marBottom w:val="0"/>
      <w:divBdr>
        <w:top w:val="none" w:sz="0" w:space="0" w:color="auto"/>
        <w:left w:val="none" w:sz="0" w:space="0" w:color="auto"/>
        <w:bottom w:val="none" w:sz="0" w:space="0" w:color="auto"/>
        <w:right w:val="none" w:sz="0" w:space="0" w:color="auto"/>
      </w:divBdr>
    </w:div>
    <w:div w:id="1405032420">
      <w:bodyDiv w:val="1"/>
      <w:marLeft w:val="0"/>
      <w:marRight w:val="0"/>
      <w:marTop w:val="0"/>
      <w:marBottom w:val="0"/>
      <w:divBdr>
        <w:top w:val="none" w:sz="0" w:space="0" w:color="auto"/>
        <w:left w:val="none" w:sz="0" w:space="0" w:color="auto"/>
        <w:bottom w:val="none" w:sz="0" w:space="0" w:color="auto"/>
        <w:right w:val="none" w:sz="0" w:space="0" w:color="auto"/>
      </w:divBdr>
    </w:div>
    <w:div w:id="1427459669">
      <w:bodyDiv w:val="1"/>
      <w:marLeft w:val="0"/>
      <w:marRight w:val="0"/>
      <w:marTop w:val="0"/>
      <w:marBottom w:val="0"/>
      <w:divBdr>
        <w:top w:val="none" w:sz="0" w:space="0" w:color="auto"/>
        <w:left w:val="none" w:sz="0" w:space="0" w:color="auto"/>
        <w:bottom w:val="none" w:sz="0" w:space="0" w:color="auto"/>
        <w:right w:val="none" w:sz="0" w:space="0" w:color="auto"/>
      </w:divBdr>
    </w:div>
    <w:div w:id="1429619660">
      <w:bodyDiv w:val="1"/>
      <w:marLeft w:val="0"/>
      <w:marRight w:val="0"/>
      <w:marTop w:val="0"/>
      <w:marBottom w:val="0"/>
      <w:divBdr>
        <w:top w:val="none" w:sz="0" w:space="0" w:color="auto"/>
        <w:left w:val="none" w:sz="0" w:space="0" w:color="auto"/>
        <w:bottom w:val="none" w:sz="0" w:space="0" w:color="auto"/>
        <w:right w:val="none" w:sz="0" w:space="0" w:color="auto"/>
      </w:divBdr>
    </w:div>
    <w:div w:id="1486780509">
      <w:bodyDiv w:val="1"/>
      <w:marLeft w:val="0"/>
      <w:marRight w:val="0"/>
      <w:marTop w:val="0"/>
      <w:marBottom w:val="0"/>
      <w:divBdr>
        <w:top w:val="none" w:sz="0" w:space="0" w:color="auto"/>
        <w:left w:val="none" w:sz="0" w:space="0" w:color="auto"/>
        <w:bottom w:val="none" w:sz="0" w:space="0" w:color="auto"/>
        <w:right w:val="none" w:sz="0" w:space="0" w:color="auto"/>
      </w:divBdr>
    </w:div>
    <w:div w:id="1500465108">
      <w:bodyDiv w:val="1"/>
      <w:marLeft w:val="0"/>
      <w:marRight w:val="0"/>
      <w:marTop w:val="0"/>
      <w:marBottom w:val="0"/>
      <w:divBdr>
        <w:top w:val="none" w:sz="0" w:space="0" w:color="auto"/>
        <w:left w:val="none" w:sz="0" w:space="0" w:color="auto"/>
        <w:bottom w:val="none" w:sz="0" w:space="0" w:color="auto"/>
        <w:right w:val="none" w:sz="0" w:space="0" w:color="auto"/>
      </w:divBdr>
    </w:div>
    <w:div w:id="1576017036">
      <w:bodyDiv w:val="1"/>
      <w:marLeft w:val="0"/>
      <w:marRight w:val="0"/>
      <w:marTop w:val="0"/>
      <w:marBottom w:val="0"/>
      <w:divBdr>
        <w:top w:val="none" w:sz="0" w:space="0" w:color="auto"/>
        <w:left w:val="none" w:sz="0" w:space="0" w:color="auto"/>
        <w:bottom w:val="none" w:sz="0" w:space="0" w:color="auto"/>
        <w:right w:val="none" w:sz="0" w:space="0" w:color="auto"/>
      </w:divBdr>
    </w:div>
    <w:div w:id="1578007091">
      <w:bodyDiv w:val="1"/>
      <w:marLeft w:val="0"/>
      <w:marRight w:val="0"/>
      <w:marTop w:val="0"/>
      <w:marBottom w:val="0"/>
      <w:divBdr>
        <w:top w:val="none" w:sz="0" w:space="0" w:color="auto"/>
        <w:left w:val="none" w:sz="0" w:space="0" w:color="auto"/>
        <w:bottom w:val="none" w:sz="0" w:space="0" w:color="auto"/>
        <w:right w:val="none" w:sz="0" w:space="0" w:color="auto"/>
      </w:divBdr>
      <w:divsChild>
        <w:div w:id="323047405">
          <w:marLeft w:val="0"/>
          <w:marRight w:val="94"/>
          <w:marTop w:val="0"/>
          <w:marBottom w:val="0"/>
          <w:divBdr>
            <w:top w:val="none" w:sz="0" w:space="0" w:color="auto"/>
            <w:left w:val="none" w:sz="0" w:space="0" w:color="auto"/>
            <w:bottom w:val="none" w:sz="0" w:space="0" w:color="auto"/>
            <w:right w:val="none" w:sz="0" w:space="0" w:color="auto"/>
          </w:divBdr>
        </w:div>
        <w:div w:id="1237740165">
          <w:marLeft w:val="0"/>
          <w:marRight w:val="0"/>
          <w:marTop w:val="0"/>
          <w:marBottom w:val="374"/>
          <w:divBdr>
            <w:top w:val="none" w:sz="0" w:space="0" w:color="auto"/>
            <w:left w:val="none" w:sz="0" w:space="0" w:color="auto"/>
            <w:bottom w:val="none" w:sz="0" w:space="0" w:color="auto"/>
            <w:right w:val="none" w:sz="0" w:space="0" w:color="auto"/>
          </w:divBdr>
        </w:div>
        <w:div w:id="205412671">
          <w:marLeft w:val="318"/>
          <w:marRight w:val="0"/>
          <w:marTop w:val="94"/>
          <w:marBottom w:val="0"/>
          <w:divBdr>
            <w:top w:val="none" w:sz="0" w:space="0" w:color="auto"/>
            <w:left w:val="none" w:sz="0" w:space="0" w:color="auto"/>
            <w:bottom w:val="none" w:sz="0" w:space="0" w:color="auto"/>
            <w:right w:val="none" w:sz="0" w:space="0" w:color="auto"/>
          </w:divBdr>
        </w:div>
      </w:divsChild>
    </w:div>
    <w:div w:id="1600092099">
      <w:bodyDiv w:val="1"/>
      <w:marLeft w:val="0"/>
      <w:marRight w:val="0"/>
      <w:marTop w:val="0"/>
      <w:marBottom w:val="0"/>
      <w:divBdr>
        <w:top w:val="none" w:sz="0" w:space="0" w:color="auto"/>
        <w:left w:val="none" w:sz="0" w:space="0" w:color="auto"/>
        <w:bottom w:val="none" w:sz="0" w:space="0" w:color="auto"/>
        <w:right w:val="none" w:sz="0" w:space="0" w:color="auto"/>
      </w:divBdr>
    </w:div>
    <w:div w:id="1632520066">
      <w:bodyDiv w:val="1"/>
      <w:marLeft w:val="0"/>
      <w:marRight w:val="0"/>
      <w:marTop w:val="0"/>
      <w:marBottom w:val="0"/>
      <w:divBdr>
        <w:top w:val="none" w:sz="0" w:space="0" w:color="auto"/>
        <w:left w:val="none" w:sz="0" w:space="0" w:color="auto"/>
        <w:bottom w:val="none" w:sz="0" w:space="0" w:color="auto"/>
        <w:right w:val="none" w:sz="0" w:space="0" w:color="auto"/>
      </w:divBdr>
    </w:div>
    <w:div w:id="1666319037">
      <w:bodyDiv w:val="1"/>
      <w:marLeft w:val="0"/>
      <w:marRight w:val="0"/>
      <w:marTop w:val="0"/>
      <w:marBottom w:val="0"/>
      <w:divBdr>
        <w:top w:val="none" w:sz="0" w:space="0" w:color="auto"/>
        <w:left w:val="none" w:sz="0" w:space="0" w:color="auto"/>
        <w:bottom w:val="none" w:sz="0" w:space="0" w:color="auto"/>
        <w:right w:val="none" w:sz="0" w:space="0" w:color="auto"/>
      </w:divBdr>
    </w:div>
    <w:div w:id="1666468428">
      <w:bodyDiv w:val="1"/>
      <w:marLeft w:val="0"/>
      <w:marRight w:val="0"/>
      <w:marTop w:val="0"/>
      <w:marBottom w:val="0"/>
      <w:divBdr>
        <w:top w:val="none" w:sz="0" w:space="0" w:color="auto"/>
        <w:left w:val="none" w:sz="0" w:space="0" w:color="auto"/>
        <w:bottom w:val="none" w:sz="0" w:space="0" w:color="auto"/>
        <w:right w:val="none" w:sz="0" w:space="0" w:color="auto"/>
      </w:divBdr>
    </w:div>
    <w:div w:id="1668286196">
      <w:bodyDiv w:val="1"/>
      <w:marLeft w:val="0"/>
      <w:marRight w:val="0"/>
      <w:marTop w:val="0"/>
      <w:marBottom w:val="0"/>
      <w:divBdr>
        <w:top w:val="none" w:sz="0" w:space="0" w:color="auto"/>
        <w:left w:val="none" w:sz="0" w:space="0" w:color="auto"/>
        <w:bottom w:val="none" w:sz="0" w:space="0" w:color="auto"/>
        <w:right w:val="none" w:sz="0" w:space="0" w:color="auto"/>
      </w:divBdr>
    </w:div>
    <w:div w:id="1675182546">
      <w:bodyDiv w:val="1"/>
      <w:marLeft w:val="0"/>
      <w:marRight w:val="0"/>
      <w:marTop w:val="0"/>
      <w:marBottom w:val="0"/>
      <w:divBdr>
        <w:top w:val="none" w:sz="0" w:space="0" w:color="auto"/>
        <w:left w:val="none" w:sz="0" w:space="0" w:color="auto"/>
        <w:bottom w:val="none" w:sz="0" w:space="0" w:color="auto"/>
        <w:right w:val="none" w:sz="0" w:space="0" w:color="auto"/>
      </w:divBdr>
      <w:divsChild>
        <w:div w:id="1961257053">
          <w:marLeft w:val="0"/>
          <w:marRight w:val="0"/>
          <w:marTop w:val="0"/>
          <w:marBottom w:val="0"/>
          <w:divBdr>
            <w:top w:val="none" w:sz="0" w:space="0" w:color="auto"/>
            <w:left w:val="none" w:sz="0" w:space="0" w:color="auto"/>
            <w:bottom w:val="none" w:sz="0" w:space="0" w:color="auto"/>
            <w:right w:val="none" w:sz="0" w:space="0" w:color="auto"/>
          </w:divBdr>
        </w:div>
      </w:divsChild>
    </w:div>
    <w:div w:id="1717465984">
      <w:bodyDiv w:val="1"/>
      <w:marLeft w:val="0"/>
      <w:marRight w:val="0"/>
      <w:marTop w:val="0"/>
      <w:marBottom w:val="0"/>
      <w:divBdr>
        <w:top w:val="none" w:sz="0" w:space="0" w:color="auto"/>
        <w:left w:val="none" w:sz="0" w:space="0" w:color="auto"/>
        <w:bottom w:val="none" w:sz="0" w:space="0" w:color="auto"/>
        <w:right w:val="none" w:sz="0" w:space="0" w:color="auto"/>
      </w:divBdr>
    </w:div>
    <w:div w:id="1729106963">
      <w:bodyDiv w:val="1"/>
      <w:marLeft w:val="0"/>
      <w:marRight w:val="0"/>
      <w:marTop w:val="0"/>
      <w:marBottom w:val="0"/>
      <w:divBdr>
        <w:top w:val="none" w:sz="0" w:space="0" w:color="auto"/>
        <w:left w:val="none" w:sz="0" w:space="0" w:color="auto"/>
        <w:bottom w:val="none" w:sz="0" w:space="0" w:color="auto"/>
        <w:right w:val="none" w:sz="0" w:space="0" w:color="auto"/>
      </w:divBdr>
    </w:div>
    <w:div w:id="1738436007">
      <w:bodyDiv w:val="1"/>
      <w:marLeft w:val="0"/>
      <w:marRight w:val="0"/>
      <w:marTop w:val="0"/>
      <w:marBottom w:val="0"/>
      <w:divBdr>
        <w:top w:val="none" w:sz="0" w:space="0" w:color="auto"/>
        <w:left w:val="none" w:sz="0" w:space="0" w:color="auto"/>
        <w:bottom w:val="none" w:sz="0" w:space="0" w:color="auto"/>
        <w:right w:val="none" w:sz="0" w:space="0" w:color="auto"/>
      </w:divBdr>
      <w:divsChild>
        <w:div w:id="638724743">
          <w:marLeft w:val="0"/>
          <w:marRight w:val="0"/>
          <w:marTop w:val="100"/>
          <w:marBottom w:val="100"/>
          <w:divBdr>
            <w:top w:val="none" w:sz="0" w:space="0" w:color="auto"/>
            <w:left w:val="none" w:sz="0" w:space="0" w:color="auto"/>
            <w:bottom w:val="none" w:sz="0" w:space="0" w:color="auto"/>
            <w:right w:val="none" w:sz="0" w:space="0" w:color="auto"/>
          </w:divBdr>
        </w:div>
        <w:div w:id="330720289">
          <w:marLeft w:val="0"/>
          <w:marRight w:val="0"/>
          <w:marTop w:val="0"/>
          <w:marBottom w:val="374"/>
          <w:divBdr>
            <w:top w:val="none" w:sz="0" w:space="0" w:color="auto"/>
            <w:left w:val="none" w:sz="0" w:space="0" w:color="auto"/>
            <w:bottom w:val="single" w:sz="8" w:space="9" w:color="EFEFEF"/>
            <w:right w:val="none" w:sz="0" w:space="0" w:color="auto"/>
          </w:divBdr>
        </w:div>
      </w:divsChild>
    </w:div>
    <w:div w:id="1739088463">
      <w:bodyDiv w:val="1"/>
      <w:marLeft w:val="0"/>
      <w:marRight w:val="0"/>
      <w:marTop w:val="0"/>
      <w:marBottom w:val="0"/>
      <w:divBdr>
        <w:top w:val="none" w:sz="0" w:space="0" w:color="auto"/>
        <w:left w:val="none" w:sz="0" w:space="0" w:color="auto"/>
        <w:bottom w:val="none" w:sz="0" w:space="0" w:color="auto"/>
        <w:right w:val="none" w:sz="0" w:space="0" w:color="auto"/>
      </w:divBdr>
    </w:div>
    <w:div w:id="1740522404">
      <w:bodyDiv w:val="1"/>
      <w:marLeft w:val="0"/>
      <w:marRight w:val="0"/>
      <w:marTop w:val="0"/>
      <w:marBottom w:val="0"/>
      <w:divBdr>
        <w:top w:val="none" w:sz="0" w:space="0" w:color="auto"/>
        <w:left w:val="none" w:sz="0" w:space="0" w:color="auto"/>
        <w:bottom w:val="none" w:sz="0" w:space="0" w:color="auto"/>
        <w:right w:val="none" w:sz="0" w:space="0" w:color="auto"/>
      </w:divBdr>
    </w:div>
    <w:div w:id="1764183147">
      <w:bodyDiv w:val="1"/>
      <w:marLeft w:val="0"/>
      <w:marRight w:val="0"/>
      <w:marTop w:val="0"/>
      <w:marBottom w:val="0"/>
      <w:divBdr>
        <w:top w:val="none" w:sz="0" w:space="0" w:color="auto"/>
        <w:left w:val="none" w:sz="0" w:space="0" w:color="auto"/>
        <w:bottom w:val="none" w:sz="0" w:space="0" w:color="auto"/>
        <w:right w:val="none" w:sz="0" w:space="0" w:color="auto"/>
      </w:divBdr>
    </w:div>
    <w:div w:id="1785921873">
      <w:bodyDiv w:val="1"/>
      <w:marLeft w:val="0"/>
      <w:marRight w:val="0"/>
      <w:marTop w:val="0"/>
      <w:marBottom w:val="0"/>
      <w:divBdr>
        <w:top w:val="none" w:sz="0" w:space="0" w:color="auto"/>
        <w:left w:val="none" w:sz="0" w:space="0" w:color="auto"/>
        <w:bottom w:val="none" w:sz="0" w:space="0" w:color="auto"/>
        <w:right w:val="none" w:sz="0" w:space="0" w:color="auto"/>
      </w:divBdr>
    </w:div>
    <w:div w:id="1797720725">
      <w:bodyDiv w:val="1"/>
      <w:marLeft w:val="0"/>
      <w:marRight w:val="0"/>
      <w:marTop w:val="0"/>
      <w:marBottom w:val="0"/>
      <w:divBdr>
        <w:top w:val="none" w:sz="0" w:space="0" w:color="auto"/>
        <w:left w:val="none" w:sz="0" w:space="0" w:color="auto"/>
        <w:bottom w:val="none" w:sz="0" w:space="0" w:color="auto"/>
        <w:right w:val="none" w:sz="0" w:space="0" w:color="auto"/>
      </w:divBdr>
    </w:div>
    <w:div w:id="1803645201">
      <w:bodyDiv w:val="1"/>
      <w:marLeft w:val="0"/>
      <w:marRight w:val="0"/>
      <w:marTop w:val="0"/>
      <w:marBottom w:val="0"/>
      <w:divBdr>
        <w:top w:val="none" w:sz="0" w:space="0" w:color="auto"/>
        <w:left w:val="none" w:sz="0" w:space="0" w:color="auto"/>
        <w:bottom w:val="none" w:sz="0" w:space="0" w:color="auto"/>
        <w:right w:val="none" w:sz="0" w:space="0" w:color="auto"/>
      </w:divBdr>
    </w:div>
    <w:div w:id="1823426888">
      <w:bodyDiv w:val="1"/>
      <w:marLeft w:val="0"/>
      <w:marRight w:val="0"/>
      <w:marTop w:val="0"/>
      <w:marBottom w:val="0"/>
      <w:divBdr>
        <w:top w:val="none" w:sz="0" w:space="0" w:color="auto"/>
        <w:left w:val="none" w:sz="0" w:space="0" w:color="auto"/>
        <w:bottom w:val="none" w:sz="0" w:space="0" w:color="auto"/>
        <w:right w:val="none" w:sz="0" w:space="0" w:color="auto"/>
      </w:divBdr>
    </w:div>
    <w:div w:id="1831292678">
      <w:bodyDiv w:val="1"/>
      <w:marLeft w:val="0"/>
      <w:marRight w:val="0"/>
      <w:marTop w:val="0"/>
      <w:marBottom w:val="0"/>
      <w:divBdr>
        <w:top w:val="none" w:sz="0" w:space="0" w:color="auto"/>
        <w:left w:val="none" w:sz="0" w:space="0" w:color="auto"/>
        <w:bottom w:val="none" w:sz="0" w:space="0" w:color="auto"/>
        <w:right w:val="none" w:sz="0" w:space="0" w:color="auto"/>
      </w:divBdr>
    </w:div>
    <w:div w:id="1854105913">
      <w:bodyDiv w:val="1"/>
      <w:marLeft w:val="0"/>
      <w:marRight w:val="0"/>
      <w:marTop w:val="0"/>
      <w:marBottom w:val="0"/>
      <w:divBdr>
        <w:top w:val="none" w:sz="0" w:space="0" w:color="auto"/>
        <w:left w:val="none" w:sz="0" w:space="0" w:color="auto"/>
        <w:bottom w:val="none" w:sz="0" w:space="0" w:color="auto"/>
        <w:right w:val="none" w:sz="0" w:space="0" w:color="auto"/>
      </w:divBdr>
    </w:div>
    <w:div w:id="1885218626">
      <w:bodyDiv w:val="1"/>
      <w:marLeft w:val="0"/>
      <w:marRight w:val="0"/>
      <w:marTop w:val="0"/>
      <w:marBottom w:val="0"/>
      <w:divBdr>
        <w:top w:val="none" w:sz="0" w:space="0" w:color="auto"/>
        <w:left w:val="none" w:sz="0" w:space="0" w:color="auto"/>
        <w:bottom w:val="none" w:sz="0" w:space="0" w:color="auto"/>
        <w:right w:val="none" w:sz="0" w:space="0" w:color="auto"/>
      </w:divBdr>
    </w:div>
    <w:div w:id="2024041352">
      <w:bodyDiv w:val="1"/>
      <w:marLeft w:val="0"/>
      <w:marRight w:val="0"/>
      <w:marTop w:val="0"/>
      <w:marBottom w:val="0"/>
      <w:divBdr>
        <w:top w:val="none" w:sz="0" w:space="0" w:color="auto"/>
        <w:left w:val="none" w:sz="0" w:space="0" w:color="auto"/>
        <w:bottom w:val="none" w:sz="0" w:space="0" w:color="auto"/>
        <w:right w:val="none" w:sz="0" w:space="0" w:color="auto"/>
      </w:divBdr>
    </w:div>
    <w:div w:id="2025279876">
      <w:bodyDiv w:val="1"/>
      <w:marLeft w:val="0"/>
      <w:marRight w:val="0"/>
      <w:marTop w:val="0"/>
      <w:marBottom w:val="0"/>
      <w:divBdr>
        <w:top w:val="none" w:sz="0" w:space="0" w:color="auto"/>
        <w:left w:val="none" w:sz="0" w:space="0" w:color="auto"/>
        <w:bottom w:val="none" w:sz="0" w:space="0" w:color="auto"/>
        <w:right w:val="none" w:sz="0" w:space="0" w:color="auto"/>
      </w:divBdr>
    </w:div>
    <w:div w:id="2041276074">
      <w:bodyDiv w:val="1"/>
      <w:marLeft w:val="0"/>
      <w:marRight w:val="0"/>
      <w:marTop w:val="0"/>
      <w:marBottom w:val="0"/>
      <w:divBdr>
        <w:top w:val="none" w:sz="0" w:space="0" w:color="auto"/>
        <w:left w:val="none" w:sz="0" w:space="0" w:color="auto"/>
        <w:bottom w:val="none" w:sz="0" w:space="0" w:color="auto"/>
        <w:right w:val="none" w:sz="0" w:space="0" w:color="auto"/>
      </w:divBdr>
      <w:divsChild>
        <w:div w:id="1000349881">
          <w:marLeft w:val="0"/>
          <w:marRight w:val="0"/>
          <w:marTop w:val="0"/>
          <w:marBottom w:val="0"/>
          <w:divBdr>
            <w:top w:val="none" w:sz="0" w:space="0" w:color="auto"/>
            <w:left w:val="none" w:sz="0" w:space="0" w:color="auto"/>
            <w:bottom w:val="none" w:sz="0" w:space="0" w:color="auto"/>
            <w:right w:val="none" w:sz="0" w:space="0" w:color="auto"/>
          </w:divBdr>
          <w:divsChild>
            <w:div w:id="1123159810">
              <w:marLeft w:val="0"/>
              <w:marRight w:val="50"/>
              <w:marTop w:val="0"/>
              <w:marBottom w:val="0"/>
              <w:divBdr>
                <w:top w:val="none" w:sz="0" w:space="0" w:color="auto"/>
                <w:left w:val="none" w:sz="0" w:space="0" w:color="auto"/>
                <w:bottom w:val="none" w:sz="0" w:space="0" w:color="auto"/>
                <w:right w:val="none" w:sz="0" w:space="0" w:color="auto"/>
              </w:divBdr>
              <w:divsChild>
                <w:div w:id="11466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470130">
      <w:bodyDiv w:val="1"/>
      <w:marLeft w:val="0"/>
      <w:marRight w:val="0"/>
      <w:marTop w:val="0"/>
      <w:marBottom w:val="0"/>
      <w:divBdr>
        <w:top w:val="none" w:sz="0" w:space="0" w:color="auto"/>
        <w:left w:val="none" w:sz="0" w:space="0" w:color="auto"/>
        <w:bottom w:val="none" w:sz="0" w:space="0" w:color="auto"/>
        <w:right w:val="none" w:sz="0" w:space="0" w:color="auto"/>
      </w:divBdr>
    </w:div>
    <w:div w:id="2116976333">
      <w:bodyDiv w:val="1"/>
      <w:marLeft w:val="0"/>
      <w:marRight w:val="0"/>
      <w:marTop w:val="0"/>
      <w:marBottom w:val="0"/>
      <w:divBdr>
        <w:top w:val="none" w:sz="0" w:space="0" w:color="auto"/>
        <w:left w:val="none" w:sz="0" w:space="0" w:color="auto"/>
        <w:bottom w:val="none" w:sz="0" w:space="0" w:color="auto"/>
        <w:right w:val="none" w:sz="0" w:space="0" w:color="auto"/>
      </w:divBdr>
    </w:div>
    <w:div w:id="2136870501">
      <w:bodyDiv w:val="1"/>
      <w:marLeft w:val="0"/>
      <w:marRight w:val="0"/>
      <w:marTop w:val="0"/>
      <w:marBottom w:val="0"/>
      <w:divBdr>
        <w:top w:val="none" w:sz="0" w:space="0" w:color="auto"/>
        <w:left w:val="none" w:sz="0" w:space="0" w:color="auto"/>
        <w:bottom w:val="none" w:sz="0" w:space="0" w:color="auto"/>
        <w:right w:val="none" w:sz="0" w:space="0" w:color="auto"/>
      </w:divBdr>
      <w:divsChild>
        <w:div w:id="57828998">
          <w:marLeft w:val="0"/>
          <w:marRight w:val="0"/>
          <w:marTop w:val="0"/>
          <w:marBottom w:val="0"/>
          <w:divBdr>
            <w:top w:val="none" w:sz="0" w:space="0" w:color="auto"/>
            <w:left w:val="none" w:sz="0" w:space="0" w:color="auto"/>
            <w:bottom w:val="none" w:sz="0" w:space="0" w:color="auto"/>
            <w:right w:val="none" w:sz="0" w:space="0" w:color="auto"/>
          </w:divBdr>
        </w:div>
        <w:div w:id="189803440">
          <w:marLeft w:val="0"/>
          <w:marRight w:val="0"/>
          <w:marTop w:val="0"/>
          <w:marBottom w:val="0"/>
          <w:divBdr>
            <w:top w:val="none" w:sz="0" w:space="0" w:color="auto"/>
            <w:left w:val="none" w:sz="0" w:space="0" w:color="auto"/>
            <w:bottom w:val="none" w:sz="0" w:space="0" w:color="auto"/>
            <w:right w:val="none" w:sz="0" w:space="0" w:color="auto"/>
          </w:divBdr>
        </w:div>
        <w:div w:id="1395661359">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2"/>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jpeg"/><Relationship Id="rId21" Type="http://schemas.openxmlformats.org/officeDocument/2006/relationships/image" Target="media/image6.jpeg"/><Relationship Id="rId42" Type="http://schemas.openxmlformats.org/officeDocument/2006/relationships/chart" Target="charts/chart12.xml"/><Relationship Id="rId63" Type="http://schemas.openxmlformats.org/officeDocument/2006/relationships/chart" Target="charts/chart33.xml"/><Relationship Id="rId84" Type="http://schemas.openxmlformats.org/officeDocument/2006/relationships/chart" Target="charts/chart54.xml"/><Relationship Id="rId138" Type="http://schemas.openxmlformats.org/officeDocument/2006/relationships/hyperlink" Target="https://editorialexpress.com/cgi-bin/conference/download.cgi?db_name=serc2009&amp;paper_id=49" TargetMode="External"/><Relationship Id="rId159" Type="http://schemas.openxmlformats.org/officeDocument/2006/relationships/hyperlink" Target="https://www.viatoll.pl/en/a/further-extensions-of-the-viatoll-system-in-poland" TargetMode="External"/><Relationship Id="rId170" Type="http://schemas.openxmlformats.org/officeDocument/2006/relationships/hyperlink" Target="https://www.unece.org/fileadmin/DAM/trans/doc/2016/TEM/Poland.pdf" TargetMode="External"/><Relationship Id="rId107" Type="http://schemas.openxmlformats.org/officeDocument/2006/relationships/footer" Target="footer9.xml"/><Relationship Id="rId11" Type="http://schemas.openxmlformats.org/officeDocument/2006/relationships/footer" Target="footer1.xml"/><Relationship Id="rId32" Type="http://schemas.openxmlformats.org/officeDocument/2006/relationships/chart" Target="charts/chart2.xml"/><Relationship Id="rId53" Type="http://schemas.openxmlformats.org/officeDocument/2006/relationships/chart" Target="charts/chart23.xml"/><Relationship Id="rId74" Type="http://schemas.openxmlformats.org/officeDocument/2006/relationships/chart" Target="charts/chart44.xml"/><Relationship Id="rId128" Type="http://schemas.openxmlformats.org/officeDocument/2006/relationships/hyperlink" Target="https://www.nku.gov.sk/documents/10157/4ba7dab0-0a54-4f25-af8b-82a39b130cd5" TargetMode="External"/><Relationship Id="rId149" Type="http://schemas.openxmlformats.org/officeDocument/2006/relationships/hyperlink" Target="https://www.nku.cz/scripts/rka/detail.asp?cisloakce=11/13" TargetMode="External"/><Relationship Id="rId5" Type="http://schemas.openxmlformats.org/officeDocument/2006/relationships/webSettings" Target="webSettings.xml"/><Relationship Id="rId95" Type="http://schemas.openxmlformats.org/officeDocument/2006/relationships/chart" Target="charts/chart65.xml"/><Relationship Id="rId160" Type="http://schemas.openxmlformats.org/officeDocument/2006/relationships/hyperlink" Target="https://www.viatoll.pl/en/a/new-roads-under-viatoll-planned-as-of-1st-september-2014" TargetMode="External"/><Relationship Id="rId181" Type="http://schemas.openxmlformats.org/officeDocument/2006/relationships/theme" Target="theme/theme1.xml"/><Relationship Id="rId22" Type="http://schemas.openxmlformats.org/officeDocument/2006/relationships/image" Target="media/image7.png"/><Relationship Id="rId43" Type="http://schemas.openxmlformats.org/officeDocument/2006/relationships/chart" Target="charts/chart13.xml"/><Relationship Id="rId64" Type="http://schemas.openxmlformats.org/officeDocument/2006/relationships/chart" Target="charts/chart34.xml"/><Relationship Id="rId118" Type="http://schemas.openxmlformats.org/officeDocument/2006/relationships/header" Target="header16.xml"/><Relationship Id="rId139" Type="http://schemas.openxmlformats.org/officeDocument/2006/relationships/hyperlink" Target="https://www.wko.at/branchen/stmk/transport-verkehr/gueterbefoerderungsgewerbe/Endbericht_FlaechendeckendeMaut_final.pdf" TargetMode="External"/><Relationship Id="rId85" Type="http://schemas.openxmlformats.org/officeDocument/2006/relationships/chart" Target="charts/chart55.xml"/><Relationship Id="rId150" Type="http://schemas.openxmlformats.org/officeDocument/2006/relationships/hyperlink" Target="https://portal.gov.cz/obcan/vestniky/s3caayq/19308.pdf" TargetMode="External"/><Relationship Id="rId171" Type="http://schemas.openxmlformats.org/officeDocument/2006/relationships/hyperlink" Target="https://www.viatoll.pl/pl/a/7-lat-systemu-viatoll-przychody-przekroczyly-10-mld-zl" TargetMode="External"/><Relationship Id="rId12" Type="http://schemas.openxmlformats.org/officeDocument/2006/relationships/header" Target="header3.xml"/><Relationship Id="rId33" Type="http://schemas.openxmlformats.org/officeDocument/2006/relationships/chart" Target="charts/chart3.xml"/><Relationship Id="rId108" Type="http://schemas.openxmlformats.org/officeDocument/2006/relationships/header" Target="header13.xml"/><Relationship Id="rId129" Type="http://schemas.openxmlformats.org/officeDocument/2006/relationships/hyperlink" Target="https://www.cdb.sk/files/documents/cestna-databanka/vystupy-cdb/2019/spoplatnenie_k_01_01_2019.pdf" TargetMode="External"/><Relationship Id="rId54" Type="http://schemas.openxmlformats.org/officeDocument/2006/relationships/chart" Target="charts/chart24.xml"/><Relationship Id="rId75" Type="http://schemas.openxmlformats.org/officeDocument/2006/relationships/chart" Target="charts/chart45.xml"/><Relationship Id="rId96" Type="http://schemas.openxmlformats.org/officeDocument/2006/relationships/chart" Target="charts/chart66.xml"/><Relationship Id="rId140" Type="http://schemas.openxmlformats.org/officeDocument/2006/relationships/hyperlink" Target="https://www.asfinag.at/about-us/investor-relations/documentation/" TargetMode="External"/><Relationship Id="rId161" Type="http://schemas.openxmlformats.org/officeDocument/2006/relationships/hyperlink" Target="https://www.viatoll.pl/en/a/627-viatoll-system-expansion-2014-regulation-draft" TargetMode="External"/><Relationship Id="rId6" Type="http://schemas.openxmlformats.org/officeDocument/2006/relationships/footnotes" Target="footnotes.xml"/><Relationship Id="rId23" Type="http://schemas.openxmlformats.org/officeDocument/2006/relationships/image" Target="media/image8.jpeg"/><Relationship Id="rId119" Type="http://schemas.openxmlformats.org/officeDocument/2006/relationships/footer" Target="footer13.xml"/><Relationship Id="rId44" Type="http://schemas.openxmlformats.org/officeDocument/2006/relationships/chart" Target="charts/chart14.xml"/><Relationship Id="rId60" Type="http://schemas.openxmlformats.org/officeDocument/2006/relationships/chart" Target="charts/chart30.xml"/><Relationship Id="rId65" Type="http://schemas.openxmlformats.org/officeDocument/2006/relationships/chart" Target="charts/chart35.xml"/><Relationship Id="rId81" Type="http://schemas.openxmlformats.org/officeDocument/2006/relationships/chart" Target="charts/chart51.xml"/><Relationship Id="rId86" Type="http://schemas.openxmlformats.org/officeDocument/2006/relationships/chart" Target="charts/chart56.xml"/><Relationship Id="rId130" Type="http://schemas.openxmlformats.org/officeDocument/2006/relationships/hyperlink" Target="https://www.ndsas.sk/uploads/media/8f09b287eb284a5efe37a627fb821de7bedb027a.pdf" TargetMode="External"/><Relationship Id="rId135" Type="http://schemas.openxmlformats.org/officeDocument/2006/relationships/hyperlink" Target="http://asecap.com/member-s-national-reports.html" TargetMode="External"/><Relationship Id="rId151" Type="http://schemas.openxmlformats.org/officeDocument/2006/relationships/hyperlink" Target="https://www.nku.cz/assets/kon-zavery/K17010.pdf" TargetMode="External"/><Relationship Id="rId156" Type="http://schemas.openxmlformats.org/officeDocument/2006/relationships/hyperlink" Target="https://www.nbs.sk/sk/statisticke-udaje/kurzovy-listok/mesacne-kumulativne-a-rocne-prehlady-kurzov" TargetMode="External"/><Relationship Id="rId177" Type="http://schemas.openxmlformats.org/officeDocument/2006/relationships/header" Target="header20.xml"/><Relationship Id="rId172" Type="http://schemas.openxmlformats.org/officeDocument/2006/relationships/hyperlink" Target="https://www.viatoll.pl/pl/a/832-6-3-mld-zlotych-w-5-lat-przychody-systemu-viatoll" TargetMode="External"/><Relationship Id="rId13" Type="http://schemas.openxmlformats.org/officeDocument/2006/relationships/footer" Target="footer2.xml"/><Relationship Id="rId18" Type="http://schemas.openxmlformats.org/officeDocument/2006/relationships/header" Target="header6.xml"/><Relationship Id="rId39" Type="http://schemas.openxmlformats.org/officeDocument/2006/relationships/chart" Target="charts/chart9.xml"/><Relationship Id="rId109" Type="http://schemas.openxmlformats.org/officeDocument/2006/relationships/footer" Target="footer10.xml"/><Relationship Id="rId34" Type="http://schemas.openxmlformats.org/officeDocument/2006/relationships/chart" Target="charts/chart4.xml"/><Relationship Id="rId50" Type="http://schemas.openxmlformats.org/officeDocument/2006/relationships/chart" Target="charts/chart20.xml"/><Relationship Id="rId55" Type="http://schemas.openxmlformats.org/officeDocument/2006/relationships/chart" Target="charts/chart25.xml"/><Relationship Id="rId76" Type="http://schemas.openxmlformats.org/officeDocument/2006/relationships/chart" Target="charts/chart46.xml"/><Relationship Id="rId97" Type="http://schemas.openxmlformats.org/officeDocument/2006/relationships/chart" Target="charts/chart67.xml"/><Relationship Id="rId104" Type="http://schemas.openxmlformats.org/officeDocument/2006/relationships/header" Target="header11.xml"/><Relationship Id="rId120" Type="http://schemas.openxmlformats.org/officeDocument/2006/relationships/chart" Target="charts/chart76.xml"/><Relationship Id="rId125" Type="http://schemas.openxmlformats.org/officeDocument/2006/relationships/header" Target="header17.xml"/><Relationship Id="rId141" Type="http://schemas.openxmlformats.org/officeDocument/2006/relationships/hyperlink" Target="https://www.asfinag.at/about-us/company/company-reports/" TargetMode="External"/><Relationship Id="rId146" Type="http://schemas.openxmlformats.org/officeDocument/2006/relationships/hyperlink" Target="http://www.europarl.europa.eu/RegData/etudes/etudes/join/2008/408929/IPOL-TRAN_ET(2008)408929_DE.pdf" TargetMode="External"/><Relationship Id="rId167" Type="http://schemas.openxmlformats.org/officeDocument/2006/relationships/hyperlink" Target="https://fundacjarepublikanska.org/wp-content/uploads/2016/11/raport-system-poboru-oplat-drogowych.pdf" TargetMode="External"/><Relationship Id="rId7" Type="http://schemas.openxmlformats.org/officeDocument/2006/relationships/endnotes" Target="endnotes.xml"/><Relationship Id="rId71" Type="http://schemas.openxmlformats.org/officeDocument/2006/relationships/chart" Target="charts/chart41.xml"/><Relationship Id="rId92" Type="http://schemas.openxmlformats.org/officeDocument/2006/relationships/chart" Target="charts/chart62.xml"/><Relationship Id="rId162" Type="http://schemas.openxmlformats.org/officeDocument/2006/relationships/hyperlink" Target="https://www.viatoll.pl/sk/a/the-viatoll-system-nearly-150-kilometers-of-new-toll-roads-in-poland" TargetMode="External"/><Relationship Id="rId2" Type="http://schemas.openxmlformats.org/officeDocument/2006/relationships/numbering" Target="numbering.xml"/><Relationship Id="rId29" Type="http://schemas.openxmlformats.org/officeDocument/2006/relationships/header" Target="header10.xml"/><Relationship Id="rId24" Type="http://schemas.openxmlformats.org/officeDocument/2006/relationships/header" Target="header7.xml"/><Relationship Id="rId40" Type="http://schemas.openxmlformats.org/officeDocument/2006/relationships/chart" Target="charts/chart10.xml"/><Relationship Id="rId45" Type="http://schemas.openxmlformats.org/officeDocument/2006/relationships/chart" Target="charts/chart15.xml"/><Relationship Id="rId66" Type="http://schemas.openxmlformats.org/officeDocument/2006/relationships/chart" Target="charts/chart36.xml"/><Relationship Id="rId87" Type="http://schemas.openxmlformats.org/officeDocument/2006/relationships/chart" Target="charts/chart57.xml"/><Relationship Id="rId110" Type="http://schemas.openxmlformats.org/officeDocument/2006/relationships/header" Target="header14.xml"/><Relationship Id="rId115" Type="http://schemas.openxmlformats.org/officeDocument/2006/relationships/header" Target="header15.xml"/><Relationship Id="rId131" Type="http://schemas.openxmlformats.org/officeDocument/2006/relationships/hyperlink" Target="http://www.asecap.com/official-positions.html" TargetMode="External"/><Relationship Id="rId136" Type="http://schemas.openxmlformats.org/officeDocument/2006/relationships/hyperlink" Target="https://www.transportenvironment.org/sites/te/files/publications/2017_04_road_tolls_report.pdf" TargetMode="External"/><Relationship Id="rId157" Type="http://schemas.openxmlformats.org/officeDocument/2006/relationships/hyperlink" Target="https://www.viatoll.pl/en/trucks/map" TargetMode="External"/><Relationship Id="rId178" Type="http://schemas.openxmlformats.org/officeDocument/2006/relationships/footer" Target="footer16.xml"/><Relationship Id="rId61" Type="http://schemas.openxmlformats.org/officeDocument/2006/relationships/chart" Target="charts/chart31.xml"/><Relationship Id="rId82" Type="http://schemas.openxmlformats.org/officeDocument/2006/relationships/chart" Target="charts/chart52.xml"/><Relationship Id="rId152" Type="http://schemas.openxmlformats.org/officeDocument/2006/relationships/hyperlink" Target="https://www.infoprovsechny.cz/request/efektivnost_systemu_vyberu_mytne_2" TargetMode="External"/><Relationship Id="rId173" Type="http://schemas.openxmlformats.org/officeDocument/2006/relationships/hyperlink" Target="https://www.dlprofi.cz/33/kalkulace-nakladu-v-silnicni-doprave-komplexni-priklad-uniqueidmRRWSbk196FNf8-jVUh4EuZ5INfB-kNkjPbT5GkW9f8/" TargetMode="External"/><Relationship Id="rId19" Type="http://schemas.openxmlformats.org/officeDocument/2006/relationships/image" Target="media/image4.png"/><Relationship Id="rId14" Type="http://schemas.openxmlformats.org/officeDocument/2006/relationships/header" Target="header4.xml"/><Relationship Id="rId30" Type="http://schemas.openxmlformats.org/officeDocument/2006/relationships/footer" Target="footer7.xml"/><Relationship Id="rId35" Type="http://schemas.openxmlformats.org/officeDocument/2006/relationships/chart" Target="charts/chart5.xml"/><Relationship Id="rId56" Type="http://schemas.openxmlformats.org/officeDocument/2006/relationships/chart" Target="charts/chart26.xml"/><Relationship Id="rId77" Type="http://schemas.openxmlformats.org/officeDocument/2006/relationships/chart" Target="charts/chart47.xml"/><Relationship Id="rId100" Type="http://schemas.openxmlformats.org/officeDocument/2006/relationships/chart" Target="charts/chart70.xml"/><Relationship Id="rId105" Type="http://schemas.openxmlformats.org/officeDocument/2006/relationships/footer" Target="footer8.xml"/><Relationship Id="rId126" Type="http://schemas.openxmlformats.org/officeDocument/2006/relationships/footer" Target="footer14.xml"/><Relationship Id="rId147" Type="http://schemas.openxmlformats.org/officeDocument/2006/relationships/hyperlink" Target="http://www.ioda.cz/_publikace/pub/2015_IODA_analyza_myto.pdf" TargetMode="External"/><Relationship Id="rId168" Type="http://schemas.openxmlformats.org/officeDocument/2006/relationships/hyperlink" Target="https://www.academia.edu/27334713/Odkorkowa%C4%87_Polsk%C4%99._Propozycja_zr%C3%B3wnowa%C5%BConego_systemu_poboru_op%C5%82at_drogowych" TargetMode="External"/><Relationship Id="rId8" Type="http://schemas.openxmlformats.org/officeDocument/2006/relationships/image" Target="media/image1.jpeg"/><Relationship Id="rId51" Type="http://schemas.openxmlformats.org/officeDocument/2006/relationships/chart" Target="charts/chart21.xml"/><Relationship Id="rId72" Type="http://schemas.openxmlformats.org/officeDocument/2006/relationships/chart" Target="charts/chart42.xml"/><Relationship Id="rId93" Type="http://schemas.openxmlformats.org/officeDocument/2006/relationships/chart" Target="charts/chart63.xml"/><Relationship Id="rId98" Type="http://schemas.openxmlformats.org/officeDocument/2006/relationships/chart" Target="charts/chart68.xml"/><Relationship Id="rId121" Type="http://schemas.openxmlformats.org/officeDocument/2006/relationships/chart" Target="charts/chart77.xml"/><Relationship Id="rId142" Type="http://schemas.openxmlformats.org/officeDocument/2006/relationships/hyperlink" Target="http://www.europarl.europa.eu/RegData/etudes/STUD/2014/529058/IPOL_STUD%282014%29529058_EN.pdf" TargetMode="External"/><Relationship Id="rId163" Type="http://schemas.openxmlformats.org/officeDocument/2006/relationships/hyperlink" Target="https://www.viatoll.pl/en/a/viatoll-system-expansion-2017" TargetMode="External"/><Relationship Id="rId3" Type="http://schemas.openxmlformats.org/officeDocument/2006/relationships/styles" Target="styles.xml"/><Relationship Id="rId25" Type="http://schemas.openxmlformats.org/officeDocument/2006/relationships/header" Target="header8.xml"/><Relationship Id="rId46" Type="http://schemas.openxmlformats.org/officeDocument/2006/relationships/chart" Target="charts/chart16.xml"/><Relationship Id="rId67" Type="http://schemas.openxmlformats.org/officeDocument/2006/relationships/chart" Target="charts/chart37.xml"/><Relationship Id="rId116" Type="http://schemas.openxmlformats.org/officeDocument/2006/relationships/footer" Target="footer12.xml"/><Relationship Id="rId137" Type="http://schemas.openxmlformats.org/officeDocument/2006/relationships/hyperlink" Target="https://www.bag.bund.de/DE/Navigation/Verkehrsaufgaben/Statistik/Mautstatistik/Archiv/archiv_node.html" TargetMode="External"/><Relationship Id="rId158" Type="http://schemas.openxmlformats.org/officeDocument/2006/relationships/hyperlink" Target="https://www.viatoll.pl/sk/a/549-viatoll-will-include-further-road-sections" TargetMode="External"/><Relationship Id="rId20" Type="http://schemas.openxmlformats.org/officeDocument/2006/relationships/image" Target="media/image5.jpeg"/><Relationship Id="rId41" Type="http://schemas.openxmlformats.org/officeDocument/2006/relationships/chart" Target="charts/chart11.xml"/><Relationship Id="rId62" Type="http://schemas.openxmlformats.org/officeDocument/2006/relationships/chart" Target="charts/chart32.xml"/><Relationship Id="rId83" Type="http://schemas.openxmlformats.org/officeDocument/2006/relationships/chart" Target="charts/chart53.xml"/><Relationship Id="rId88" Type="http://schemas.openxmlformats.org/officeDocument/2006/relationships/chart" Target="charts/chart58.xml"/><Relationship Id="rId111" Type="http://schemas.openxmlformats.org/officeDocument/2006/relationships/footer" Target="footer11.xml"/><Relationship Id="rId132" Type="http://schemas.openxmlformats.org/officeDocument/2006/relationships/hyperlink" Target="https://www.toll-collect.de/static/media/tc/informationen_tc/nutzer/karte_mautstreckennetz/karte_strecken_d.pdf" TargetMode="External"/><Relationship Id="rId153" Type="http://schemas.openxmlformats.org/officeDocument/2006/relationships/hyperlink" Target="https://www.parlamentnilisty.cz/zpravy/tiskovezpravy/Brezen-s-rekordnim-vyberem-myta-padla-hranice-80-miliard-a-provozni-naklady-klesly-na-15-484151" TargetMode="External"/><Relationship Id="rId174" Type="http://schemas.openxmlformats.org/officeDocument/2006/relationships/header" Target="header18.xml"/><Relationship Id="rId179" Type="http://schemas.openxmlformats.org/officeDocument/2006/relationships/footer" Target="footer17.xml"/><Relationship Id="rId15" Type="http://schemas.openxmlformats.org/officeDocument/2006/relationships/header" Target="header5.xml"/><Relationship Id="rId36" Type="http://schemas.openxmlformats.org/officeDocument/2006/relationships/chart" Target="charts/chart6.xml"/><Relationship Id="rId57" Type="http://schemas.openxmlformats.org/officeDocument/2006/relationships/chart" Target="charts/chart27.xml"/><Relationship Id="rId106" Type="http://schemas.openxmlformats.org/officeDocument/2006/relationships/header" Target="header12.xml"/><Relationship Id="rId127" Type="http://schemas.openxmlformats.org/officeDocument/2006/relationships/hyperlink" Target="http://www.emyto.sk" TargetMode="External"/><Relationship Id="rId10" Type="http://schemas.openxmlformats.org/officeDocument/2006/relationships/header" Target="header2.xml"/><Relationship Id="rId31" Type="http://schemas.openxmlformats.org/officeDocument/2006/relationships/chart" Target="charts/chart1.xml"/><Relationship Id="rId52" Type="http://schemas.openxmlformats.org/officeDocument/2006/relationships/chart" Target="charts/chart22.xml"/><Relationship Id="rId73" Type="http://schemas.openxmlformats.org/officeDocument/2006/relationships/chart" Target="charts/chart43.xml"/><Relationship Id="rId78" Type="http://schemas.openxmlformats.org/officeDocument/2006/relationships/chart" Target="charts/chart48.xml"/><Relationship Id="rId94" Type="http://schemas.openxmlformats.org/officeDocument/2006/relationships/chart" Target="charts/chart64.xml"/><Relationship Id="rId99" Type="http://schemas.openxmlformats.org/officeDocument/2006/relationships/chart" Target="charts/chart69.xml"/><Relationship Id="rId101" Type="http://schemas.openxmlformats.org/officeDocument/2006/relationships/chart" Target="charts/chart71.xml"/><Relationship Id="rId122" Type="http://schemas.openxmlformats.org/officeDocument/2006/relationships/chart" Target="charts/chart78.xml"/><Relationship Id="rId143" Type="http://schemas.openxmlformats.org/officeDocument/2006/relationships/hyperlink" Target="https://www.ntc.gov.au/Media/Reports/(3C12211C-D405-4E66-B474-124315CEF194).pdf" TargetMode="External"/><Relationship Id="rId148" Type="http://schemas.openxmlformats.org/officeDocument/2006/relationships/hyperlink" Target="https://www.nku.cz/scripts/rka/detail.asp?cisloakce=11/13" TargetMode="External"/><Relationship Id="rId164" Type="http://schemas.openxmlformats.org/officeDocument/2006/relationships/hyperlink" Target="https://www.viatoll.pl/pl/pojazdy-ciezarowe/mapa/lista-odcinkow-platnych" TargetMode="External"/><Relationship Id="rId169" Type="http://schemas.openxmlformats.org/officeDocument/2006/relationships/hyperlink" Target="https://www.gddkia.gov.pl/pl/2551/GPR-2015" TargetMode="Externa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fontTable" Target="fontTable.xml"/><Relationship Id="rId26" Type="http://schemas.openxmlformats.org/officeDocument/2006/relationships/footer" Target="footer5.xml"/><Relationship Id="rId47" Type="http://schemas.openxmlformats.org/officeDocument/2006/relationships/chart" Target="charts/chart17.xml"/><Relationship Id="rId68" Type="http://schemas.openxmlformats.org/officeDocument/2006/relationships/chart" Target="charts/chart38.xml"/><Relationship Id="rId89" Type="http://schemas.openxmlformats.org/officeDocument/2006/relationships/chart" Target="charts/chart59.xml"/><Relationship Id="rId112" Type="http://schemas.openxmlformats.org/officeDocument/2006/relationships/hyperlink" Target="https://www.slov-lex.sk/pravne-predpisy/SK/ZZ/2013/497/vyhlasene_znenie.html" TargetMode="External"/><Relationship Id="rId133" Type="http://schemas.openxmlformats.org/officeDocument/2006/relationships/hyperlink" Target="https://maut-in.de/images/karten/karte_strecken_d.pdf" TargetMode="External"/><Relationship Id="rId154" Type="http://schemas.openxmlformats.org/officeDocument/2006/relationships/hyperlink" Target="https://www.e15.cz/byznys/doprava-a-logistika/nabidky-na-vyber-myta-jsou-pro-stat-prohrou-stavajici-system-muze-zlevnit-rika-sef-kapsche-1344391" TargetMode="External"/><Relationship Id="rId175" Type="http://schemas.openxmlformats.org/officeDocument/2006/relationships/footer" Target="footer15.xml"/><Relationship Id="rId16" Type="http://schemas.openxmlformats.org/officeDocument/2006/relationships/footer" Target="footer3.xml"/><Relationship Id="rId37" Type="http://schemas.openxmlformats.org/officeDocument/2006/relationships/chart" Target="charts/chart7.xml"/><Relationship Id="rId58" Type="http://schemas.openxmlformats.org/officeDocument/2006/relationships/chart" Target="charts/chart28.xml"/><Relationship Id="rId79" Type="http://schemas.openxmlformats.org/officeDocument/2006/relationships/chart" Target="charts/chart49.xml"/><Relationship Id="rId102" Type="http://schemas.openxmlformats.org/officeDocument/2006/relationships/chart" Target="charts/chart72.xml"/><Relationship Id="rId123" Type="http://schemas.openxmlformats.org/officeDocument/2006/relationships/chart" Target="charts/chart79.xml"/><Relationship Id="rId144" Type="http://schemas.openxmlformats.org/officeDocument/2006/relationships/hyperlink" Target="https://www.researchgate.net/publication/239439341_Tolling_Heavy_Goods_Vehicles_Overview_of_European_Practice_and_Lessons_from_German_Experience" TargetMode="External"/><Relationship Id="rId90" Type="http://schemas.openxmlformats.org/officeDocument/2006/relationships/chart" Target="charts/chart60.xml"/><Relationship Id="rId165" Type="http://schemas.openxmlformats.org/officeDocument/2006/relationships/hyperlink" Target="https://www.viatoll.pl/pl/pojazdy-ciezarowe/mapa/siec-drog-systemu-viatoll" TargetMode="External"/><Relationship Id="rId27" Type="http://schemas.openxmlformats.org/officeDocument/2006/relationships/footer" Target="footer6.xml"/><Relationship Id="rId48" Type="http://schemas.openxmlformats.org/officeDocument/2006/relationships/chart" Target="charts/chart18.xml"/><Relationship Id="rId69" Type="http://schemas.openxmlformats.org/officeDocument/2006/relationships/chart" Target="charts/chart39.xml"/><Relationship Id="rId113" Type="http://schemas.openxmlformats.org/officeDocument/2006/relationships/chart" Target="charts/chart74.xml"/><Relationship Id="rId134" Type="http://schemas.openxmlformats.org/officeDocument/2006/relationships/hyperlink" Target="http://asecap.com/publications.html" TargetMode="External"/><Relationship Id="rId80" Type="http://schemas.openxmlformats.org/officeDocument/2006/relationships/chart" Target="charts/chart50.xml"/><Relationship Id="rId155" Type="http://schemas.openxmlformats.org/officeDocument/2006/relationships/hyperlink" Target="https://www.ceskenoviny.cz/zpravy/stat-loni-vybral-na-mytu-10-8-mld-kc-mezirocne-o-4-vice/1707780" TargetMode="External"/><Relationship Id="rId176" Type="http://schemas.openxmlformats.org/officeDocument/2006/relationships/header" Target="header19.xml"/><Relationship Id="rId17" Type="http://schemas.openxmlformats.org/officeDocument/2006/relationships/footer" Target="footer4.xml"/><Relationship Id="rId38" Type="http://schemas.openxmlformats.org/officeDocument/2006/relationships/chart" Target="charts/chart8.xml"/><Relationship Id="rId59" Type="http://schemas.openxmlformats.org/officeDocument/2006/relationships/chart" Target="charts/chart29.xml"/><Relationship Id="rId103" Type="http://schemas.openxmlformats.org/officeDocument/2006/relationships/chart" Target="charts/chart73.xml"/><Relationship Id="rId124" Type="http://schemas.openxmlformats.org/officeDocument/2006/relationships/hyperlink" Target="https://www.slov-lex.sk/pravne-predpisy/SK/ZZ/2013/474/" TargetMode="External"/><Relationship Id="rId70" Type="http://schemas.openxmlformats.org/officeDocument/2006/relationships/chart" Target="charts/chart40.xml"/><Relationship Id="rId91" Type="http://schemas.openxmlformats.org/officeDocument/2006/relationships/chart" Target="charts/chart61.xml"/><Relationship Id="rId145" Type="http://schemas.openxmlformats.org/officeDocument/2006/relationships/hyperlink" Target="https://www.ereg-association.eu/media/1213/roadpricing-in-europe-second-version-2012.pdf" TargetMode="External"/><Relationship Id="rId166" Type="http://schemas.openxmlformats.org/officeDocument/2006/relationships/hyperlink" Target="http://instytutstaszica.org/wp-content/uploads/2019/06/Krajowy-System-Poboru-Op%C5%82at.-Czy-nast%C4%85pi%C5%82a-dobra-zmiana.pdf" TargetMode="External"/><Relationship Id="rId1" Type="http://schemas.openxmlformats.org/officeDocument/2006/relationships/customXml" Target="../customXml/item1.xml"/><Relationship Id="rId28" Type="http://schemas.openxmlformats.org/officeDocument/2006/relationships/header" Target="header9.xml"/><Relationship Id="rId49" Type="http://schemas.openxmlformats.org/officeDocument/2006/relationships/chart" Target="charts/chart19.xml"/><Relationship Id="rId114" Type="http://schemas.openxmlformats.org/officeDocument/2006/relationships/chart" Target="charts/chart75.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2.xml.rels><?xml version="1.0" encoding="UTF-8" standalone="yes"?>
<Relationships xmlns="http://schemas.openxmlformats.org/package/2006/relationships"><Relationship Id="rId1" Type="http://schemas.openxmlformats.org/officeDocument/2006/relationships/image" Target="media/image2.png"/></Relationships>
</file>

<file path=word/_rels/header13.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header15.xml.rels><?xml version="1.0" encoding="UTF-8" standalone="yes"?>
<Relationships xmlns="http://schemas.openxmlformats.org/package/2006/relationships"><Relationship Id="rId1" Type="http://schemas.openxmlformats.org/officeDocument/2006/relationships/image" Target="media/image2.png"/></Relationships>
</file>

<file path=word/_rels/header16.xml.rels><?xml version="1.0" encoding="UTF-8" standalone="yes"?>
<Relationships xmlns="http://schemas.openxmlformats.org/package/2006/relationships"><Relationship Id="rId1" Type="http://schemas.openxmlformats.org/officeDocument/2006/relationships/image" Target="media/image2.png"/></Relationships>
</file>

<file path=word/_rels/header17.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2.png"/></Relationships>
</file>

<file path=word/_rels/header19.xml.rels><?xml version="1.0" encoding="UTF-8" standalone="yes"?>
<Relationships xmlns="http://schemas.openxmlformats.org/package/2006/relationships"><Relationship Id="rId1" Type="http://schemas.openxmlformats.org/officeDocument/2006/relationships/image" Target="media/image2.png"/></Relationships>
</file>

<file path=word/_rels/header20.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janosikova\Desktop\2909_1509_%20final%20tabulky_bez%20povodnych%20&#250;dajov%20z%201509.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C:\Users\janosikova\Desktop\0410_1509_%20final%20efektivnos&#357;.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C:\Users\janosikova\Desktop\0610_1509_%20final%20efektivnos&#357;.xlsx" TargetMode="External"/></Relationships>
</file>

<file path=word/charts/_rels/chart45.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1.xml"/></Relationships>
</file>

<file path=word/charts/_rels/chart46.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47.xml.rels><?xml version="1.0" encoding="UTF-8" standalone="yes"?>
<Relationships xmlns="http://schemas.openxmlformats.org/package/2006/relationships"><Relationship Id="rId1" Type="http://schemas.openxmlformats.org/officeDocument/2006/relationships/oleObject" Target="file:///C:\Users\janosikova\Downloads\Porovnanie%20sadzieb%20(automaticky%20ulo&#382;en&#233;)%20(2).xlsx" TargetMode="External"/></Relationships>
</file>

<file path=word/charts/_rels/chart48.xml.rels><?xml version="1.0" encoding="UTF-8" standalone="yes"?>
<Relationships xmlns="http://schemas.openxmlformats.org/package/2006/relationships"><Relationship Id="rId2" Type="http://schemas.openxmlformats.org/officeDocument/2006/relationships/oleObject" Target="file:///C:\Users\janosikova\Downloads\3010_26101_Report_SVUC_po_rokoch%20(automaticky%20ulo&#382;en&#233;)%20(2).xlsx" TargetMode="External"/><Relationship Id="rId1" Type="http://schemas.openxmlformats.org/officeDocument/2006/relationships/themeOverride" Target="../theme/themeOverride2.xml"/></Relationships>
</file>

<file path=word/charts/_rels/chart49.xml.rels><?xml version="1.0" encoding="UTF-8" standalone="yes"?>
<Relationships xmlns="http://schemas.openxmlformats.org/package/2006/relationships"><Relationship Id="rId2" Type="http://schemas.openxmlformats.org/officeDocument/2006/relationships/oleObject" Target="file:///C:\Users\janosikova\Downloads\3010_26101_Report_SVUC_po_rokoch%20(automaticky%20ulo&#382;en&#233;)%20(2).xlsx" TargetMode="External"/><Relationship Id="rId1" Type="http://schemas.openxmlformats.org/officeDocument/2006/relationships/themeOverride" Target="../theme/themeOverride3.xml"/></Relationships>
</file>

<file path=word/charts/_rels/chart50.xml.rels><?xml version="1.0" encoding="UTF-8" standalone="yes"?>
<Relationships xmlns="http://schemas.openxmlformats.org/package/2006/relationships"><Relationship Id="rId2" Type="http://schemas.openxmlformats.org/officeDocument/2006/relationships/oleObject" Target="file:///C:\Users\janosikova\Downloads\3010_26101_Report_SVUC_po_rokoch%20(automaticky%20ulo&#382;en&#233;)%20(2).xlsx" TargetMode="External"/><Relationship Id="rId1" Type="http://schemas.openxmlformats.org/officeDocument/2006/relationships/themeOverride" Target="../theme/themeOverride4.xml"/></Relationships>
</file>

<file path=word/charts/_rels/chart51.xml.rels><?xml version="1.0" encoding="UTF-8" standalone="yes"?>
<Relationships xmlns="http://schemas.openxmlformats.org/package/2006/relationships"><Relationship Id="rId1" Type="http://schemas.openxmlformats.org/officeDocument/2006/relationships/oleObject" Target="file:///C:\Users\janosikova\Downloads\Porovnanie%20sadzieb%20(automaticky%20ulo&#382;en&#233;)%20(2).xlsx"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file:///C:\Users\janosikova\Downloads\Porovnanie%20sadzieb%20(automaticky%20ulo&#382;en&#233;)%20(2).xlsx" TargetMode="External"/></Relationships>
</file>

<file path=word/charts/_rels/chart53.xml.rels><?xml version="1.0" encoding="UTF-8" standalone="yes"?>
<Relationships xmlns="http://schemas.openxmlformats.org/package/2006/relationships"><Relationship Id="rId1" Type="http://schemas.openxmlformats.org/officeDocument/2006/relationships/oleObject" Target="file:///C:\Users\janosikova\Downloads\Porovnanie%20sadzieb%20(automaticky%20ulo&#382;en&#233;)%20(2).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C:\Users\janosikova\Downloads\Porovnanie%20sadzieb%20(automaticky%20ulo&#382;en&#233;)%20(2).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56.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5.xml"/></Relationships>
</file>

<file path=word/charts/_rels/chart57.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6.xml"/></Relationships>
</file>

<file path=word/charts/_rels/chart58.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7.xml"/></Relationships>
</file>

<file path=word/charts/_rels/chart59.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0.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8.xml"/></Relationships>
</file>

<file path=word/charts/_rels/chart61.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9.xml"/></Relationships>
</file>

<file path=word/charts/_rels/chart62.xml.rels><?xml version="1.0" encoding="UTF-8" standalone="yes"?>
<Relationships xmlns="http://schemas.openxmlformats.org/package/2006/relationships"><Relationship Id="rId2" Type="http://schemas.openxmlformats.org/officeDocument/2006/relationships/oleObject" Target="file:///C:\Users\janosikova\Desktop\2510_Porovnanie%20sadzieb%20GJ.xlsx" TargetMode="External"/><Relationship Id="rId1" Type="http://schemas.openxmlformats.org/officeDocument/2006/relationships/themeOverride" Target="../theme/themeOverride10.xml"/></Relationships>
</file>

<file path=word/charts/_rels/chart63.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4.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5.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6.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7.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8.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69.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70.xml.rels><?xml version="1.0" encoding="UTF-8" standalone="yes"?>
<Relationships xmlns="http://schemas.openxmlformats.org/package/2006/relationships"><Relationship Id="rId1" Type="http://schemas.openxmlformats.org/officeDocument/2006/relationships/oleObject" Target="file:///C:\Users\janosikova\Desktop\2510_Porovnanie%20sadzieb%20GJ.xlsx" TargetMode="External"/></Relationships>
</file>

<file path=word/charts/_rels/chart71.xml.rels><?xml version="1.0" encoding="UTF-8" standalone="yes"?>
<Relationships xmlns="http://schemas.openxmlformats.org/package/2006/relationships"><Relationship Id="rId2" Type="http://schemas.openxmlformats.org/officeDocument/2006/relationships/oleObject" Target="file:///D:\downloads\3010_prognozy%20NDS_intenzity_v&#253;kony.xls" TargetMode="External"/><Relationship Id="rId1" Type="http://schemas.openxmlformats.org/officeDocument/2006/relationships/themeOverride" Target="../theme/themeOverride11.xml"/></Relationships>
</file>

<file path=word/charts/_rels/chart72.xml.rels><?xml version="1.0" encoding="UTF-8" standalone="yes"?>
<Relationships xmlns="http://schemas.openxmlformats.org/package/2006/relationships"><Relationship Id="rId2" Type="http://schemas.openxmlformats.org/officeDocument/2006/relationships/oleObject" Target="file:///D:\downloads\3010_prognozy%20NDS_intenzity_v&#253;kony.xls" TargetMode="External"/><Relationship Id="rId1" Type="http://schemas.openxmlformats.org/officeDocument/2006/relationships/themeOverride" Target="../theme/themeOverride12.xml"/></Relationships>
</file>

<file path=word/charts/_rels/chart73.xml.rels><?xml version="1.0" encoding="UTF-8" standalone="yes"?>
<Relationships xmlns="http://schemas.openxmlformats.org/package/2006/relationships"><Relationship Id="rId2" Type="http://schemas.openxmlformats.org/officeDocument/2006/relationships/oleObject" Target="file:///D:\downloads\3010_prognozy%20NDS_intenzity_v&#253;kony.xls" TargetMode="External"/><Relationship Id="rId1" Type="http://schemas.openxmlformats.org/officeDocument/2006/relationships/themeOverride" Target="../theme/themeOverride13.xml"/></Relationships>
</file>

<file path=word/charts/_rels/chart74.xml.rels><?xml version="1.0" encoding="UTF-8" standalone="yes"?>
<Relationships xmlns="http://schemas.openxmlformats.org/package/2006/relationships"><Relationship Id="rId1" Type="http://schemas.openxmlformats.org/officeDocument/2006/relationships/oleObject" Target="file:///C:\Users\janosikova\Downloads\2110_index&#225;cia%20(1).xlsx" TargetMode="External"/></Relationships>
</file>

<file path=word/charts/_rels/chart7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janosikova\Downloads\2110_index&#225;cia%20(1).xlsx" TargetMode="External"/></Relationships>
</file>

<file path=word/charts/_rels/chart76.xml.rels><?xml version="1.0" encoding="UTF-8" standalone="yes"?>
<Relationships xmlns="http://schemas.openxmlformats.org/package/2006/relationships"><Relationship Id="rId2" Type="http://schemas.openxmlformats.org/officeDocument/2006/relationships/oleObject" Target="file:///C:\Users\janosikova\Downloads\3010_26101_Report_SVUC_po_rokoch%20(automaticky%20ulo&#382;en&#233;)%20(2).xlsx" TargetMode="External"/><Relationship Id="rId1" Type="http://schemas.openxmlformats.org/officeDocument/2006/relationships/themeOverride" Target="../theme/themeOverride14.xml"/></Relationships>
</file>

<file path=word/charts/_rels/chart77.xml.rels><?xml version="1.0" encoding="UTF-8" standalone="yes"?>
<Relationships xmlns="http://schemas.openxmlformats.org/package/2006/relationships"><Relationship Id="rId1" Type="http://schemas.openxmlformats.org/officeDocument/2006/relationships/oleObject" Target="file:///C:\Users\janosikova\Desktop\711_3010_26101_Report_SVUC_po_rokoch%20(automaticky%20ulo&#382;en&#233;)%20(2).xlsx" TargetMode="External"/></Relationships>
</file>

<file path=word/charts/_rels/chart78.xml.rels><?xml version="1.0" encoding="UTF-8" standalone="yes"?>
<Relationships xmlns="http://schemas.openxmlformats.org/package/2006/relationships"><Relationship Id="rId1" Type="http://schemas.openxmlformats.org/officeDocument/2006/relationships/oleObject" Target="file:///C:\Users\janosikova\Downloads\0511_kumulacia%20vynosov_harok%20nespopl%20Da%20R_z26101_Report_SVUC_po_rokoch%20(automaticky%20ulo&#382;en&#233;)%20(2).xlsx" TargetMode="External"/></Relationships>
</file>

<file path=word/charts/_rels/chart79.xml.rels><?xml version="1.0" encoding="UTF-8" standalone="yes"?>
<Relationships xmlns="http://schemas.openxmlformats.org/package/2006/relationships"><Relationship Id="rId1" Type="http://schemas.openxmlformats.org/officeDocument/2006/relationships/oleObject" Target="file:///C:\Users\janosikova\Downloads\0511_kumulacia%20vynosov_harok%20nespopl%20Da%20R_z26101_Report_SVUC_po_rokoch%20(automaticky%20ulo&#382;en&#233;)%2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Ročná d</a:t>
            </a:r>
            <a:r>
              <a:rPr lang="en-US" sz="1200">
                <a:solidFill>
                  <a:srgbClr val="C00000"/>
                </a:solidFill>
              </a:rPr>
              <a:t>ĺžka spoplatnenej siete (km)</a:t>
            </a:r>
          </a:p>
        </c:rich>
      </c:tx>
      <c:layout>
        <c:manualLayout>
          <c:xMode val="edge"/>
          <c:yMode val="edge"/>
          <c:x val="1.657783959813692E-3"/>
          <c:y val="0"/>
        </c:manualLayout>
      </c:layout>
      <c:overlay val="0"/>
    </c:title>
    <c:autoTitleDeleted val="0"/>
    <c:plotArea>
      <c:layout>
        <c:manualLayout>
          <c:layoutTarget val="inner"/>
          <c:xMode val="edge"/>
          <c:yMode val="edge"/>
          <c:x val="0.10345109932429331"/>
          <c:y val="0.21313415101257641"/>
          <c:w val="0.80551453595751432"/>
          <c:h val="0.62920845361820144"/>
        </c:manualLayout>
      </c:layout>
      <c:barChart>
        <c:barDir val="col"/>
        <c:grouping val="clustered"/>
        <c:varyColors val="0"/>
        <c:ser>
          <c:idx val="0"/>
          <c:order val="0"/>
          <c:tx>
            <c:strRef>
              <c:f>'zákl. grafy'!$B$3</c:f>
              <c:strCache>
                <c:ptCount val="1"/>
                <c:pt idx="0">
                  <c:v>1.</c:v>
                </c:pt>
              </c:strCache>
            </c:strRef>
          </c:tx>
          <c:invertIfNegative val="0"/>
          <c:cat>
            <c:strRef>
              <c:f>'zákl. grafy'!$A$4:$A$8</c:f>
              <c:strCache>
                <c:ptCount val="5"/>
                <c:pt idx="0">
                  <c:v>SR</c:v>
                </c:pt>
                <c:pt idx="1">
                  <c:v>DE</c:v>
                </c:pt>
                <c:pt idx="2">
                  <c:v>ČR</c:v>
                </c:pt>
                <c:pt idx="3">
                  <c:v>AU</c:v>
                </c:pt>
                <c:pt idx="4">
                  <c:v>PL</c:v>
                </c:pt>
              </c:strCache>
            </c:strRef>
          </c:cat>
          <c:val>
            <c:numRef>
              <c:f>'zákl. grafy'!$B$4:$B$8</c:f>
              <c:numCache>
                <c:formatCode>#,##0</c:formatCode>
                <c:ptCount val="5"/>
                <c:pt idx="0" formatCode="#,##0.00">
                  <c:v>1948.2</c:v>
                </c:pt>
                <c:pt idx="1">
                  <c:v>12211</c:v>
                </c:pt>
                <c:pt idx="2" formatCode="General">
                  <c:v>949.9</c:v>
                </c:pt>
                <c:pt idx="3" formatCode="#,##0.00">
                  <c:v>2034</c:v>
                </c:pt>
                <c:pt idx="4" formatCode="#,##0.00">
                  <c:v>1565</c:v>
                </c:pt>
              </c:numCache>
            </c:numRef>
          </c:val>
          <c:extLst>
            <c:ext xmlns:c16="http://schemas.microsoft.com/office/drawing/2014/chart" uri="{C3380CC4-5D6E-409C-BE32-E72D297353CC}">
              <c16:uniqueId val="{00000000-5D34-4159-A07A-C6F093EFAB80}"/>
            </c:ext>
          </c:extLst>
        </c:ser>
        <c:ser>
          <c:idx val="1"/>
          <c:order val="1"/>
          <c:tx>
            <c:strRef>
              <c:f>'zákl. grafy'!$C$3</c:f>
              <c:strCache>
                <c:ptCount val="1"/>
                <c:pt idx="0">
                  <c:v>2.</c:v>
                </c:pt>
              </c:strCache>
            </c:strRef>
          </c:tx>
          <c:invertIfNegative val="0"/>
          <c:cat>
            <c:strRef>
              <c:f>'zákl. grafy'!$A$4:$A$8</c:f>
              <c:strCache>
                <c:ptCount val="5"/>
                <c:pt idx="0">
                  <c:v>SR</c:v>
                </c:pt>
                <c:pt idx="1">
                  <c:v>DE</c:v>
                </c:pt>
                <c:pt idx="2">
                  <c:v>ČR</c:v>
                </c:pt>
                <c:pt idx="3">
                  <c:v>AU</c:v>
                </c:pt>
                <c:pt idx="4">
                  <c:v>PL</c:v>
                </c:pt>
              </c:strCache>
            </c:strRef>
          </c:cat>
          <c:val>
            <c:numRef>
              <c:f>'zákl. grafy'!$C$4:$C$8</c:f>
              <c:numCache>
                <c:formatCode>#,##0</c:formatCode>
                <c:ptCount val="5"/>
                <c:pt idx="0" formatCode="#,##0.00">
                  <c:v>1999.1299999999999</c:v>
                </c:pt>
                <c:pt idx="1">
                  <c:v>12363</c:v>
                </c:pt>
                <c:pt idx="2" formatCode="#,##0.00">
                  <c:v>1170.9000000000001</c:v>
                </c:pt>
                <c:pt idx="3" formatCode="#,##0.00">
                  <c:v>2035</c:v>
                </c:pt>
                <c:pt idx="4" formatCode="#,##0.00">
                  <c:v>1890</c:v>
                </c:pt>
              </c:numCache>
            </c:numRef>
          </c:val>
          <c:extLst>
            <c:ext xmlns:c16="http://schemas.microsoft.com/office/drawing/2014/chart" uri="{C3380CC4-5D6E-409C-BE32-E72D297353CC}">
              <c16:uniqueId val="{00000001-5D34-4159-A07A-C6F093EFAB80}"/>
            </c:ext>
          </c:extLst>
        </c:ser>
        <c:ser>
          <c:idx val="2"/>
          <c:order val="2"/>
          <c:tx>
            <c:strRef>
              <c:f>'zákl. grafy'!$D$3</c:f>
              <c:strCache>
                <c:ptCount val="1"/>
                <c:pt idx="0">
                  <c:v>3.</c:v>
                </c:pt>
              </c:strCache>
            </c:strRef>
          </c:tx>
          <c:invertIfNegative val="0"/>
          <c:cat>
            <c:strRef>
              <c:f>'zákl. grafy'!$A$4:$A$8</c:f>
              <c:strCache>
                <c:ptCount val="5"/>
                <c:pt idx="0">
                  <c:v>SR</c:v>
                </c:pt>
                <c:pt idx="1">
                  <c:v>DE</c:v>
                </c:pt>
                <c:pt idx="2">
                  <c:v>ČR</c:v>
                </c:pt>
                <c:pt idx="3">
                  <c:v>AU</c:v>
                </c:pt>
                <c:pt idx="4">
                  <c:v>PL</c:v>
                </c:pt>
              </c:strCache>
            </c:strRef>
          </c:cat>
          <c:val>
            <c:numRef>
              <c:f>'zákl. grafy'!$D$4:$D$8</c:f>
              <c:numCache>
                <c:formatCode>#,##0</c:formatCode>
                <c:ptCount val="5"/>
                <c:pt idx="0" formatCode="#,##0.00">
                  <c:v>2032.91</c:v>
                </c:pt>
                <c:pt idx="1">
                  <c:v>12531</c:v>
                </c:pt>
                <c:pt idx="2" formatCode="#,##0.00">
                  <c:v>1261.5</c:v>
                </c:pt>
                <c:pt idx="3" formatCode="#,##0.00">
                  <c:v>2061.8000000000002</c:v>
                </c:pt>
                <c:pt idx="4" formatCode="#,##0.00">
                  <c:v>2653</c:v>
                </c:pt>
              </c:numCache>
            </c:numRef>
          </c:val>
          <c:extLst>
            <c:ext xmlns:c16="http://schemas.microsoft.com/office/drawing/2014/chart" uri="{C3380CC4-5D6E-409C-BE32-E72D297353CC}">
              <c16:uniqueId val="{00000002-5D34-4159-A07A-C6F093EFAB80}"/>
            </c:ext>
          </c:extLst>
        </c:ser>
        <c:ser>
          <c:idx val="3"/>
          <c:order val="3"/>
          <c:tx>
            <c:strRef>
              <c:f>'zákl. grafy'!$E$3</c:f>
              <c:strCache>
                <c:ptCount val="1"/>
                <c:pt idx="0">
                  <c:v>4.</c:v>
                </c:pt>
              </c:strCache>
            </c:strRef>
          </c:tx>
          <c:invertIfNegative val="0"/>
          <c:cat>
            <c:strRef>
              <c:f>'zákl. grafy'!$A$4:$A$8</c:f>
              <c:strCache>
                <c:ptCount val="5"/>
                <c:pt idx="0">
                  <c:v>SR</c:v>
                </c:pt>
                <c:pt idx="1">
                  <c:v>DE</c:v>
                </c:pt>
                <c:pt idx="2">
                  <c:v>ČR</c:v>
                </c:pt>
                <c:pt idx="3">
                  <c:v>AU</c:v>
                </c:pt>
                <c:pt idx="4">
                  <c:v>PL</c:v>
                </c:pt>
              </c:strCache>
            </c:strRef>
          </c:cat>
          <c:val>
            <c:numRef>
              <c:f>'zákl. grafy'!$E$4:$E$8</c:f>
              <c:numCache>
                <c:formatCode>#,##0</c:formatCode>
                <c:ptCount val="5"/>
                <c:pt idx="0" formatCode="#,##0.00">
                  <c:v>2056.17</c:v>
                </c:pt>
                <c:pt idx="1">
                  <c:v>12678</c:v>
                </c:pt>
                <c:pt idx="2" formatCode="#,##0.00">
                  <c:v>1377.6</c:v>
                </c:pt>
                <c:pt idx="3" formatCode="#,##0.00">
                  <c:v>2103.6999999999998</c:v>
                </c:pt>
                <c:pt idx="4" formatCode="#,##0.00">
                  <c:v>2917</c:v>
                </c:pt>
              </c:numCache>
            </c:numRef>
          </c:val>
          <c:extLst>
            <c:ext xmlns:c16="http://schemas.microsoft.com/office/drawing/2014/chart" uri="{C3380CC4-5D6E-409C-BE32-E72D297353CC}">
              <c16:uniqueId val="{00000003-5D34-4159-A07A-C6F093EFAB80}"/>
            </c:ext>
          </c:extLst>
        </c:ser>
        <c:ser>
          <c:idx val="4"/>
          <c:order val="4"/>
          <c:tx>
            <c:strRef>
              <c:f>'zákl. grafy'!$F$3</c:f>
              <c:strCache>
                <c:ptCount val="1"/>
                <c:pt idx="0">
                  <c:v>5.</c:v>
                </c:pt>
              </c:strCache>
            </c:strRef>
          </c:tx>
          <c:invertIfNegative val="0"/>
          <c:cat>
            <c:strRef>
              <c:f>'zákl. grafy'!$A$4:$A$8</c:f>
              <c:strCache>
                <c:ptCount val="5"/>
                <c:pt idx="0">
                  <c:v>SR</c:v>
                </c:pt>
                <c:pt idx="1">
                  <c:v>DE</c:v>
                </c:pt>
                <c:pt idx="2">
                  <c:v>ČR</c:v>
                </c:pt>
                <c:pt idx="3">
                  <c:v>AU</c:v>
                </c:pt>
                <c:pt idx="4">
                  <c:v>PL</c:v>
                </c:pt>
              </c:strCache>
            </c:strRef>
          </c:cat>
          <c:val>
            <c:numRef>
              <c:f>'zákl. grafy'!$F$4:$F$8</c:f>
              <c:numCache>
                <c:formatCode>#,##0</c:formatCode>
                <c:ptCount val="5"/>
                <c:pt idx="0" formatCode="#,##0.00">
                  <c:v>2269.46</c:v>
                </c:pt>
                <c:pt idx="1">
                  <c:v>12775</c:v>
                </c:pt>
                <c:pt idx="2" formatCode="#,##0.00">
                  <c:v>1389.2</c:v>
                </c:pt>
                <c:pt idx="3" formatCode="#,##0.00">
                  <c:v>2103.6999999999998</c:v>
                </c:pt>
                <c:pt idx="4" formatCode="#,##0.00">
                  <c:v>3168</c:v>
                </c:pt>
              </c:numCache>
            </c:numRef>
          </c:val>
          <c:extLst>
            <c:ext xmlns:c16="http://schemas.microsoft.com/office/drawing/2014/chart" uri="{C3380CC4-5D6E-409C-BE32-E72D297353CC}">
              <c16:uniqueId val="{00000004-5D34-4159-A07A-C6F093EFAB80}"/>
            </c:ext>
          </c:extLst>
        </c:ser>
        <c:ser>
          <c:idx val="5"/>
          <c:order val="5"/>
          <c:tx>
            <c:strRef>
              <c:f>'zákl. grafy'!$G$3</c:f>
              <c:strCache>
                <c:ptCount val="1"/>
                <c:pt idx="0">
                  <c:v>6.</c:v>
                </c:pt>
              </c:strCache>
            </c:strRef>
          </c:tx>
          <c:invertIfNegative val="0"/>
          <c:cat>
            <c:strRef>
              <c:f>'zákl. grafy'!$A$4:$A$8</c:f>
              <c:strCache>
                <c:ptCount val="5"/>
                <c:pt idx="0">
                  <c:v>SR</c:v>
                </c:pt>
                <c:pt idx="1">
                  <c:v>DE</c:v>
                </c:pt>
                <c:pt idx="2">
                  <c:v>ČR</c:v>
                </c:pt>
                <c:pt idx="3">
                  <c:v>AU</c:v>
                </c:pt>
                <c:pt idx="4">
                  <c:v>PL</c:v>
                </c:pt>
              </c:strCache>
            </c:strRef>
          </c:cat>
          <c:val>
            <c:numRef>
              <c:f>'zákl. grafy'!$G$4:$G$8</c:f>
              <c:numCache>
                <c:formatCode>#,##0</c:formatCode>
                <c:ptCount val="5"/>
                <c:pt idx="0" formatCode="#,##0.00">
                  <c:v>2327.08</c:v>
                </c:pt>
                <c:pt idx="1">
                  <c:v>12788</c:v>
                </c:pt>
                <c:pt idx="2" formatCode="#,##0.00">
                  <c:v>1400.9</c:v>
                </c:pt>
                <c:pt idx="3" formatCode="#,##0.00">
                  <c:v>2135.6</c:v>
                </c:pt>
                <c:pt idx="4" formatCode="#,##0.00">
                  <c:v>3318</c:v>
                </c:pt>
              </c:numCache>
            </c:numRef>
          </c:val>
          <c:extLst>
            <c:ext xmlns:c16="http://schemas.microsoft.com/office/drawing/2014/chart" uri="{C3380CC4-5D6E-409C-BE32-E72D297353CC}">
              <c16:uniqueId val="{00000005-5D34-4159-A07A-C6F093EFAB80}"/>
            </c:ext>
          </c:extLst>
        </c:ser>
        <c:ser>
          <c:idx val="6"/>
          <c:order val="6"/>
          <c:tx>
            <c:strRef>
              <c:f>'zákl. grafy'!$H$3</c:f>
              <c:strCache>
                <c:ptCount val="1"/>
                <c:pt idx="0">
                  <c:v>7.</c:v>
                </c:pt>
              </c:strCache>
            </c:strRef>
          </c:tx>
          <c:invertIfNegative val="0"/>
          <c:cat>
            <c:strRef>
              <c:f>'zákl. grafy'!$A$4:$A$8</c:f>
              <c:strCache>
                <c:ptCount val="5"/>
                <c:pt idx="0">
                  <c:v>SR</c:v>
                </c:pt>
                <c:pt idx="1">
                  <c:v>DE</c:v>
                </c:pt>
                <c:pt idx="2">
                  <c:v>ČR</c:v>
                </c:pt>
                <c:pt idx="3">
                  <c:v>AU</c:v>
                </c:pt>
                <c:pt idx="4">
                  <c:v>PL</c:v>
                </c:pt>
              </c:strCache>
            </c:strRef>
          </c:cat>
          <c:val>
            <c:numRef>
              <c:f>'zákl. grafy'!$H$4:$H$8</c:f>
              <c:numCache>
                <c:formatCode>#,##0</c:formatCode>
                <c:ptCount val="5"/>
                <c:pt idx="0" formatCode="#,##0.00">
                  <c:v>2345.09</c:v>
                </c:pt>
                <c:pt idx="1">
                  <c:v>12812</c:v>
                </c:pt>
                <c:pt idx="2" formatCode="#,##0.00">
                  <c:v>1446.2</c:v>
                </c:pt>
                <c:pt idx="3" formatCode="#,##0.00">
                  <c:v>2175.6999999999998</c:v>
                </c:pt>
                <c:pt idx="4" formatCode="#,##0.00">
                  <c:v>3678</c:v>
                </c:pt>
              </c:numCache>
            </c:numRef>
          </c:val>
          <c:extLst>
            <c:ext xmlns:c16="http://schemas.microsoft.com/office/drawing/2014/chart" uri="{C3380CC4-5D6E-409C-BE32-E72D297353CC}">
              <c16:uniqueId val="{00000006-5D34-4159-A07A-C6F093EFAB80}"/>
            </c:ext>
          </c:extLst>
        </c:ser>
        <c:ser>
          <c:idx val="7"/>
          <c:order val="7"/>
          <c:tx>
            <c:strRef>
              <c:f>'zákl. grafy'!$I$3</c:f>
              <c:strCache>
                <c:ptCount val="1"/>
                <c:pt idx="0">
                  <c:v>8.</c:v>
                </c:pt>
              </c:strCache>
            </c:strRef>
          </c:tx>
          <c:invertIfNegative val="0"/>
          <c:cat>
            <c:strRef>
              <c:f>'zákl. grafy'!$A$4:$A$8</c:f>
              <c:strCache>
                <c:ptCount val="5"/>
                <c:pt idx="0">
                  <c:v>SR</c:v>
                </c:pt>
                <c:pt idx="1">
                  <c:v>DE</c:v>
                </c:pt>
                <c:pt idx="2">
                  <c:v>ČR</c:v>
                </c:pt>
                <c:pt idx="3">
                  <c:v>AU</c:v>
                </c:pt>
                <c:pt idx="4">
                  <c:v>PL</c:v>
                </c:pt>
              </c:strCache>
            </c:strRef>
          </c:cat>
          <c:val>
            <c:numRef>
              <c:f>'zákl. grafy'!$I$4:$I$8</c:f>
              <c:numCache>
                <c:formatCode>#,##0</c:formatCode>
                <c:ptCount val="5"/>
                <c:pt idx="0" formatCode="#,##0.00">
                  <c:v>2365.9499999999998</c:v>
                </c:pt>
                <c:pt idx="1">
                  <c:v>13999</c:v>
                </c:pt>
                <c:pt idx="2" formatCode="#,##0.00">
                  <c:v>1446.2</c:v>
                </c:pt>
                <c:pt idx="3" formatCode="#,##0.00">
                  <c:v>2175.6999999999998</c:v>
                </c:pt>
                <c:pt idx="4" formatCode="#,##0.00">
                  <c:v>3731</c:v>
                </c:pt>
              </c:numCache>
            </c:numRef>
          </c:val>
          <c:extLst>
            <c:ext xmlns:c16="http://schemas.microsoft.com/office/drawing/2014/chart" uri="{C3380CC4-5D6E-409C-BE32-E72D297353CC}">
              <c16:uniqueId val="{00000007-5D34-4159-A07A-C6F093EFAB80}"/>
            </c:ext>
          </c:extLst>
        </c:ser>
        <c:ser>
          <c:idx val="8"/>
          <c:order val="8"/>
          <c:tx>
            <c:strRef>
              <c:f>'zákl. grafy'!$J$3</c:f>
              <c:strCache>
                <c:ptCount val="1"/>
                <c:pt idx="0">
                  <c:v>9.</c:v>
                </c:pt>
              </c:strCache>
            </c:strRef>
          </c:tx>
          <c:invertIfNegative val="0"/>
          <c:cat>
            <c:strRef>
              <c:f>'zákl. grafy'!$A$4:$A$8</c:f>
              <c:strCache>
                <c:ptCount val="5"/>
                <c:pt idx="0">
                  <c:v>SR</c:v>
                </c:pt>
                <c:pt idx="1">
                  <c:v>DE</c:v>
                </c:pt>
                <c:pt idx="2">
                  <c:v>ČR</c:v>
                </c:pt>
                <c:pt idx="3">
                  <c:v>AU</c:v>
                </c:pt>
                <c:pt idx="4">
                  <c:v>PL</c:v>
                </c:pt>
              </c:strCache>
            </c:strRef>
          </c:cat>
          <c:val>
            <c:numRef>
              <c:f>'zákl. grafy'!$J$4:$J$8</c:f>
              <c:numCache>
                <c:formatCode>#,##0</c:formatCode>
                <c:ptCount val="5"/>
                <c:pt idx="0" formatCode="#,##0.00">
                  <c:v>2365.9499999999998</c:v>
                </c:pt>
                <c:pt idx="1">
                  <c:v>14064</c:v>
                </c:pt>
                <c:pt idx="2" formatCode="#,##0.00">
                  <c:v>1446.2</c:v>
                </c:pt>
                <c:pt idx="3" formatCode="#,##0.00">
                  <c:v>2177.4</c:v>
                </c:pt>
              </c:numCache>
            </c:numRef>
          </c:val>
          <c:extLst>
            <c:ext xmlns:c16="http://schemas.microsoft.com/office/drawing/2014/chart" uri="{C3380CC4-5D6E-409C-BE32-E72D297353CC}">
              <c16:uniqueId val="{00000008-5D34-4159-A07A-C6F093EFAB80}"/>
            </c:ext>
          </c:extLst>
        </c:ser>
        <c:dLbls>
          <c:showLegendKey val="0"/>
          <c:showVal val="0"/>
          <c:showCatName val="0"/>
          <c:showSerName val="0"/>
          <c:showPercent val="0"/>
          <c:showBubbleSize val="0"/>
        </c:dLbls>
        <c:gapWidth val="150"/>
        <c:axId val="420079488"/>
        <c:axId val="450603648"/>
      </c:barChart>
      <c:catAx>
        <c:axId val="420079488"/>
        <c:scaling>
          <c:orientation val="minMax"/>
        </c:scaling>
        <c:delete val="0"/>
        <c:axPos val="b"/>
        <c:numFmt formatCode="General" sourceLinked="0"/>
        <c:majorTickMark val="out"/>
        <c:minorTickMark val="none"/>
        <c:tickLblPos val="nextTo"/>
        <c:crossAx val="450603648"/>
        <c:crosses val="autoZero"/>
        <c:auto val="1"/>
        <c:lblAlgn val="ctr"/>
        <c:lblOffset val="100"/>
        <c:noMultiLvlLbl val="0"/>
      </c:catAx>
      <c:valAx>
        <c:axId val="450603648"/>
        <c:scaling>
          <c:orientation val="minMax"/>
        </c:scaling>
        <c:delete val="0"/>
        <c:axPos val="l"/>
        <c:majorGridlines/>
        <c:numFmt formatCode="#,##0" sourceLinked="0"/>
        <c:majorTickMark val="out"/>
        <c:minorTickMark val="none"/>
        <c:tickLblPos val="nextTo"/>
        <c:crossAx val="420079488"/>
        <c:crosses val="autoZero"/>
        <c:crossBetween val="between"/>
      </c:valAx>
    </c:plotArea>
    <c:legend>
      <c:legendPos val="r"/>
      <c:layout>
        <c:manualLayout>
          <c:xMode val="edge"/>
          <c:yMode val="edge"/>
          <c:x val="0.93034903077643971"/>
          <c:y val="0.17193281577106317"/>
          <c:w val="4.8270600109386844E-2"/>
          <c:h val="0.7098365339037257"/>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Priemerná  ročná dĺžka</a:t>
            </a:r>
            <a:r>
              <a:rPr lang="sk-SK" sz="1200" baseline="0">
                <a:solidFill>
                  <a:srgbClr val="C00000"/>
                </a:solidFill>
              </a:rPr>
              <a:t> spoplatnenej siete (km)</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61"/>
          <c:w val="0.80386037459418214"/>
          <c:h val="0.55013985633763673"/>
        </c:manualLayout>
      </c:layout>
      <c:barChart>
        <c:barDir val="col"/>
        <c:grouping val="clustered"/>
        <c:varyColors val="0"/>
        <c:ser>
          <c:idx val="0"/>
          <c:order val="0"/>
          <c:tx>
            <c:strRef>
              <c:f>'[0610_1509_ final efektivnosť.xlsx]List1'!$AB$34</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AAB9-4F9B-8F0A-428D7458DE2C}"/>
              </c:ext>
            </c:extLst>
          </c:dPt>
          <c:dPt>
            <c:idx val="1"/>
            <c:invertIfNegative val="0"/>
            <c:bubble3D val="0"/>
            <c:spPr>
              <a:solidFill>
                <a:srgbClr val="FFC000"/>
              </a:solidFill>
            </c:spPr>
            <c:extLst>
              <c:ext xmlns:c16="http://schemas.microsoft.com/office/drawing/2014/chart" uri="{C3380CC4-5D6E-409C-BE32-E72D297353CC}">
                <c16:uniqueId val="{00000003-AAB9-4F9B-8F0A-428D7458DE2C}"/>
              </c:ext>
            </c:extLst>
          </c:dPt>
          <c:dPt>
            <c:idx val="2"/>
            <c:invertIfNegative val="0"/>
            <c:bubble3D val="0"/>
            <c:spPr>
              <a:solidFill>
                <a:schemeClr val="tx2"/>
              </a:solidFill>
            </c:spPr>
            <c:extLst>
              <c:ext xmlns:c16="http://schemas.microsoft.com/office/drawing/2014/chart" uri="{C3380CC4-5D6E-409C-BE32-E72D297353CC}">
                <c16:uniqueId val="{00000005-AAB9-4F9B-8F0A-428D7458DE2C}"/>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AAB9-4F9B-8F0A-428D7458DE2C}"/>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AAB9-4F9B-8F0A-428D7458DE2C}"/>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efektivnosť.xlsx]List1'!$AC$31:$AG$31</c:f>
              <c:strCache>
                <c:ptCount val="5"/>
                <c:pt idx="0">
                  <c:v>SR</c:v>
                </c:pt>
                <c:pt idx="1">
                  <c:v>DE</c:v>
                </c:pt>
                <c:pt idx="2">
                  <c:v>ČR</c:v>
                </c:pt>
                <c:pt idx="3">
                  <c:v>AT</c:v>
                </c:pt>
                <c:pt idx="4">
                  <c:v>PL</c:v>
                </c:pt>
              </c:strCache>
            </c:strRef>
          </c:cat>
          <c:val>
            <c:numRef>
              <c:f>'[0610_1509_ final efektivnosť.xlsx]List1'!$AC$34:$AG$34</c:f>
              <c:numCache>
                <c:formatCode>#,##0</c:formatCode>
                <c:ptCount val="5"/>
                <c:pt idx="0">
                  <c:v>2189.9933333333429</c:v>
                </c:pt>
                <c:pt idx="1">
                  <c:v>12913.444444444454</c:v>
                </c:pt>
                <c:pt idx="2">
                  <c:v>1320.955555555558</c:v>
                </c:pt>
                <c:pt idx="3">
                  <c:v>2111.4</c:v>
                </c:pt>
                <c:pt idx="4">
                  <c:v>2865</c:v>
                </c:pt>
              </c:numCache>
            </c:numRef>
          </c:val>
          <c:extLst>
            <c:ext xmlns:c16="http://schemas.microsoft.com/office/drawing/2014/chart" uri="{C3380CC4-5D6E-409C-BE32-E72D297353CC}">
              <c16:uniqueId val="{0000000A-AAB9-4F9B-8F0A-428D7458DE2C}"/>
            </c:ext>
          </c:extLst>
        </c:ser>
        <c:dLbls>
          <c:showLegendKey val="0"/>
          <c:showVal val="0"/>
          <c:showCatName val="0"/>
          <c:showSerName val="0"/>
          <c:showPercent val="0"/>
          <c:showBubbleSize val="0"/>
        </c:dLbls>
        <c:gapWidth val="150"/>
        <c:axId val="506964992"/>
        <c:axId val="507613952"/>
      </c:barChart>
      <c:catAx>
        <c:axId val="506964992"/>
        <c:scaling>
          <c:orientation val="minMax"/>
        </c:scaling>
        <c:delete val="0"/>
        <c:axPos val="b"/>
        <c:numFmt formatCode="General" sourceLinked="1"/>
        <c:majorTickMark val="out"/>
        <c:minorTickMark val="none"/>
        <c:tickLblPos val="nextTo"/>
        <c:crossAx val="507613952"/>
        <c:crosses val="autoZero"/>
        <c:auto val="1"/>
        <c:lblAlgn val="ctr"/>
        <c:lblOffset val="100"/>
        <c:noMultiLvlLbl val="0"/>
      </c:catAx>
      <c:valAx>
        <c:axId val="507613952"/>
        <c:scaling>
          <c:orientation val="minMax"/>
        </c:scaling>
        <c:delete val="0"/>
        <c:axPos val="l"/>
        <c:numFmt formatCode="#,##0" sourceLinked="1"/>
        <c:majorTickMark val="out"/>
        <c:minorTickMark val="none"/>
        <c:tickLblPos val="nextTo"/>
        <c:crossAx val="506964992"/>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5"/>
          <c:w val="0.80386037459418191"/>
          <c:h val="0.55013985633763673"/>
        </c:manualLayout>
      </c:layout>
      <c:barChart>
        <c:barDir val="col"/>
        <c:grouping val="clustered"/>
        <c:varyColors val="0"/>
        <c:ser>
          <c:idx val="0"/>
          <c:order val="0"/>
          <c:tx>
            <c:strRef>
              <c:f>'[0610_1509_ final efektivnosť.xlsx]List1'!$AB$32</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0310-466D-9E03-CC738B09426E}"/>
              </c:ext>
            </c:extLst>
          </c:dPt>
          <c:dPt>
            <c:idx val="1"/>
            <c:invertIfNegative val="0"/>
            <c:bubble3D val="0"/>
            <c:spPr>
              <a:solidFill>
                <a:srgbClr val="FFC000"/>
              </a:solidFill>
            </c:spPr>
            <c:extLst>
              <c:ext xmlns:c16="http://schemas.microsoft.com/office/drawing/2014/chart" uri="{C3380CC4-5D6E-409C-BE32-E72D297353CC}">
                <c16:uniqueId val="{00000003-0310-466D-9E03-CC738B09426E}"/>
              </c:ext>
            </c:extLst>
          </c:dPt>
          <c:dPt>
            <c:idx val="2"/>
            <c:invertIfNegative val="0"/>
            <c:bubble3D val="0"/>
            <c:spPr>
              <a:solidFill>
                <a:schemeClr val="tx2"/>
              </a:solidFill>
            </c:spPr>
            <c:extLst>
              <c:ext xmlns:c16="http://schemas.microsoft.com/office/drawing/2014/chart" uri="{C3380CC4-5D6E-409C-BE32-E72D297353CC}">
                <c16:uniqueId val="{00000005-0310-466D-9E03-CC738B09426E}"/>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0310-466D-9E03-CC738B09426E}"/>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0310-466D-9E03-CC738B09426E}"/>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efektivnosť.xlsx]List1'!$AC$31:$AG$31</c:f>
              <c:strCache>
                <c:ptCount val="5"/>
                <c:pt idx="0">
                  <c:v>SR</c:v>
                </c:pt>
                <c:pt idx="1">
                  <c:v>DE</c:v>
                </c:pt>
                <c:pt idx="2">
                  <c:v>ČR</c:v>
                </c:pt>
                <c:pt idx="3">
                  <c:v>AT</c:v>
                </c:pt>
                <c:pt idx="4">
                  <c:v>PL</c:v>
                </c:pt>
              </c:strCache>
            </c:strRef>
          </c:cat>
          <c:val>
            <c:numRef>
              <c:f>'[0610_1509_ final efektivnosť.xlsx]List1'!$AC$32:$AG$32</c:f>
              <c:numCache>
                <c:formatCode>#,##0</c:formatCode>
                <c:ptCount val="5"/>
                <c:pt idx="0">
                  <c:v>2061.174</c:v>
                </c:pt>
                <c:pt idx="1">
                  <c:v>12511.6</c:v>
                </c:pt>
                <c:pt idx="2">
                  <c:v>1229.82</c:v>
                </c:pt>
                <c:pt idx="3">
                  <c:v>2067.6400000000003</c:v>
                </c:pt>
                <c:pt idx="4">
                  <c:v>2438.6</c:v>
                </c:pt>
              </c:numCache>
            </c:numRef>
          </c:val>
          <c:extLst>
            <c:ext xmlns:c16="http://schemas.microsoft.com/office/drawing/2014/chart" uri="{C3380CC4-5D6E-409C-BE32-E72D297353CC}">
              <c16:uniqueId val="{0000000A-0310-466D-9E03-CC738B09426E}"/>
            </c:ext>
          </c:extLst>
        </c:ser>
        <c:dLbls>
          <c:showLegendKey val="0"/>
          <c:showVal val="0"/>
          <c:showCatName val="0"/>
          <c:showSerName val="0"/>
          <c:showPercent val="0"/>
          <c:showBubbleSize val="0"/>
        </c:dLbls>
        <c:gapWidth val="150"/>
        <c:axId val="508889344"/>
        <c:axId val="509002112"/>
      </c:barChart>
      <c:catAx>
        <c:axId val="508889344"/>
        <c:scaling>
          <c:orientation val="minMax"/>
        </c:scaling>
        <c:delete val="0"/>
        <c:axPos val="b"/>
        <c:numFmt formatCode="General" sourceLinked="1"/>
        <c:majorTickMark val="out"/>
        <c:minorTickMark val="none"/>
        <c:tickLblPos val="nextTo"/>
        <c:crossAx val="509002112"/>
        <c:crosses val="autoZero"/>
        <c:auto val="1"/>
        <c:lblAlgn val="ctr"/>
        <c:lblOffset val="100"/>
        <c:noMultiLvlLbl val="0"/>
      </c:catAx>
      <c:valAx>
        <c:axId val="509002112"/>
        <c:scaling>
          <c:orientation val="minMax"/>
        </c:scaling>
        <c:delete val="0"/>
        <c:axPos val="l"/>
        <c:numFmt formatCode="#,##0" sourceLinked="1"/>
        <c:majorTickMark val="out"/>
        <c:minorTickMark val="none"/>
        <c:tickLblPos val="nextTo"/>
        <c:crossAx val="508889344"/>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5"/>
          <c:w val="0.80386037459418191"/>
          <c:h val="0.55013985633763673"/>
        </c:manualLayout>
      </c:layout>
      <c:barChart>
        <c:barDir val="col"/>
        <c:grouping val="clustered"/>
        <c:varyColors val="0"/>
        <c:ser>
          <c:idx val="0"/>
          <c:order val="0"/>
          <c:tx>
            <c:strRef>
              <c:f>'[0610_1509_ final efektivnosť.xlsx]List1'!$AB$33</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A9C3-47E1-9B6F-F249A3C0A50D}"/>
              </c:ext>
            </c:extLst>
          </c:dPt>
          <c:dPt>
            <c:idx val="1"/>
            <c:invertIfNegative val="0"/>
            <c:bubble3D val="0"/>
            <c:spPr>
              <a:solidFill>
                <a:srgbClr val="FFC000"/>
              </a:solidFill>
            </c:spPr>
            <c:extLst>
              <c:ext xmlns:c16="http://schemas.microsoft.com/office/drawing/2014/chart" uri="{C3380CC4-5D6E-409C-BE32-E72D297353CC}">
                <c16:uniqueId val="{00000003-A9C3-47E1-9B6F-F249A3C0A50D}"/>
              </c:ext>
            </c:extLst>
          </c:dPt>
          <c:dPt>
            <c:idx val="2"/>
            <c:invertIfNegative val="0"/>
            <c:bubble3D val="0"/>
            <c:spPr>
              <a:solidFill>
                <a:schemeClr val="tx2"/>
              </a:solidFill>
            </c:spPr>
            <c:extLst>
              <c:ext xmlns:c16="http://schemas.microsoft.com/office/drawing/2014/chart" uri="{C3380CC4-5D6E-409C-BE32-E72D297353CC}">
                <c16:uniqueId val="{00000005-A9C3-47E1-9B6F-F249A3C0A50D}"/>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A9C3-47E1-9B6F-F249A3C0A50D}"/>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A9C3-47E1-9B6F-F249A3C0A50D}"/>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efektivnosť.xlsx]List1'!$AC$31:$AG$31</c:f>
              <c:strCache>
                <c:ptCount val="5"/>
                <c:pt idx="0">
                  <c:v>SR</c:v>
                </c:pt>
                <c:pt idx="1">
                  <c:v>DE</c:v>
                </c:pt>
                <c:pt idx="2">
                  <c:v>ČR</c:v>
                </c:pt>
                <c:pt idx="3">
                  <c:v>AT</c:v>
                </c:pt>
                <c:pt idx="4">
                  <c:v>PL</c:v>
                </c:pt>
              </c:strCache>
            </c:strRef>
          </c:cat>
          <c:val>
            <c:numRef>
              <c:f>'[0610_1509_ final efektivnosť.xlsx]List1'!$AC$33:$AG$33</c:f>
              <c:numCache>
                <c:formatCode>#,##0</c:formatCode>
                <c:ptCount val="5"/>
                <c:pt idx="0">
                  <c:v>2334.7059999999997</c:v>
                </c:pt>
                <c:pt idx="1">
                  <c:v>13287.6</c:v>
                </c:pt>
                <c:pt idx="2">
                  <c:v>1425.74</c:v>
                </c:pt>
                <c:pt idx="3">
                  <c:v>2153.62</c:v>
                </c:pt>
                <c:pt idx="4">
                  <c:v>3473.75</c:v>
                </c:pt>
              </c:numCache>
            </c:numRef>
          </c:val>
          <c:extLst>
            <c:ext xmlns:c16="http://schemas.microsoft.com/office/drawing/2014/chart" uri="{C3380CC4-5D6E-409C-BE32-E72D297353CC}">
              <c16:uniqueId val="{0000000A-A9C3-47E1-9B6F-F249A3C0A50D}"/>
            </c:ext>
          </c:extLst>
        </c:ser>
        <c:dLbls>
          <c:showLegendKey val="0"/>
          <c:showVal val="0"/>
          <c:showCatName val="0"/>
          <c:showSerName val="0"/>
          <c:showPercent val="0"/>
          <c:showBubbleSize val="0"/>
        </c:dLbls>
        <c:gapWidth val="150"/>
        <c:axId val="511018112"/>
        <c:axId val="511040512"/>
      </c:barChart>
      <c:catAx>
        <c:axId val="511018112"/>
        <c:scaling>
          <c:orientation val="minMax"/>
        </c:scaling>
        <c:delete val="0"/>
        <c:axPos val="b"/>
        <c:numFmt formatCode="General" sourceLinked="1"/>
        <c:majorTickMark val="out"/>
        <c:minorTickMark val="none"/>
        <c:tickLblPos val="nextTo"/>
        <c:crossAx val="511040512"/>
        <c:crosses val="autoZero"/>
        <c:auto val="1"/>
        <c:lblAlgn val="ctr"/>
        <c:lblOffset val="100"/>
        <c:noMultiLvlLbl val="0"/>
      </c:catAx>
      <c:valAx>
        <c:axId val="511040512"/>
        <c:scaling>
          <c:orientation val="minMax"/>
        </c:scaling>
        <c:delete val="0"/>
        <c:axPos val="l"/>
        <c:numFmt formatCode="#,##0" sourceLinked="1"/>
        <c:majorTickMark val="out"/>
        <c:minorTickMark val="none"/>
        <c:tickLblPos val="nextTo"/>
        <c:crossAx val="511018112"/>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rtl="0">
              <a:defRPr lang="en-US" sz="1800" b="1" i="0" u="none" strike="noStrike" kern="1200" baseline="0">
                <a:solidFill>
                  <a:sysClr val="windowText" lastClr="000000"/>
                </a:solidFill>
                <a:latin typeface="+mn-lt"/>
                <a:ea typeface="+mn-ea"/>
                <a:cs typeface="+mn-cs"/>
              </a:defRPr>
            </a:pPr>
            <a:r>
              <a:rPr lang="en-US" sz="1200" b="1" i="0" u="none" strike="noStrike" kern="1200" baseline="0">
                <a:solidFill>
                  <a:srgbClr val="C00000"/>
                </a:solidFill>
                <a:latin typeface="+mn-lt"/>
                <a:ea typeface="+mn-ea"/>
                <a:cs typeface="+mn-cs"/>
              </a:rPr>
              <a:t>Priemerná denná intenzita jednotkového kilometra (voz.)</a:t>
            </a:r>
          </a:p>
        </c:rich>
      </c:tx>
      <c:layout>
        <c:manualLayout>
          <c:xMode val="edge"/>
          <c:yMode val="edge"/>
          <c:x val="7.5028408880410584E-3"/>
          <c:y val="0"/>
        </c:manualLayout>
      </c:layout>
      <c:overlay val="0"/>
    </c:title>
    <c:autoTitleDeleted val="0"/>
    <c:plotArea>
      <c:layout/>
      <c:barChart>
        <c:barDir val="col"/>
        <c:grouping val="clustered"/>
        <c:varyColors val="0"/>
        <c:ser>
          <c:idx val="0"/>
          <c:order val="0"/>
          <c:tx>
            <c:strRef>
              <c:f>List2!$Q$3</c:f>
              <c:strCache>
                <c:ptCount val="1"/>
                <c:pt idx="0">
                  <c:v>1.</c:v>
                </c:pt>
              </c:strCache>
            </c:strRef>
          </c:tx>
          <c:invertIfNegative val="0"/>
          <c:cat>
            <c:strRef>
              <c:f>List2!$A$4:$A$8</c:f>
              <c:strCache>
                <c:ptCount val="5"/>
                <c:pt idx="0">
                  <c:v>SR</c:v>
                </c:pt>
                <c:pt idx="1">
                  <c:v>DE</c:v>
                </c:pt>
                <c:pt idx="2">
                  <c:v>ČR</c:v>
                </c:pt>
                <c:pt idx="3">
                  <c:v>AT</c:v>
                </c:pt>
                <c:pt idx="4">
                  <c:v>PL</c:v>
                </c:pt>
              </c:strCache>
            </c:strRef>
          </c:cat>
          <c:val>
            <c:numRef>
              <c:f>List2!$Q$4:$Q$8</c:f>
              <c:numCache>
                <c:formatCode>#,##0</c:formatCode>
                <c:ptCount val="5"/>
                <c:pt idx="0" formatCode="#,##0.00">
                  <c:v>1300</c:v>
                </c:pt>
                <c:pt idx="1">
                  <c:v>5385</c:v>
                </c:pt>
                <c:pt idx="2" formatCode="General">
                  <c:v>3887</c:v>
                </c:pt>
                <c:pt idx="3">
                  <c:v>3637</c:v>
                </c:pt>
                <c:pt idx="4">
                  <c:v>3992</c:v>
                </c:pt>
              </c:numCache>
            </c:numRef>
          </c:val>
          <c:extLst>
            <c:ext xmlns:c16="http://schemas.microsoft.com/office/drawing/2014/chart" uri="{C3380CC4-5D6E-409C-BE32-E72D297353CC}">
              <c16:uniqueId val="{00000000-2749-4976-9FB3-5C1592DB24FD}"/>
            </c:ext>
          </c:extLst>
        </c:ser>
        <c:ser>
          <c:idx val="1"/>
          <c:order val="1"/>
          <c:tx>
            <c:strRef>
              <c:f>List2!$R$3</c:f>
              <c:strCache>
                <c:ptCount val="1"/>
                <c:pt idx="0">
                  <c:v>2.</c:v>
                </c:pt>
              </c:strCache>
            </c:strRef>
          </c:tx>
          <c:invertIfNegative val="0"/>
          <c:cat>
            <c:strRef>
              <c:f>List2!$A$4:$A$8</c:f>
              <c:strCache>
                <c:ptCount val="5"/>
                <c:pt idx="0">
                  <c:v>SR</c:v>
                </c:pt>
                <c:pt idx="1">
                  <c:v>DE</c:v>
                </c:pt>
                <c:pt idx="2">
                  <c:v>ČR</c:v>
                </c:pt>
                <c:pt idx="3">
                  <c:v>AT</c:v>
                </c:pt>
                <c:pt idx="4">
                  <c:v>PL</c:v>
                </c:pt>
              </c:strCache>
            </c:strRef>
          </c:cat>
          <c:val>
            <c:numRef>
              <c:f>List2!$R$4:$R$8</c:f>
              <c:numCache>
                <c:formatCode>#,##0</c:formatCode>
                <c:ptCount val="5"/>
                <c:pt idx="0" formatCode="#,##0.00">
                  <c:v>1370</c:v>
                </c:pt>
                <c:pt idx="1">
                  <c:v>5739</c:v>
                </c:pt>
                <c:pt idx="2" formatCode="General">
                  <c:v>3688</c:v>
                </c:pt>
                <c:pt idx="3">
                  <c:v>3702</c:v>
                </c:pt>
                <c:pt idx="4">
                  <c:v>3407</c:v>
                </c:pt>
              </c:numCache>
            </c:numRef>
          </c:val>
          <c:extLst>
            <c:ext xmlns:c16="http://schemas.microsoft.com/office/drawing/2014/chart" uri="{C3380CC4-5D6E-409C-BE32-E72D297353CC}">
              <c16:uniqueId val="{00000001-2749-4976-9FB3-5C1592DB24FD}"/>
            </c:ext>
          </c:extLst>
        </c:ser>
        <c:ser>
          <c:idx val="2"/>
          <c:order val="2"/>
          <c:tx>
            <c:strRef>
              <c:f>List2!$S$3</c:f>
              <c:strCache>
                <c:ptCount val="1"/>
                <c:pt idx="0">
                  <c:v>3.</c:v>
                </c:pt>
              </c:strCache>
            </c:strRef>
          </c:tx>
          <c:invertIfNegative val="0"/>
          <c:cat>
            <c:strRef>
              <c:f>List2!$A$4:$A$8</c:f>
              <c:strCache>
                <c:ptCount val="5"/>
                <c:pt idx="0">
                  <c:v>SR</c:v>
                </c:pt>
                <c:pt idx="1">
                  <c:v>DE</c:v>
                </c:pt>
                <c:pt idx="2">
                  <c:v>ČR</c:v>
                </c:pt>
                <c:pt idx="3">
                  <c:v>AT</c:v>
                </c:pt>
                <c:pt idx="4">
                  <c:v>PL</c:v>
                </c:pt>
              </c:strCache>
            </c:strRef>
          </c:cat>
          <c:val>
            <c:numRef>
              <c:f>List2!$S$4:$S$8</c:f>
              <c:numCache>
                <c:formatCode>#,##0</c:formatCode>
                <c:ptCount val="5"/>
                <c:pt idx="0" formatCode="0.00">
                  <c:v>1362</c:v>
                </c:pt>
                <c:pt idx="1">
                  <c:v>5996</c:v>
                </c:pt>
                <c:pt idx="2" formatCode="General">
                  <c:v>3128</c:v>
                </c:pt>
                <c:pt idx="3">
                  <c:v>3907</c:v>
                </c:pt>
                <c:pt idx="4">
                  <c:v>3738</c:v>
                </c:pt>
              </c:numCache>
            </c:numRef>
          </c:val>
          <c:extLst>
            <c:ext xmlns:c16="http://schemas.microsoft.com/office/drawing/2014/chart" uri="{C3380CC4-5D6E-409C-BE32-E72D297353CC}">
              <c16:uniqueId val="{00000002-2749-4976-9FB3-5C1592DB24FD}"/>
            </c:ext>
          </c:extLst>
        </c:ser>
        <c:ser>
          <c:idx val="3"/>
          <c:order val="3"/>
          <c:tx>
            <c:strRef>
              <c:f>List2!$T$3</c:f>
              <c:strCache>
                <c:ptCount val="1"/>
                <c:pt idx="0">
                  <c:v>4.</c:v>
                </c:pt>
              </c:strCache>
            </c:strRef>
          </c:tx>
          <c:invertIfNegative val="0"/>
          <c:cat>
            <c:strRef>
              <c:f>List2!$A$4:$A$8</c:f>
              <c:strCache>
                <c:ptCount val="5"/>
                <c:pt idx="0">
                  <c:v>SR</c:v>
                </c:pt>
                <c:pt idx="1">
                  <c:v>DE</c:v>
                </c:pt>
                <c:pt idx="2">
                  <c:v>ČR</c:v>
                </c:pt>
                <c:pt idx="3">
                  <c:v>AT</c:v>
                </c:pt>
                <c:pt idx="4">
                  <c:v>PL</c:v>
                </c:pt>
              </c:strCache>
            </c:strRef>
          </c:cat>
          <c:val>
            <c:numRef>
              <c:f>List2!$T$4:$T$8</c:f>
              <c:numCache>
                <c:formatCode>#,##0</c:formatCode>
                <c:ptCount val="5"/>
                <c:pt idx="0" formatCode="0.00">
                  <c:v>1387</c:v>
                </c:pt>
                <c:pt idx="1">
                  <c:v>5976</c:v>
                </c:pt>
                <c:pt idx="2" formatCode="General">
                  <c:v>3694</c:v>
                </c:pt>
                <c:pt idx="3">
                  <c:v>4247</c:v>
                </c:pt>
                <c:pt idx="4">
                  <c:v>3976</c:v>
                </c:pt>
              </c:numCache>
            </c:numRef>
          </c:val>
          <c:extLst>
            <c:ext xmlns:c16="http://schemas.microsoft.com/office/drawing/2014/chart" uri="{C3380CC4-5D6E-409C-BE32-E72D297353CC}">
              <c16:uniqueId val="{00000003-2749-4976-9FB3-5C1592DB24FD}"/>
            </c:ext>
          </c:extLst>
        </c:ser>
        <c:ser>
          <c:idx val="4"/>
          <c:order val="4"/>
          <c:tx>
            <c:strRef>
              <c:f>List2!$U$3</c:f>
              <c:strCache>
                <c:ptCount val="1"/>
                <c:pt idx="0">
                  <c:v>5.</c:v>
                </c:pt>
              </c:strCache>
            </c:strRef>
          </c:tx>
          <c:invertIfNegative val="0"/>
          <c:cat>
            <c:strRef>
              <c:f>List2!$A$4:$A$8</c:f>
              <c:strCache>
                <c:ptCount val="5"/>
                <c:pt idx="0">
                  <c:v>SR</c:v>
                </c:pt>
                <c:pt idx="1">
                  <c:v>DE</c:v>
                </c:pt>
                <c:pt idx="2">
                  <c:v>ČR</c:v>
                </c:pt>
                <c:pt idx="3">
                  <c:v>AT</c:v>
                </c:pt>
                <c:pt idx="4">
                  <c:v>PL</c:v>
                </c:pt>
              </c:strCache>
            </c:strRef>
          </c:cat>
          <c:val>
            <c:numRef>
              <c:f>List2!$U$4:$U$8</c:f>
              <c:numCache>
                <c:formatCode>#,##0</c:formatCode>
                <c:ptCount val="5"/>
                <c:pt idx="0" formatCode="0.00">
                  <c:v>1391</c:v>
                </c:pt>
                <c:pt idx="1">
                  <c:v>5224</c:v>
                </c:pt>
                <c:pt idx="2" formatCode="General">
                  <c:v>3974</c:v>
                </c:pt>
                <c:pt idx="3">
                  <c:v>4238</c:v>
                </c:pt>
                <c:pt idx="4">
                  <c:v>4271</c:v>
                </c:pt>
              </c:numCache>
            </c:numRef>
          </c:val>
          <c:extLst>
            <c:ext xmlns:c16="http://schemas.microsoft.com/office/drawing/2014/chart" uri="{C3380CC4-5D6E-409C-BE32-E72D297353CC}">
              <c16:uniqueId val="{00000004-2749-4976-9FB3-5C1592DB24FD}"/>
            </c:ext>
          </c:extLst>
        </c:ser>
        <c:ser>
          <c:idx val="5"/>
          <c:order val="5"/>
          <c:tx>
            <c:strRef>
              <c:f>List2!$V$3</c:f>
              <c:strCache>
                <c:ptCount val="1"/>
                <c:pt idx="0">
                  <c:v>6.</c:v>
                </c:pt>
              </c:strCache>
            </c:strRef>
          </c:tx>
          <c:invertIfNegative val="0"/>
          <c:cat>
            <c:strRef>
              <c:f>List2!$A$4:$A$8</c:f>
              <c:strCache>
                <c:ptCount val="5"/>
                <c:pt idx="0">
                  <c:v>SR</c:v>
                </c:pt>
                <c:pt idx="1">
                  <c:v>DE</c:v>
                </c:pt>
                <c:pt idx="2">
                  <c:v>ČR</c:v>
                </c:pt>
                <c:pt idx="3">
                  <c:v>AT</c:v>
                </c:pt>
                <c:pt idx="4">
                  <c:v>PL</c:v>
                </c:pt>
              </c:strCache>
            </c:strRef>
          </c:cat>
          <c:val>
            <c:numRef>
              <c:f>List2!$V$4:$V$8</c:f>
              <c:numCache>
                <c:formatCode>#,##0</c:formatCode>
                <c:ptCount val="5"/>
                <c:pt idx="0" formatCode="0.00">
                  <c:v>1435</c:v>
                </c:pt>
                <c:pt idx="1">
                  <c:v>5513</c:v>
                </c:pt>
                <c:pt idx="2" formatCode="General">
                  <c:v>3882</c:v>
                </c:pt>
                <c:pt idx="3">
                  <c:v>3641</c:v>
                </c:pt>
                <c:pt idx="4">
                  <c:v>4688</c:v>
                </c:pt>
              </c:numCache>
            </c:numRef>
          </c:val>
          <c:extLst>
            <c:ext xmlns:c16="http://schemas.microsoft.com/office/drawing/2014/chart" uri="{C3380CC4-5D6E-409C-BE32-E72D297353CC}">
              <c16:uniqueId val="{00000005-2749-4976-9FB3-5C1592DB24FD}"/>
            </c:ext>
          </c:extLst>
        </c:ser>
        <c:ser>
          <c:idx val="6"/>
          <c:order val="6"/>
          <c:tx>
            <c:strRef>
              <c:f>List2!$W$3</c:f>
              <c:strCache>
                <c:ptCount val="1"/>
                <c:pt idx="0">
                  <c:v>7.</c:v>
                </c:pt>
              </c:strCache>
            </c:strRef>
          </c:tx>
          <c:invertIfNegative val="0"/>
          <c:cat>
            <c:strRef>
              <c:f>List2!$A$4:$A$8</c:f>
              <c:strCache>
                <c:ptCount val="5"/>
                <c:pt idx="0">
                  <c:v>SR</c:v>
                </c:pt>
                <c:pt idx="1">
                  <c:v>DE</c:v>
                </c:pt>
                <c:pt idx="2">
                  <c:v>ČR</c:v>
                </c:pt>
                <c:pt idx="3">
                  <c:v>AT</c:v>
                </c:pt>
                <c:pt idx="4">
                  <c:v>PL</c:v>
                </c:pt>
              </c:strCache>
            </c:strRef>
          </c:cat>
          <c:val>
            <c:numRef>
              <c:f>List2!$W$4:$W$8</c:f>
              <c:numCache>
                <c:formatCode>#,##0</c:formatCode>
                <c:ptCount val="5"/>
                <c:pt idx="0" formatCode="0.00">
                  <c:v>1478</c:v>
                </c:pt>
                <c:pt idx="1">
                  <c:v>5707</c:v>
                </c:pt>
                <c:pt idx="2" formatCode="General">
                  <c:v>3871</c:v>
                </c:pt>
                <c:pt idx="3">
                  <c:v>3812</c:v>
                </c:pt>
                <c:pt idx="4">
                  <c:v>5078</c:v>
                </c:pt>
              </c:numCache>
            </c:numRef>
          </c:val>
          <c:extLst>
            <c:ext xmlns:c16="http://schemas.microsoft.com/office/drawing/2014/chart" uri="{C3380CC4-5D6E-409C-BE32-E72D297353CC}">
              <c16:uniqueId val="{00000006-2749-4976-9FB3-5C1592DB24FD}"/>
            </c:ext>
          </c:extLst>
        </c:ser>
        <c:ser>
          <c:idx val="7"/>
          <c:order val="7"/>
          <c:tx>
            <c:strRef>
              <c:f>List2!$X$3</c:f>
              <c:strCache>
                <c:ptCount val="1"/>
                <c:pt idx="0">
                  <c:v>8.</c:v>
                </c:pt>
              </c:strCache>
            </c:strRef>
          </c:tx>
          <c:invertIfNegative val="0"/>
          <c:cat>
            <c:strRef>
              <c:f>List2!$A$4:$A$8</c:f>
              <c:strCache>
                <c:ptCount val="5"/>
                <c:pt idx="0">
                  <c:v>SR</c:v>
                </c:pt>
                <c:pt idx="1">
                  <c:v>DE</c:v>
                </c:pt>
                <c:pt idx="2">
                  <c:v>ČR</c:v>
                </c:pt>
                <c:pt idx="3">
                  <c:v>AT</c:v>
                </c:pt>
                <c:pt idx="4">
                  <c:v>PL</c:v>
                </c:pt>
              </c:strCache>
            </c:strRef>
          </c:cat>
          <c:val>
            <c:numRef>
              <c:f>List2!$X$4:$X$8</c:f>
              <c:numCache>
                <c:formatCode>#,##0</c:formatCode>
                <c:ptCount val="5"/>
                <c:pt idx="0" formatCode="0.00">
                  <c:v>1531</c:v>
                </c:pt>
                <c:pt idx="1">
                  <c:v>5204</c:v>
                </c:pt>
                <c:pt idx="2" formatCode="General">
                  <c:v>4116</c:v>
                </c:pt>
                <c:pt idx="3">
                  <c:v>3953</c:v>
                </c:pt>
                <c:pt idx="4">
                  <c:v>4523</c:v>
                </c:pt>
              </c:numCache>
            </c:numRef>
          </c:val>
          <c:extLst>
            <c:ext xmlns:c16="http://schemas.microsoft.com/office/drawing/2014/chart" uri="{C3380CC4-5D6E-409C-BE32-E72D297353CC}">
              <c16:uniqueId val="{00000007-2749-4976-9FB3-5C1592DB24FD}"/>
            </c:ext>
          </c:extLst>
        </c:ser>
        <c:ser>
          <c:idx val="8"/>
          <c:order val="8"/>
          <c:tx>
            <c:strRef>
              <c:f>List2!$Y$3</c:f>
              <c:strCache>
                <c:ptCount val="1"/>
                <c:pt idx="0">
                  <c:v>9.</c:v>
                </c:pt>
              </c:strCache>
            </c:strRef>
          </c:tx>
          <c:invertIfNegative val="0"/>
          <c:cat>
            <c:strRef>
              <c:f>List2!$A$4:$A$8</c:f>
              <c:strCache>
                <c:ptCount val="5"/>
                <c:pt idx="0">
                  <c:v>SR</c:v>
                </c:pt>
                <c:pt idx="1">
                  <c:v>DE</c:v>
                </c:pt>
                <c:pt idx="2">
                  <c:v>ČR</c:v>
                </c:pt>
                <c:pt idx="3">
                  <c:v>AT</c:v>
                </c:pt>
                <c:pt idx="4">
                  <c:v>PL</c:v>
                </c:pt>
              </c:strCache>
            </c:strRef>
          </c:cat>
          <c:val>
            <c:numRef>
              <c:f>List2!$Y$4:$Y$8</c:f>
              <c:numCache>
                <c:formatCode>#,##0</c:formatCode>
                <c:ptCount val="5"/>
                <c:pt idx="0" formatCode="0.00">
                  <c:v>1591</c:v>
                </c:pt>
                <c:pt idx="1">
                  <c:v>5304</c:v>
                </c:pt>
                <c:pt idx="2" formatCode="General">
                  <c:v>4443</c:v>
                </c:pt>
                <c:pt idx="3" formatCode="#,##0.00">
                  <c:v>3938</c:v>
                </c:pt>
              </c:numCache>
            </c:numRef>
          </c:val>
          <c:extLst>
            <c:ext xmlns:c16="http://schemas.microsoft.com/office/drawing/2014/chart" uri="{C3380CC4-5D6E-409C-BE32-E72D297353CC}">
              <c16:uniqueId val="{00000008-2749-4976-9FB3-5C1592DB24FD}"/>
            </c:ext>
          </c:extLst>
        </c:ser>
        <c:dLbls>
          <c:showLegendKey val="0"/>
          <c:showVal val="0"/>
          <c:showCatName val="0"/>
          <c:showSerName val="0"/>
          <c:showPercent val="0"/>
          <c:showBubbleSize val="0"/>
        </c:dLbls>
        <c:gapWidth val="150"/>
        <c:axId val="563413760"/>
        <c:axId val="563467008"/>
      </c:barChart>
      <c:catAx>
        <c:axId val="563413760"/>
        <c:scaling>
          <c:orientation val="minMax"/>
        </c:scaling>
        <c:delete val="0"/>
        <c:axPos val="b"/>
        <c:numFmt formatCode="General" sourceLinked="0"/>
        <c:majorTickMark val="out"/>
        <c:minorTickMark val="none"/>
        <c:tickLblPos val="nextTo"/>
        <c:crossAx val="563467008"/>
        <c:crosses val="autoZero"/>
        <c:auto val="1"/>
        <c:lblAlgn val="ctr"/>
        <c:lblOffset val="100"/>
        <c:noMultiLvlLbl val="0"/>
      </c:catAx>
      <c:valAx>
        <c:axId val="563467008"/>
        <c:scaling>
          <c:orientation val="minMax"/>
        </c:scaling>
        <c:delete val="0"/>
        <c:axPos val="l"/>
        <c:majorGridlines/>
        <c:numFmt formatCode="#,##0" sourceLinked="0"/>
        <c:majorTickMark val="out"/>
        <c:minorTickMark val="none"/>
        <c:tickLblPos val="nextTo"/>
        <c:crossAx val="563413760"/>
        <c:crosses val="autoZero"/>
        <c:crossBetween val="between"/>
      </c:valAx>
    </c:plotArea>
    <c:legend>
      <c:legendPos val="r"/>
      <c:layout>
        <c:manualLayout>
          <c:xMode val="edge"/>
          <c:yMode val="edge"/>
          <c:x val="0.93460063546978456"/>
          <c:y val="0.1797563193307874"/>
          <c:w val="5.0428709708057066E-2"/>
          <c:h val="0.69620430987452253"/>
        </c:manualLayout>
      </c:layout>
      <c:overlay val="0"/>
    </c:legend>
    <c:plotVisOnly val="1"/>
    <c:dispBlanksAs val="gap"/>
    <c:showDLblsOverMax val="0"/>
  </c:chart>
  <c:txPr>
    <a:bodyPr/>
    <a:lstStyle/>
    <a:p>
      <a:pPr algn="ctr">
        <a:defRPr lang="sk-SK" sz="1000" b="0" i="0" u="none" strike="noStrike" kern="1200" baseline="0">
          <a:solidFill>
            <a:sysClr val="windowText" lastClr="000000"/>
          </a:solidFill>
          <a:latin typeface="+mn-lt"/>
          <a:ea typeface="+mn-ea"/>
          <a:cs typeface="+mn-cs"/>
        </a:defRPr>
      </a:pPr>
      <a:endParaRPr lang="sk-SK"/>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Ročný priemer denných intenzít jednotkového km (voz)</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33970185185185503"/>
          <c:w val="0.8038603745941828"/>
          <c:h val="0.5031030864197531"/>
        </c:manualLayout>
      </c:layout>
      <c:barChart>
        <c:barDir val="col"/>
        <c:grouping val="clustered"/>
        <c:varyColors val="0"/>
        <c:ser>
          <c:idx val="0"/>
          <c:order val="0"/>
          <c:tx>
            <c:strRef>
              <c:f>'[0610_1509_ final efektivnosť.xlsx]List1'!$AB$46</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2957-4D8A-A2CD-CEA4A9B27256}"/>
              </c:ext>
            </c:extLst>
          </c:dPt>
          <c:dPt>
            <c:idx val="1"/>
            <c:invertIfNegative val="0"/>
            <c:bubble3D val="0"/>
            <c:spPr>
              <a:solidFill>
                <a:srgbClr val="FFC000"/>
              </a:solidFill>
            </c:spPr>
            <c:extLst>
              <c:ext xmlns:c16="http://schemas.microsoft.com/office/drawing/2014/chart" uri="{C3380CC4-5D6E-409C-BE32-E72D297353CC}">
                <c16:uniqueId val="{00000003-2957-4D8A-A2CD-CEA4A9B27256}"/>
              </c:ext>
            </c:extLst>
          </c:dPt>
          <c:dPt>
            <c:idx val="2"/>
            <c:invertIfNegative val="0"/>
            <c:bubble3D val="0"/>
            <c:spPr>
              <a:solidFill>
                <a:schemeClr val="tx2"/>
              </a:solidFill>
            </c:spPr>
            <c:extLst>
              <c:ext xmlns:c16="http://schemas.microsoft.com/office/drawing/2014/chart" uri="{C3380CC4-5D6E-409C-BE32-E72D297353CC}">
                <c16:uniqueId val="{00000005-2957-4D8A-A2CD-CEA4A9B27256}"/>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2957-4D8A-A2CD-CEA4A9B27256}"/>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2957-4D8A-A2CD-CEA4A9B27256}"/>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efektivnosť.xlsx]List1'!$AC$43:$AG$43</c:f>
              <c:strCache>
                <c:ptCount val="5"/>
                <c:pt idx="0">
                  <c:v>SR</c:v>
                </c:pt>
                <c:pt idx="1">
                  <c:v>DE</c:v>
                </c:pt>
                <c:pt idx="2">
                  <c:v>ČR</c:v>
                </c:pt>
                <c:pt idx="3">
                  <c:v>AT</c:v>
                </c:pt>
                <c:pt idx="4">
                  <c:v>PL</c:v>
                </c:pt>
              </c:strCache>
            </c:strRef>
          </c:cat>
          <c:val>
            <c:numRef>
              <c:f>'[0610_1509_ final efektivnosť.xlsx]List1'!$AC$46:$AG$46</c:f>
              <c:numCache>
                <c:formatCode>#,##0</c:formatCode>
                <c:ptCount val="5"/>
                <c:pt idx="0">
                  <c:v>1427.2222222222222</c:v>
                </c:pt>
                <c:pt idx="1">
                  <c:v>5560.8888888888887</c:v>
                </c:pt>
                <c:pt idx="2">
                  <c:v>3853.6666666666592</c:v>
                </c:pt>
                <c:pt idx="3">
                  <c:v>3897.2222222222217</c:v>
                </c:pt>
                <c:pt idx="4">
                  <c:v>4209.1250000000082</c:v>
                </c:pt>
              </c:numCache>
            </c:numRef>
          </c:val>
          <c:extLst>
            <c:ext xmlns:c16="http://schemas.microsoft.com/office/drawing/2014/chart" uri="{C3380CC4-5D6E-409C-BE32-E72D297353CC}">
              <c16:uniqueId val="{0000000A-2957-4D8A-A2CD-CEA4A9B27256}"/>
            </c:ext>
          </c:extLst>
        </c:ser>
        <c:dLbls>
          <c:showLegendKey val="0"/>
          <c:showVal val="0"/>
          <c:showCatName val="0"/>
          <c:showSerName val="0"/>
          <c:showPercent val="0"/>
          <c:showBubbleSize val="0"/>
        </c:dLbls>
        <c:gapWidth val="150"/>
        <c:axId val="569953280"/>
        <c:axId val="569996800"/>
      </c:barChart>
      <c:catAx>
        <c:axId val="569953280"/>
        <c:scaling>
          <c:orientation val="minMax"/>
        </c:scaling>
        <c:delete val="0"/>
        <c:axPos val="b"/>
        <c:numFmt formatCode="General" sourceLinked="0"/>
        <c:majorTickMark val="out"/>
        <c:minorTickMark val="none"/>
        <c:tickLblPos val="nextTo"/>
        <c:crossAx val="569996800"/>
        <c:crosses val="autoZero"/>
        <c:auto val="1"/>
        <c:lblAlgn val="ctr"/>
        <c:lblOffset val="100"/>
        <c:noMultiLvlLbl val="0"/>
      </c:catAx>
      <c:valAx>
        <c:axId val="569996800"/>
        <c:scaling>
          <c:orientation val="minMax"/>
        </c:scaling>
        <c:delete val="0"/>
        <c:axPos val="l"/>
        <c:numFmt formatCode="#,##0" sourceLinked="1"/>
        <c:majorTickMark val="out"/>
        <c:minorTickMark val="none"/>
        <c:tickLblPos val="nextTo"/>
        <c:crossAx val="569953280"/>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44787284052180082"/>
          <c:w val="0.80386037459418191"/>
          <c:h val="0.3959109962001065"/>
        </c:manualLayout>
      </c:layout>
      <c:barChart>
        <c:barDir val="col"/>
        <c:grouping val="clustered"/>
        <c:varyColors val="0"/>
        <c:ser>
          <c:idx val="0"/>
          <c:order val="0"/>
          <c:tx>
            <c:strRef>
              <c:f>'[0610_1509_ final efektivnosť.xlsx]List1'!$AB$44</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EE8D-4CC3-91DB-7E1984F2DC41}"/>
              </c:ext>
            </c:extLst>
          </c:dPt>
          <c:dPt>
            <c:idx val="1"/>
            <c:invertIfNegative val="0"/>
            <c:bubble3D val="0"/>
            <c:spPr>
              <a:solidFill>
                <a:srgbClr val="FFC000"/>
              </a:solidFill>
            </c:spPr>
            <c:extLst>
              <c:ext xmlns:c16="http://schemas.microsoft.com/office/drawing/2014/chart" uri="{C3380CC4-5D6E-409C-BE32-E72D297353CC}">
                <c16:uniqueId val="{00000003-EE8D-4CC3-91DB-7E1984F2DC41}"/>
              </c:ext>
            </c:extLst>
          </c:dPt>
          <c:dPt>
            <c:idx val="2"/>
            <c:invertIfNegative val="0"/>
            <c:bubble3D val="0"/>
            <c:spPr>
              <a:solidFill>
                <a:schemeClr val="tx2"/>
              </a:solidFill>
            </c:spPr>
            <c:extLst>
              <c:ext xmlns:c16="http://schemas.microsoft.com/office/drawing/2014/chart" uri="{C3380CC4-5D6E-409C-BE32-E72D297353CC}">
                <c16:uniqueId val="{00000005-EE8D-4CC3-91DB-7E1984F2DC41}"/>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EE8D-4CC3-91DB-7E1984F2DC41}"/>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EE8D-4CC3-91DB-7E1984F2DC41}"/>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efektivnosť.xlsx]List1'!$AC$43:$AG$43</c:f>
              <c:strCache>
                <c:ptCount val="5"/>
                <c:pt idx="0">
                  <c:v>SR</c:v>
                </c:pt>
                <c:pt idx="1">
                  <c:v>DE</c:v>
                </c:pt>
                <c:pt idx="2">
                  <c:v>ČR</c:v>
                </c:pt>
                <c:pt idx="3">
                  <c:v>AT</c:v>
                </c:pt>
                <c:pt idx="4">
                  <c:v>PL</c:v>
                </c:pt>
              </c:strCache>
            </c:strRef>
          </c:cat>
          <c:val>
            <c:numRef>
              <c:f>'[0610_1509_ final efektivnosť.xlsx]List1'!$AC$44:$AG$44</c:f>
              <c:numCache>
                <c:formatCode>#,##0</c:formatCode>
                <c:ptCount val="5"/>
                <c:pt idx="0">
                  <c:v>1362</c:v>
                </c:pt>
                <c:pt idx="1">
                  <c:v>5664</c:v>
                </c:pt>
                <c:pt idx="2">
                  <c:v>3674.2</c:v>
                </c:pt>
                <c:pt idx="3">
                  <c:v>3946.2</c:v>
                </c:pt>
                <c:pt idx="4">
                  <c:v>3876.8</c:v>
                </c:pt>
              </c:numCache>
            </c:numRef>
          </c:val>
          <c:extLst>
            <c:ext xmlns:c16="http://schemas.microsoft.com/office/drawing/2014/chart" uri="{C3380CC4-5D6E-409C-BE32-E72D297353CC}">
              <c16:uniqueId val="{0000000A-EE8D-4CC3-91DB-7E1984F2DC41}"/>
            </c:ext>
          </c:extLst>
        </c:ser>
        <c:dLbls>
          <c:showLegendKey val="0"/>
          <c:showVal val="0"/>
          <c:showCatName val="0"/>
          <c:showSerName val="0"/>
          <c:showPercent val="0"/>
          <c:showBubbleSize val="0"/>
        </c:dLbls>
        <c:gapWidth val="150"/>
        <c:axId val="570652160"/>
        <c:axId val="575414656"/>
      </c:barChart>
      <c:catAx>
        <c:axId val="570652160"/>
        <c:scaling>
          <c:orientation val="minMax"/>
        </c:scaling>
        <c:delete val="0"/>
        <c:axPos val="b"/>
        <c:numFmt formatCode="General" sourceLinked="0"/>
        <c:majorTickMark val="out"/>
        <c:minorTickMark val="none"/>
        <c:tickLblPos val="nextTo"/>
        <c:crossAx val="575414656"/>
        <c:crosses val="autoZero"/>
        <c:auto val="1"/>
        <c:lblAlgn val="ctr"/>
        <c:lblOffset val="100"/>
        <c:noMultiLvlLbl val="0"/>
      </c:catAx>
      <c:valAx>
        <c:axId val="575414656"/>
        <c:scaling>
          <c:orientation val="minMax"/>
        </c:scaling>
        <c:delete val="0"/>
        <c:axPos val="l"/>
        <c:numFmt formatCode="#,##0" sourceLinked="1"/>
        <c:majorTickMark val="out"/>
        <c:minorTickMark val="none"/>
        <c:tickLblPos val="nextTo"/>
        <c:crossAx val="570652160"/>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61"/>
          <c:w val="0.80386037459418214"/>
          <c:h val="0.55013985633763673"/>
        </c:manualLayout>
      </c:layout>
      <c:barChart>
        <c:barDir val="col"/>
        <c:grouping val="clustered"/>
        <c:varyColors val="0"/>
        <c:ser>
          <c:idx val="0"/>
          <c:order val="0"/>
          <c:tx>
            <c:strRef>
              <c:f>'[0610_1509_ final efektivnosť.xlsx]List1'!$AB$45</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0F37-462F-A2C5-4334F3A3725F}"/>
              </c:ext>
            </c:extLst>
          </c:dPt>
          <c:dPt>
            <c:idx val="1"/>
            <c:invertIfNegative val="0"/>
            <c:bubble3D val="0"/>
            <c:spPr>
              <a:solidFill>
                <a:srgbClr val="FFC000"/>
              </a:solidFill>
            </c:spPr>
            <c:extLst>
              <c:ext xmlns:c16="http://schemas.microsoft.com/office/drawing/2014/chart" uri="{C3380CC4-5D6E-409C-BE32-E72D297353CC}">
                <c16:uniqueId val="{00000003-0F37-462F-A2C5-4334F3A3725F}"/>
              </c:ext>
            </c:extLst>
          </c:dPt>
          <c:dPt>
            <c:idx val="2"/>
            <c:invertIfNegative val="0"/>
            <c:bubble3D val="0"/>
            <c:spPr>
              <a:solidFill>
                <a:schemeClr val="tx2"/>
              </a:solidFill>
            </c:spPr>
            <c:extLst>
              <c:ext xmlns:c16="http://schemas.microsoft.com/office/drawing/2014/chart" uri="{C3380CC4-5D6E-409C-BE32-E72D297353CC}">
                <c16:uniqueId val="{00000005-0F37-462F-A2C5-4334F3A3725F}"/>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0F37-462F-A2C5-4334F3A3725F}"/>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0F37-462F-A2C5-4334F3A3725F}"/>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efektivnosť.xlsx]List1'!$AC$43:$AG$43</c:f>
              <c:strCache>
                <c:ptCount val="5"/>
                <c:pt idx="0">
                  <c:v>SR</c:v>
                </c:pt>
                <c:pt idx="1">
                  <c:v>DE</c:v>
                </c:pt>
                <c:pt idx="2">
                  <c:v>ČR</c:v>
                </c:pt>
                <c:pt idx="3">
                  <c:v>AT</c:v>
                </c:pt>
                <c:pt idx="4">
                  <c:v>PL</c:v>
                </c:pt>
              </c:strCache>
            </c:strRef>
          </c:cat>
          <c:val>
            <c:numRef>
              <c:f>'[0610_1509_ final efektivnosť.xlsx]List1'!$AC$45:$AG$45</c:f>
              <c:numCache>
                <c:formatCode>#,##0</c:formatCode>
                <c:ptCount val="5"/>
                <c:pt idx="0">
                  <c:v>1485.2</c:v>
                </c:pt>
                <c:pt idx="1">
                  <c:v>5390.4</c:v>
                </c:pt>
                <c:pt idx="2">
                  <c:v>4057.2</c:v>
                </c:pt>
                <c:pt idx="3">
                  <c:v>3916.4</c:v>
                </c:pt>
                <c:pt idx="4">
                  <c:v>4640</c:v>
                </c:pt>
              </c:numCache>
            </c:numRef>
          </c:val>
          <c:extLst>
            <c:ext xmlns:c16="http://schemas.microsoft.com/office/drawing/2014/chart" uri="{C3380CC4-5D6E-409C-BE32-E72D297353CC}">
              <c16:uniqueId val="{0000000A-0F37-462F-A2C5-4334F3A3725F}"/>
            </c:ext>
          </c:extLst>
        </c:ser>
        <c:dLbls>
          <c:showLegendKey val="0"/>
          <c:showVal val="0"/>
          <c:showCatName val="0"/>
          <c:showSerName val="0"/>
          <c:showPercent val="0"/>
          <c:showBubbleSize val="0"/>
        </c:dLbls>
        <c:gapWidth val="150"/>
        <c:axId val="608133120"/>
        <c:axId val="608149888"/>
      </c:barChart>
      <c:catAx>
        <c:axId val="608133120"/>
        <c:scaling>
          <c:orientation val="minMax"/>
        </c:scaling>
        <c:delete val="0"/>
        <c:axPos val="b"/>
        <c:numFmt formatCode="General" sourceLinked="0"/>
        <c:majorTickMark val="out"/>
        <c:minorTickMark val="none"/>
        <c:tickLblPos val="nextTo"/>
        <c:crossAx val="608149888"/>
        <c:crosses val="autoZero"/>
        <c:auto val="1"/>
        <c:lblAlgn val="ctr"/>
        <c:lblOffset val="100"/>
        <c:noMultiLvlLbl val="0"/>
      </c:catAx>
      <c:valAx>
        <c:axId val="608149888"/>
        <c:scaling>
          <c:orientation val="minMax"/>
        </c:scaling>
        <c:delete val="0"/>
        <c:axPos val="l"/>
        <c:numFmt formatCode="#,##0" sourceLinked="1"/>
        <c:majorTickMark val="out"/>
        <c:minorTickMark val="none"/>
        <c:tickLblPos val="nextTo"/>
        <c:crossAx val="608133120"/>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en-US" sz="1200">
                <a:solidFill>
                  <a:srgbClr val="C00000"/>
                </a:solidFill>
              </a:rPr>
              <a:t>Kumulované </a:t>
            </a:r>
            <a:r>
              <a:rPr lang="sk-SK" sz="1200">
                <a:solidFill>
                  <a:srgbClr val="C00000"/>
                </a:solidFill>
              </a:rPr>
              <a:t>ročné </a:t>
            </a:r>
            <a:r>
              <a:rPr lang="en-US" sz="1200">
                <a:solidFill>
                  <a:srgbClr val="C00000"/>
                </a:solidFill>
              </a:rPr>
              <a:t>dopravný výkony (mil. vkm)</a:t>
            </a:r>
          </a:p>
        </c:rich>
      </c:tx>
      <c:layout>
        <c:manualLayout>
          <c:xMode val="edge"/>
          <c:yMode val="edge"/>
          <c:x val="1.8916588058183474E-3"/>
          <c:y val="3.5383706128387002E-3"/>
        </c:manualLayout>
      </c:layout>
      <c:overlay val="0"/>
    </c:title>
    <c:autoTitleDeleted val="0"/>
    <c:plotArea>
      <c:layout/>
      <c:barChart>
        <c:barDir val="col"/>
        <c:grouping val="clustered"/>
        <c:varyColors val="0"/>
        <c:ser>
          <c:idx val="0"/>
          <c:order val="0"/>
          <c:tx>
            <c:strRef>
              <c:f>List2!$Z$3</c:f>
              <c:strCache>
                <c:ptCount val="1"/>
                <c:pt idx="0">
                  <c:v>1.</c:v>
                </c:pt>
              </c:strCache>
            </c:strRef>
          </c:tx>
          <c:invertIfNegative val="0"/>
          <c:cat>
            <c:strRef>
              <c:f>List2!$A$4:$A$8</c:f>
              <c:strCache>
                <c:ptCount val="5"/>
                <c:pt idx="0">
                  <c:v>SR</c:v>
                </c:pt>
                <c:pt idx="1">
                  <c:v>DE</c:v>
                </c:pt>
                <c:pt idx="2">
                  <c:v>ČR</c:v>
                </c:pt>
                <c:pt idx="3">
                  <c:v>AT</c:v>
                </c:pt>
                <c:pt idx="4">
                  <c:v>PL</c:v>
                </c:pt>
              </c:strCache>
            </c:strRef>
          </c:cat>
          <c:val>
            <c:numRef>
              <c:f>List2!$Z$4:$Z$8</c:f>
              <c:numCache>
                <c:formatCode>#,##0</c:formatCode>
                <c:ptCount val="5"/>
                <c:pt idx="0">
                  <c:v>924</c:v>
                </c:pt>
                <c:pt idx="1">
                  <c:v>24000</c:v>
                </c:pt>
                <c:pt idx="2" formatCode="#,##0.00">
                  <c:v>1348</c:v>
                </c:pt>
                <c:pt idx="3" formatCode="#,##0.00">
                  <c:v>2700</c:v>
                </c:pt>
                <c:pt idx="4" formatCode="#,##0.00">
                  <c:v>2281</c:v>
                </c:pt>
              </c:numCache>
            </c:numRef>
          </c:val>
          <c:extLst>
            <c:ext xmlns:c16="http://schemas.microsoft.com/office/drawing/2014/chart" uri="{C3380CC4-5D6E-409C-BE32-E72D297353CC}">
              <c16:uniqueId val="{00000000-FF9E-4FB8-A661-2E1DD1AFE88F}"/>
            </c:ext>
          </c:extLst>
        </c:ser>
        <c:ser>
          <c:idx val="1"/>
          <c:order val="1"/>
          <c:tx>
            <c:strRef>
              <c:f>List2!$AA$3</c:f>
              <c:strCache>
                <c:ptCount val="1"/>
                <c:pt idx="0">
                  <c:v>2.</c:v>
                </c:pt>
              </c:strCache>
            </c:strRef>
          </c:tx>
          <c:invertIfNegative val="0"/>
          <c:cat>
            <c:strRef>
              <c:f>List2!$A$4:$A$8</c:f>
              <c:strCache>
                <c:ptCount val="5"/>
                <c:pt idx="0">
                  <c:v>SR</c:v>
                </c:pt>
                <c:pt idx="1">
                  <c:v>DE</c:v>
                </c:pt>
                <c:pt idx="2">
                  <c:v>ČR</c:v>
                </c:pt>
                <c:pt idx="3">
                  <c:v>AT</c:v>
                </c:pt>
                <c:pt idx="4">
                  <c:v>PL</c:v>
                </c:pt>
              </c:strCache>
            </c:strRef>
          </c:cat>
          <c:val>
            <c:numRef>
              <c:f>List2!$AA$4:$AA$8</c:f>
              <c:numCache>
                <c:formatCode>#,##0</c:formatCode>
                <c:ptCount val="5"/>
                <c:pt idx="0">
                  <c:v>1000</c:v>
                </c:pt>
                <c:pt idx="1">
                  <c:v>25897</c:v>
                </c:pt>
                <c:pt idx="2" formatCode="#,##0.00">
                  <c:v>1576</c:v>
                </c:pt>
                <c:pt idx="3" formatCode="#,##0.00">
                  <c:v>2750</c:v>
                </c:pt>
                <c:pt idx="4" formatCode="#,##0.00">
                  <c:v>2351</c:v>
                </c:pt>
              </c:numCache>
            </c:numRef>
          </c:val>
          <c:extLst>
            <c:ext xmlns:c16="http://schemas.microsoft.com/office/drawing/2014/chart" uri="{C3380CC4-5D6E-409C-BE32-E72D297353CC}">
              <c16:uniqueId val="{00000001-FF9E-4FB8-A661-2E1DD1AFE88F}"/>
            </c:ext>
          </c:extLst>
        </c:ser>
        <c:ser>
          <c:idx val="2"/>
          <c:order val="2"/>
          <c:tx>
            <c:strRef>
              <c:f>List2!$AB$3</c:f>
              <c:strCache>
                <c:ptCount val="1"/>
                <c:pt idx="0">
                  <c:v>3.</c:v>
                </c:pt>
              </c:strCache>
            </c:strRef>
          </c:tx>
          <c:invertIfNegative val="0"/>
          <c:cat>
            <c:strRef>
              <c:f>List2!$A$4:$A$8</c:f>
              <c:strCache>
                <c:ptCount val="5"/>
                <c:pt idx="0">
                  <c:v>SR</c:v>
                </c:pt>
                <c:pt idx="1">
                  <c:v>DE</c:v>
                </c:pt>
                <c:pt idx="2">
                  <c:v>ČR</c:v>
                </c:pt>
                <c:pt idx="3">
                  <c:v>AT</c:v>
                </c:pt>
                <c:pt idx="4">
                  <c:v>PL</c:v>
                </c:pt>
              </c:strCache>
            </c:strRef>
          </c:cat>
          <c:val>
            <c:numRef>
              <c:f>List2!$AB$4:$AB$8</c:f>
              <c:numCache>
                <c:formatCode>#,##0</c:formatCode>
                <c:ptCount val="5"/>
                <c:pt idx="0">
                  <c:v>1010</c:v>
                </c:pt>
                <c:pt idx="1">
                  <c:v>27424</c:v>
                </c:pt>
                <c:pt idx="2" formatCode="#,##0.00">
                  <c:v>1440</c:v>
                </c:pt>
                <c:pt idx="3" formatCode="#,##0.00">
                  <c:v>2940</c:v>
                </c:pt>
                <c:pt idx="4" formatCode="#,##0.00">
                  <c:v>3620</c:v>
                </c:pt>
              </c:numCache>
            </c:numRef>
          </c:val>
          <c:extLst>
            <c:ext xmlns:c16="http://schemas.microsoft.com/office/drawing/2014/chart" uri="{C3380CC4-5D6E-409C-BE32-E72D297353CC}">
              <c16:uniqueId val="{00000002-FF9E-4FB8-A661-2E1DD1AFE88F}"/>
            </c:ext>
          </c:extLst>
        </c:ser>
        <c:ser>
          <c:idx val="3"/>
          <c:order val="3"/>
          <c:tx>
            <c:strRef>
              <c:f>List2!$AC$3</c:f>
              <c:strCache>
                <c:ptCount val="1"/>
                <c:pt idx="0">
                  <c:v>4.</c:v>
                </c:pt>
              </c:strCache>
            </c:strRef>
          </c:tx>
          <c:invertIfNegative val="0"/>
          <c:cat>
            <c:strRef>
              <c:f>List2!$A$4:$A$8</c:f>
              <c:strCache>
                <c:ptCount val="5"/>
                <c:pt idx="0">
                  <c:v>SR</c:v>
                </c:pt>
                <c:pt idx="1">
                  <c:v>DE</c:v>
                </c:pt>
                <c:pt idx="2">
                  <c:v>ČR</c:v>
                </c:pt>
                <c:pt idx="3">
                  <c:v>AT</c:v>
                </c:pt>
                <c:pt idx="4">
                  <c:v>PL</c:v>
                </c:pt>
              </c:strCache>
            </c:strRef>
          </c:cat>
          <c:val>
            <c:numRef>
              <c:f>List2!$AC$4:$AC$8</c:f>
              <c:numCache>
                <c:formatCode>#,##0</c:formatCode>
                <c:ptCount val="5"/>
                <c:pt idx="0">
                  <c:v>1041</c:v>
                </c:pt>
                <c:pt idx="1">
                  <c:v>27655</c:v>
                </c:pt>
                <c:pt idx="2" formatCode="#,##0.00">
                  <c:v>1857</c:v>
                </c:pt>
                <c:pt idx="3" formatCode="#,##0.00">
                  <c:v>3261</c:v>
                </c:pt>
                <c:pt idx="4" formatCode="#,##0.00">
                  <c:v>4233</c:v>
                </c:pt>
              </c:numCache>
            </c:numRef>
          </c:val>
          <c:extLst>
            <c:ext xmlns:c16="http://schemas.microsoft.com/office/drawing/2014/chart" uri="{C3380CC4-5D6E-409C-BE32-E72D297353CC}">
              <c16:uniqueId val="{00000003-FF9E-4FB8-A661-2E1DD1AFE88F}"/>
            </c:ext>
          </c:extLst>
        </c:ser>
        <c:ser>
          <c:idx val="4"/>
          <c:order val="4"/>
          <c:tx>
            <c:strRef>
              <c:f>List2!$AD$3</c:f>
              <c:strCache>
                <c:ptCount val="1"/>
                <c:pt idx="0">
                  <c:v>5.</c:v>
                </c:pt>
              </c:strCache>
            </c:strRef>
          </c:tx>
          <c:invertIfNegative val="0"/>
          <c:cat>
            <c:strRef>
              <c:f>List2!$A$4:$A$8</c:f>
              <c:strCache>
                <c:ptCount val="5"/>
                <c:pt idx="0">
                  <c:v>SR</c:v>
                </c:pt>
                <c:pt idx="1">
                  <c:v>DE</c:v>
                </c:pt>
                <c:pt idx="2">
                  <c:v>ČR</c:v>
                </c:pt>
                <c:pt idx="3">
                  <c:v>AT</c:v>
                </c:pt>
                <c:pt idx="4">
                  <c:v>PL</c:v>
                </c:pt>
              </c:strCache>
            </c:strRef>
          </c:cat>
          <c:val>
            <c:numRef>
              <c:f>List2!$AD$4:$AD$8</c:f>
              <c:numCache>
                <c:formatCode>#,##0</c:formatCode>
                <c:ptCount val="5"/>
                <c:pt idx="0">
                  <c:v>1152</c:v>
                </c:pt>
                <c:pt idx="1">
                  <c:v>24360</c:v>
                </c:pt>
                <c:pt idx="2" formatCode="#,##0.00">
                  <c:v>2015</c:v>
                </c:pt>
                <c:pt idx="3" formatCode="#,##0.00">
                  <c:v>3254</c:v>
                </c:pt>
                <c:pt idx="4" formatCode="#,##0.00">
                  <c:v>4939</c:v>
                </c:pt>
              </c:numCache>
            </c:numRef>
          </c:val>
          <c:extLst>
            <c:ext xmlns:c16="http://schemas.microsoft.com/office/drawing/2014/chart" uri="{C3380CC4-5D6E-409C-BE32-E72D297353CC}">
              <c16:uniqueId val="{00000004-FF9E-4FB8-A661-2E1DD1AFE88F}"/>
            </c:ext>
          </c:extLst>
        </c:ser>
        <c:ser>
          <c:idx val="5"/>
          <c:order val="5"/>
          <c:tx>
            <c:strRef>
              <c:f>List2!$AE$3</c:f>
              <c:strCache>
                <c:ptCount val="1"/>
                <c:pt idx="0">
                  <c:v>6.</c:v>
                </c:pt>
              </c:strCache>
            </c:strRef>
          </c:tx>
          <c:invertIfNegative val="0"/>
          <c:cat>
            <c:strRef>
              <c:f>List2!$A$4:$A$8</c:f>
              <c:strCache>
                <c:ptCount val="5"/>
                <c:pt idx="0">
                  <c:v>SR</c:v>
                </c:pt>
                <c:pt idx="1">
                  <c:v>DE</c:v>
                </c:pt>
                <c:pt idx="2">
                  <c:v>ČR</c:v>
                </c:pt>
                <c:pt idx="3">
                  <c:v>AT</c:v>
                </c:pt>
                <c:pt idx="4">
                  <c:v>PL</c:v>
                </c:pt>
              </c:strCache>
            </c:strRef>
          </c:cat>
          <c:val>
            <c:numRef>
              <c:f>List2!$AE$4:$AE$8</c:f>
              <c:numCache>
                <c:formatCode>#,##0</c:formatCode>
                <c:ptCount val="5"/>
                <c:pt idx="0">
                  <c:v>1219</c:v>
                </c:pt>
                <c:pt idx="1">
                  <c:v>25734</c:v>
                </c:pt>
                <c:pt idx="2" formatCode="#,##0.00">
                  <c:v>1985</c:v>
                </c:pt>
                <c:pt idx="3" formatCode="#,##0.00">
                  <c:v>2838</c:v>
                </c:pt>
                <c:pt idx="4" formatCode="#,##0.00">
                  <c:v>5677</c:v>
                </c:pt>
              </c:numCache>
            </c:numRef>
          </c:val>
          <c:extLst>
            <c:ext xmlns:c16="http://schemas.microsoft.com/office/drawing/2014/chart" uri="{C3380CC4-5D6E-409C-BE32-E72D297353CC}">
              <c16:uniqueId val="{00000005-FF9E-4FB8-A661-2E1DD1AFE88F}"/>
            </c:ext>
          </c:extLst>
        </c:ser>
        <c:ser>
          <c:idx val="6"/>
          <c:order val="6"/>
          <c:tx>
            <c:strRef>
              <c:f>List2!$AF$3</c:f>
              <c:strCache>
                <c:ptCount val="1"/>
                <c:pt idx="0">
                  <c:v>7.</c:v>
                </c:pt>
              </c:strCache>
            </c:strRef>
          </c:tx>
          <c:invertIfNegative val="0"/>
          <c:cat>
            <c:strRef>
              <c:f>List2!$A$4:$A$8</c:f>
              <c:strCache>
                <c:ptCount val="5"/>
                <c:pt idx="0">
                  <c:v>SR</c:v>
                </c:pt>
                <c:pt idx="1">
                  <c:v>DE</c:v>
                </c:pt>
                <c:pt idx="2">
                  <c:v>ČR</c:v>
                </c:pt>
                <c:pt idx="3">
                  <c:v>AT</c:v>
                </c:pt>
                <c:pt idx="4">
                  <c:v>PL</c:v>
                </c:pt>
              </c:strCache>
            </c:strRef>
          </c:cat>
          <c:val>
            <c:numRef>
              <c:f>List2!$AF$4:$AF$8</c:f>
              <c:numCache>
                <c:formatCode>#,##0</c:formatCode>
                <c:ptCount val="5"/>
                <c:pt idx="0">
                  <c:v>1265</c:v>
                </c:pt>
                <c:pt idx="1">
                  <c:v>26686</c:v>
                </c:pt>
                <c:pt idx="2" formatCode="#,##0.00">
                  <c:v>2043</c:v>
                </c:pt>
                <c:pt idx="3" formatCode="#,##0.00">
                  <c:v>3027</c:v>
                </c:pt>
                <c:pt idx="4" formatCode="#,##0.00">
                  <c:v>6818</c:v>
                </c:pt>
              </c:numCache>
            </c:numRef>
          </c:val>
          <c:extLst>
            <c:ext xmlns:c16="http://schemas.microsoft.com/office/drawing/2014/chart" uri="{C3380CC4-5D6E-409C-BE32-E72D297353CC}">
              <c16:uniqueId val="{00000006-FF9E-4FB8-A661-2E1DD1AFE88F}"/>
            </c:ext>
          </c:extLst>
        </c:ser>
        <c:ser>
          <c:idx val="7"/>
          <c:order val="7"/>
          <c:tx>
            <c:strRef>
              <c:f>List2!$AG$3</c:f>
              <c:strCache>
                <c:ptCount val="1"/>
                <c:pt idx="0">
                  <c:v>8.</c:v>
                </c:pt>
              </c:strCache>
            </c:strRef>
          </c:tx>
          <c:invertIfNegative val="0"/>
          <c:cat>
            <c:strRef>
              <c:f>List2!$A$4:$A$8</c:f>
              <c:strCache>
                <c:ptCount val="5"/>
                <c:pt idx="0">
                  <c:v>SR</c:v>
                </c:pt>
                <c:pt idx="1">
                  <c:v>DE</c:v>
                </c:pt>
                <c:pt idx="2">
                  <c:v>ČR</c:v>
                </c:pt>
                <c:pt idx="3">
                  <c:v>AT</c:v>
                </c:pt>
                <c:pt idx="4">
                  <c:v>PL</c:v>
                </c:pt>
              </c:strCache>
            </c:strRef>
          </c:cat>
          <c:val>
            <c:numRef>
              <c:f>List2!$AG$4:$AG$8</c:f>
              <c:numCache>
                <c:formatCode>#,##0</c:formatCode>
                <c:ptCount val="5"/>
                <c:pt idx="0">
                  <c:v>1322</c:v>
                </c:pt>
                <c:pt idx="1">
                  <c:v>26590</c:v>
                </c:pt>
                <c:pt idx="2" formatCode="#,##0.00">
                  <c:v>2173</c:v>
                </c:pt>
                <c:pt idx="3" formatCode="#,##0.00">
                  <c:v>3139</c:v>
                </c:pt>
                <c:pt idx="4" formatCode="#,##0.00">
                  <c:v>6159</c:v>
                </c:pt>
              </c:numCache>
            </c:numRef>
          </c:val>
          <c:extLst>
            <c:ext xmlns:c16="http://schemas.microsoft.com/office/drawing/2014/chart" uri="{C3380CC4-5D6E-409C-BE32-E72D297353CC}">
              <c16:uniqueId val="{00000007-FF9E-4FB8-A661-2E1DD1AFE88F}"/>
            </c:ext>
          </c:extLst>
        </c:ser>
        <c:ser>
          <c:idx val="8"/>
          <c:order val="8"/>
          <c:tx>
            <c:strRef>
              <c:f>List2!$AH$3</c:f>
              <c:strCache>
                <c:ptCount val="1"/>
                <c:pt idx="0">
                  <c:v>9.</c:v>
                </c:pt>
              </c:strCache>
            </c:strRef>
          </c:tx>
          <c:invertIfNegative val="0"/>
          <c:cat>
            <c:strRef>
              <c:f>List2!$A$4:$A$8</c:f>
              <c:strCache>
                <c:ptCount val="5"/>
                <c:pt idx="0">
                  <c:v>SR</c:v>
                </c:pt>
                <c:pt idx="1">
                  <c:v>DE</c:v>
                </c:pt>
                <c:pt idx="2">
                  <c:v>ČR</c:v>
                </c:pt>
                <c:pt idx="3">
                  <c:v>AT</c:v>
                </c:pt>
                <c:pt idx="4">
                  <c:v>PL</c:v>
                </c:pt>
              </c:strCache>
            </c:strRef>
          </c:cat>
          <c:val>
            <c:numRef>
              <c:f>List2!$AH$4:$AH$8</c:f>
              <c:numCache>
                <c:formatCode>#,##0</c:formatCode>
                <c:ptCount val="5"/>
                <c:pt idx="0">
                  <c:v>1374</c:v>
                </c:pt>
                <c:pt idx="1">
                  <c:v>27229</c:v>
                </c:pt>
                <c:pt idx="2" formatCode="#,##0.00">
                  <c:v>2345</c:v>
                </c:pt>
                <c:pt idx="3" formatCode="#,##0.00">
                  <c:v>3130</c:v>
                </c:pt>
              </c:numCache>
            </c:numRef>
          </c:val>
          <c:extLst>
            <c:ext xmlns:c16="http://schemas.microsoft.com/office/drawing/2014/chart" uri="{C3380CC4-5D6E-409C-BE32-E72D297353CC}">
              <c16:uniqueId val="{00000008-FF9E-4FB8-A661-2E1DD1AFE88F}"/>
            </c:ext>
          </c:extLst>
        </c:ser>
        <c:dLbls>
          <c:showLegendKey val="0"/>
          <c:showVal val="0"/>
          <c:showCatName val="0"/>
          <c:showSerName val="0"/>
          <c:showPercent val="0"/>
          <c:showBubbleSize val="0"/>
        </c:dLbls>
        <c:gapWidth val="150"/>
        <c:axId val="641246336"/>
        <c:axId val="642813312"/>
      </c:barChart>
      <c:catAx>
        <c:axId val="641246336"/>
        <c:scaling>
          <c:orientation val="minMax"/>
        </c:scaling>
        <c:delete val="0"/>
        <c:axPos val="b"/>
        <c:numFmt formatCode="General" sourceLinked="0"/>
        <c:majorTickMark val="out"/>
        <c:minorTickMark val="none"/>
        <c:tickLblPos val="nextTo"/>
        <c:crossAx val="642813312"/>
        <c:crosses val="autoZero"/>
        <c:auto val="1"/>
        <c:lblAlgn val="ctr"/>
        <c:lblOffset val="100"/>
        <c:noMultiLvlLbl val="0"/>
      </c:catAx>
      <c:valAx>
        <c:axId val="642813312"/>
        <c:scaling>
          <c:orientation val="minMax"/>
        </c:scaling>
        <c:delete val="0"/>
        <c:axPos val="l"/>
        <c:majorGridlines/>
        <c:numFmt formatCode="#,##0" sourceLinked="1"/>
        <c:majorTickMark val="out"/>
        <c:minorTickMark val="none"/>
        <c:tickLblPos val="nextTo"/>
        <c:crossAx val="641246336"/>
        <c:crosses val="autoZero"/>
        <c:crossBetween val="between"/>
      </c:valAx>
    </c:plotArea>
    <c:legend>
      <c:legendPos val="r"/>
      <c:layout>
        <c:manualLayout>
          <c:xMode val="edge"/>
          <c:yMode val="edge"/>
          <c:x val="0.9345586483317645"/>
          <c:y val="0.20285142753227894"/>
          <c:w val="4.6181009471100445E-2"/>
          <c:h val="0.67888297872340464"/>
        </c:manualLayout>
      </c:layou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kumulované dopravné výkony (mil. vkm)</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72"/>
          <c:w val="0.80386037459418236"/>
          <c:h val="0.55013985633763673"/>
        </c:manualLayout>
      </c:layout>
      <c:barChart>
        <c:barDir val="col"/>
        <c:grouping val="clustered"/>
        <c:varyColors val="0"/>
        <c:ser>
          <c:idx val="0"/>
          <c:order val="0"/>
          <c:tx>
            <c:strRef>
              <c:f>List1!$AB$55</c:f>
              <c:strCache>
                <c:ptCount val="1"/>
                <c:pt idx="0">
                  <c:v>1. - 9. rok </c:v>
                </c:pt>
              </c:strCache>
            </c:strRef>
          </c:tx>
          <c:invertIfNegative val="0"/>
          <c:dPt>
            <c:idx val="0"/>
            <c:invertIfNegative val="0"/>
            <c:bubble3D val="0"/>
            <c:spPr>
              <a:solidFill>
                <a:srgbClr val="FF0000"/>
              </a:solidFill>
            </c:spPr>
            <c:extLst>
              <c:ext xmlns:c16="http://schemas.microsoft.com/office/drawing/2014/chart" uri="{C3380CC4-5D6E-409C-BE32-E72D297353CC}">
                <c16:uniqueId val="{00000001-C4F3-401A-8D8A-2997E82282FD}"/>
              </c:ext>
            </c:extLst>
          </c:dPt>
          <c:dPt>
            <c:idx val="1"/>
            <c:invertIfNegative val="0"/>
            <c:bubble3D val="0"/>
            <c:spPr>
              <a:solidFill>
                <a:srgbClr val="FFC000"/>
              </a:solidFill>
            </c:spPr>
            <c:extLst>
              <c:ext xmlns:c16="http://schemas.microsoft.com/office/drawing/2014/chart" uri="{C3380CC4-5D6E-409C-BE32-E72D297353CC}">
                <c16:uniqueId val="{00000003-C4F3-401A-8D8A-2997E82282FD}"/>
              </c:ext>
            </c:extLst>
          </c:dPt>
          <c:dPt>
            <c:idx val="2"/>
            <c:invertIfNegative val="0"/>
            <c:bubble3D val="0"/>
            <c:spPr>
              <a:solidFill>
                <a:schemeClr val="tx2"/>
              </a:solidFill>
            </c:spPr>
            <c:extLst>
              <c:ext xmlns:c16="http://schemas.microsoft.com/office/drawing/2014/chart" uri="{C3380CC4-5D6E-409C-BE32-E72D297353CC}">
                <c16:uniqueId val="{00000005-C4F3-401A-8D8A-2997E82282FD}"/>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C4F3-401A-8D8A-2997E82282FD}"/>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C4F3-401A-8D8A-2997E82282FD}"/>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List1!$AC$52:$AG$52</c:f>
              <c:strCache>
                <c:ptCount val="5"/>
                <c:pt idx="0">
                  <c:v>SR</c:v>
                </c:pt>
                <c:pt idx="1">
                  <c:v>DE</c:v>
                </c:pt>
                <c:pt idx="2">
                  <c:v>ČR</c:v>
                </c:pt>
                <c:pt idx="3">
                  <c:v>AT</c:v>
                </c:pt>
                <c:pt idx="4">
                  <c:v>PL</c:v>
                </c:pt>
              </c:strCache>
            </c:strRef>
          </c:cat>
          <c:val>
            <c:numRef>
              <c:f>List1!$AC$55:$AG$55</c:f>
              <c:numCache>
                <c:formatCode>#,##0</c:formatCode>
                <c:ptCount val="5"/>
                <c:pt idx="0">
                  <c:v>1145.2222222222222</c:v>
                </c:pt>
                <c:pt idx="1">
                  <c:v>26175</c:v>
                </c:pt>
                <c:pt idx="2">
                  <c:v>1864.6666666666667</c:v>
                </c:pt>
                <c:pt idx="3">
                  <c:v>3004.3333333333444</c:v>
                </c:pt>
                <c:pt idx="4">
                  <c:v>4509.75</c:v>
                </c:pt>
              </c:numCache>
            </c:numRef>
          </c:val>
          <c:extLst>
            <c:ext xmlns:c16="http://schemas.microsoft.com/office/drawing/2014/chart" uri="{C3380CC4-5D6E-409C-BE32-E72D297353CC}">
              <c16:uniqueId val="{0000000A-C4F3-401A-8D8A-2997E82282FD}"/>
            </c:ext>
          </c:extLst>
        </c:ser>
        <c:dLbls>
          <c:showLegendKey val="0"/>
          <c:showVal val="0"/>
          <c:showCatName val="0"/>
          <c:showSerName val="0"/>
          <c:showPercent val="0"/>
          <c:showBubbleSize val="0"/>
        </c:dLbls>
        <c:gapWidth val="150"/>
        <c:axId val="643821568"/>
        <c:axId val="645149824"/>
      </c:barChart>
      <c:catAx>
        <c:axId val="643821568"/>
        <c:scaling>
          <c:orientation val="minMax"/>
        </c:scaling>
        <c:delete val="0"/>
        <c:axPos val="b"/>
        <c:numFmt formatCode="General" sourceLinked="0"/>
        <c:majorTickMark val="out"/>
        <c:minorTickMark val="none"/>
        <c:tickLblPos val="nextTo"/>
        <c:crossAx val="645149824"/>
        <c:crosses val="autoZero"/>
        <c:auto val="1"/>
        <c:lblAlgn val="ctr"/>
        <c:lblOffset val="100"/>
        <c:noMultiLvlLbl val="0"/>
      </c:catAx>
      <c:valAx>
        <c:axId val="645149824"/>
        <c:scaling>
          <c:orientation val="minMax"/>
        </c:scaling>
        <c:delete val="0"/>
        <c:axPos val="l"/>
        <c:numFmt formatCode="#,##0" sourceLinked="1"/>
        <c:majorTickMark val="out"/>
        <c:minorTickMark val="none"/>
        <c:tickLblPos val="nextTo"/>
        <c:crossAx val="643821568"/>
        <c:crosses val="autoZero"/>
        <c:crossBetween val="between"/>
      </c:valAx>
    </c:plotArea>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39"/>
          <c:w val="0.80386037459418158"/>
          <c:h val="0.55013985633763673"/>
        </c:manualLayout>
      </c:layout>
      <c:barChart>
        <c:barDir val="col"/>
        <c:grouping val="clustered"/>
        <c:varyColors val="0"/>
        <c:ser>
          <c:idx val="0"/>
          <c:order val="0"/>
          <c:tx>
            <c:strRef>
              <c:f>List1!$AB$53</c:f>
              <c:strCache>
                <c:ptCount val="1"/>
                <c:pt idx="0">
                  <c:v>1. - 5. rok</c:v>
                </c:pt>
              </c:strCache>
            </c:strRef>
          </c:tx>
          <c:invertIfNegative val="0"/>
          <c:dPt>
            <c:idx val="0"/>
            <c:invertIfNegative val="0"/>
            <c:bubble3D val="0"/>
            <c:spPr>
              <a:solidFill>
                <a:srgbClr val="FF0000"/>
              </a:solidFill>
            </c:spPr>
            <c:extLst>
              <c:ext xmlns:c16="http://schemas.microsoft.com/office/drawing/2014/chart" uri="{C3380CC4-5D6E-409C-BE32-E72D297353CC}">
                <c16:uniqueId val="{00000001-40F8-4163-B23D-5F28E9CBB3B7}"/>
              </c:ext>
            </c:extLst>
          </c:dPt>
          <c:dPt>
            <c:idx val="1"/>
            <c:invertIfNegative val="0"/>
            <c:bubble3D val="0"/>
            <c:spPr>
              <a:solidFill>
                <a:srgbClr val="FFC000"/>
              </a:solidFill>
            </c:spPr>
            <c:extLst>
              <c:ext xmlns:c16="http://schemas.microsoft.com/office/drawing/2014/chart" uri="{C3380CC4-5D6E-409C-BE32-E72D297353CC}">
                <c16:uniqueId val="{00000003-40F8-4163-B23D-5F28E9CBB3B7}"/>
              </c:ext>
            </c:extLst>
          </c:dPt>
          <c:dPt>
            <c:idx val="2"/>
            <c:invertIfNegative val="0"/>
            <c:bubble3D val="0"/>
            <c:spPr>
              <a:solidFill>
                <a:schemeClr val="tx2"/>
              </a:solidFill>
            </c:spPr>
            <c:extLst>
              <c:ext xmlns:c16="http://schemas.microsoft.com/office/drawing/2014/chart" uri="{C3380CC4-5D6E-409C-BE32-E72D297353CC}">
                <c16:uniqueId val="{00000005-40F8-4163-B23D-5F28E9CBB3B7}"/>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40F8-4163-B23D-5F28E9CBB3B7}"/>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40F8-4163-B23D-5F28E9CBB3B7}"/>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List1!$AC$52:$AG$52</c:f>
              <c:strCache>
                <c:ptCount val="5"/>
                <c:pt idx="0">
                  <c:v>SR</c:v>
                </c:pt>
                <c:pt idx="1">
                  <c:v>DE</c:v>
                </c:pt>
                <c:pt idx="2">
                  <c:v>ČR</c:v>
                </c:pt>
                <c:pt idx="3">
                  <c:v>AT</c:v>
                </c:pt>
                <c:pt idx="4">
                  <c:v>PL</c:v>
                </c:pt>
              </c:strCache>
            </c:strRef>
          </c:cat>
          <c:val>
            <c:numRef>
              <c:f>List1!$AC$53:$AG$53</c:f>
              <c:numCache>
                <c:formatCode>#,##0</c:formatCode>
                <c:ptCount val="5"/>
                <c:pt idx="0">
                  <c:v>1025.4000000000001</c:v>
                </c:pt>
                <c:pt idx="1">
                  <c:v>25867.200000000001</c:v>
                </c:pt>
                <c:pt idx="2">
                  <c:v>1647.2</c:v>
                </c:pt>
                <c:pt idx="3">
                  <c:v>2981</c:v>
                </c:pt>
                <c:pt idx="4">
                  <c:v>3484.8</c:v>
                </c:pt>
              </c:numCache>
            </c:numRef>
          </c:val>
          <c:extLst>
            <c:ext xmlns:c16="http://schemas.microsoft.com/office/drawing/2014/chart" uri="{C3380CC4-5D6E-409C-BE32-E72D297353CC}">
              <c16:uniqueId val="{0000000A-40F8-4163-B23D-5F28E9CBB3B7}"/>
            </c:ext>
          </c:extLst>
        </c:ser>
        <c:dLbls>
          <c:showLegendKey val="0"/>
          <c:showVal val="0"/>
          <c:showCatName val="0"/>
          <c:showSerName val="0"/>
          <c:showPercent val="0"/>
          <c:showBubbleSize val="0"/>
        </c:dLbls>
        <c:gapWidth val="150"/>
        <c:axId val="667552000"/>
        <c:axId val="667566080"/>
      </c:barChart>
      <c:catAx>
        <c:axId val="667552000"/>
        <c:scaling>
          <c:orientation val="minMax"/>
        </c:scaling>
        <c:delete val="0"/>
        <c:axPos val="b"/>
        <c:numFmt formatCode="General" sourceLinked="0"/>
        <c:majorTickMark val="out"/>
        <c:minorTickMark val="none"/>
        <c:tickLblPos val="nextTo"/>
        <c:crossAx val="667566080"/>
        <c:crosses val="autoZero"/>
        <c:auto val="1"/>
        <c:lblAlgn val="ctr"/>
        <c:lblOffset val="100"/>
        <c:noMultiLvlLbl val="0"/>
      </c:catAx>
      <c:valAx>
        <c:axId val="667566080"/>
        <c:scaling>
          <c:orientation val="minMax"/>
        </c:scaling>
        <c:delete val="0"/>
        <c:axPos val="l"/>
        <c:numFmt formatCode="#,##0" sourceLinked="1"/>
        <c:majorTickMark val="out"/>
        <c:minorTickMark val="none"/>
        <c:tickLblPos val="nextTo"/>
        <c:crossAx val="667552000"/>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5"/>
          <c:w val="0.80386037459418191"/>
          <c:h val="0.55013985633763673"/>
        </c:manualLayout>
      </c:layout>
      <c:barChart>
        <c:barDir val="col"/>
        <c:grouping val="clustered"/>
        <c:varyColors val="0"/>
        <c:ser>
          <c:idx val="0"/>
          <c:order val="0"/>
          <c:tx>
            <c:strRef>
              <c:f>List1!$AB$54</c:f>
              <c:strCache>
                <c:ptCount val="1"/>
                <c:pt idx="0">
                  <c:v>5. - 9. rok</c:v>
                </c:pt>
              </c:strCache>
            </c:strRef>
          </c:tx>
          <c:invertIfNegative val="0"/>
          <c:dPt>
            <c:idx val="0"/>
            <c:invertIfNegative val="0"/>
            <c:bubble3D val="0"/>
            <c:spPr>
              <a:solidFill>
                <a:srgbClr val="FF0000"/>
              </a:solidFill>
            </c:spPr>
            <c:extLst>
              <c:ext xmlns:c16="http://schemas.microsoft.com/office/drawing/2014/chart" uri="{C3380CC4-5D6E-409C-BE32-E72D297353CC}">
                <c16:uniqueId val="{00000001-9BB2-407A-9023-58339EBD675F}"/>
              </c:ext>
            </c:extLst>
          </c:dPt>
          <c:dPt>
            <c:idx val="1"/>
            <c:invertIfNegative val="0"/>
            <c:bubble3D val="0"/>
            <c:spPr>
              <a:solidFill>
                <a:srgbClr val="FFC000"/>
              </a:solidFill>
            </c:spPr>
            <c:extLst>
              <c:ext xmlns:c16="http://schemas.microsoft.com/office/drawing/2014/chart" uri="{C3380CC4-5D6E-409C-BE32-E72D297353CC}">
                <c16:uniqueId val="{00000003-9BB2-407A-9023-58339EBD675F}"/>
              </c:ext>
            </c:extLst>
          </c:dPt>
          <c:dPt>
            <c:idx val="2"/>
            <c:invertIfNegative val="0"/>
            <c:bubble3D val="0"/>
            <c:spPr>
              <a:solidFill>
                <a:schemeClr val="tx2"/>
              </a:solidFill>
            </c:spPr>
            <c:extLst>
              <c:ext xmlns:c16="http://schemas.microsoft.com/office/drawing/2014/chart" uri="{C3380CC4-5D6E-409C-BE32-E72D297353CC}">
                <c16:uniqueId val="{00000005-9BB2-407A-9023-58339EBD675F}"/>
              </c:ext>
            </c:extLst>
          </c:dPt>
          <c:dPt>
            <c:idx val="3"/>
            <c:invertIfNegative val="0"/>
            <c:bubble3D val="0"/>
            <c:spPr>
              <a:solidFill>
                <a:schemeClr val="accent3">
                  <a:lumMod val="50000"/>
                </a:schemeClr>
              </a:solidFill>
            </c:spPr>
            <c:extLst>
              <c:ext xmlns:c16="http://schemas.microsoft.com/office/drawing/2014/chart" uri="{C3380CC4-5D6E-409C-BE32-E72D297353CC}">
                <c16:uniqueId val="{00000007-9BB2-407A-9023-58339EBD675F}"/>
              </c:ext>
            </c:extLst>
          </c:dPt>
          <c:dPt>
            <c:idx val="4"/>
            <c:invertIfNegative val="0"/>
            <c:bubble3D val="0"/>
            <c:spPr>
              <a:solidFill>
                <a:schemeClr val="accent4">
                  <a:lumMod val="75000"/>
                </a:schemeClr>
              </a:solidFill>
            </c:spPr>
            <c:extLst>
              <c:ext xmlns:c16="http://schemas.microsoft.com/office/drawing/2014/chart" uri="{C3380CC4-5D6E-409C-BE32-E72D297353CC}">
                <c16:uniqueId val="{00000009-9BB2-407A-9023-58339EBD675F}"/>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List1!$AC$52:$AG$52</c:f>
              <c:strCache>
                <c:ptCount val="5"/>
                <c:pt idx="0">
                  <c:v>SR</c:v>
                </c:pt>
                <c:pt idx="1">
                  <c:v>DE</c:v>
                </c:pt>
                <c:pt idx="2">
                  <c:v>ČR</c:v>
                </c:pt>
                <c:pt idx="3">
                  <c:v>AT</c:v>
                </c:pt>
                <c:pt idx="4">
                  <c:v>PL</c:v>
                </c:pt>
              </c:strCache>
            </c:strRef>
          </c:cat>
          <c:val>
            <c:numRef>
              <c:f>List1!$AC$54:$AG$54</c:f>
              <c:numCache>
                <c:formatCode>#,##0</c:formatCode>
                <c:ptCount val="5"/>
                <c:pt idx="0">
                  <c:v>1266.4000000000001</c:v>
                </c:pt>
                <c:pt idx="1">
                  <c:v>26119.8</c:v>
                </c:pt>
                <c:pt idx="2">
                  <c:v>2112.1999999999998</c:v>
                </c:pt>
                <c:pt idx="3">
                  <c:v>3077.6</c:v>
                </c:pt>
                <c:pt idx="4">
                  <c:v>5898.25</c:v>
                </c:pt>
              </c:numCache>
            </c:numRef>
          </c:val>
          <c:extLst>
            <c:ext xmlns:c16="http://schemas.microsoft.com/office/drawing/2014/chart" uri="{C3380CC4-5D6E-409C-BE32-E72D297353CC}">
              <c16:uniqueId val="{0000000A-9BB2-407A-9023-58339EBD675F}"/>
            </c:ext>
          </c:extLst>
        </c:ser>
        <c:dLbls>
          <c:showLegendKey val="0"/>
          <c:showVal val="0"/>
          <c:showCatName val="0"/>
          <c:showSerName val="0"/>
          <c:showPercent val="0"/>
          <c:showBubbleSize val="0"/>
        </c:dLbls>
        <c:gapWidth val="150"/>
        <c:axId val="698915456"/>
        <c:axId val="698937728"/>
      </c:barChart>
      <c:catAx>
        <c:axId val="698915456"/>
        <c:scaling>
          <c:orientation val="minMax"/>
        </c:scaling>
        <c:delete val="0"/>
        <c:axPos val="b"/>
        <c:numFmt formatCode="General" sourceLinked="0"/>
        <c:majorTickMark val="out"/>
        <c:minorTickMark val="none"/>
        <c:tickLblPos val="nextTo"/>
        <c:crossAx val="698937728"/>
        <c:crosses val="autoZero"/>
        <c:auto val="1"/>
        <c:lblAlgn val="ctr"/>
        <c:lblOffset val="100"/>
        <c:noMultiLvlLbl val="0"/>
      </c:catAx>
      <c:valAx>
        <c:axId val="698937728"/>
        <c:scaling>
          <c:orientation val="minMax"/>
        </c:scaling>
        <c:delete val="0"/>
        <c:axPos val="l"/>
        <c:numFmt formatCode="#,##0" sourceLinked="1"/>
        <c:majorTickMark val="out"/>
        <c:minorTickMark val="none"/>
        <c:tickLblPos val="nextTo"/>
        <c:crossAx val="698915456"/>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en-US" sz="1200">
                <a:solidFill>
                  <a:srgbClr val="C00000"/>
                </a:solidFill>
              </a:rPr>
              <a:t>Ročné výnosy (mil. €)</a:t>
            </a:r>
          </a:p>
        </c:rich>
      </c:tx>
      <c:layout>
        <c:manualLayout>
          <c:xMode val="edge"/>
          <c:yMode val="edge"/>
          <c:x val="2.0224697909362512E-3"/>
          <c:y val="0"/>
        </c:manualLayout>
      </c:layout>
      <c:overlay val="0"/>
    </c:title>
    <c:autoTitleDeleted val="0"/>
    <c:plotArea>
      <c:layout/>
      <c:barChart>
        <c:barDir val="col"/>
        <c:grouping val="clustered"/>
        <c:varyColors val="0"/>
        <c:ser>
          <c:idx val="0"/>
          <c:order val="0"/>
          <c:tx>
            <c:strRef>
              <c:f>'zákl. grafy'!$AC$31</c:f>
              <c:strCache>
                <c:ptCount val="1"/>
                <c:pt idx="0">
                  <c:v>1.</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grafy'!$AC$32:$AC$37</c:f>
              <c:numCache>
                <c:formatCode>#,##0.00</c:formatCode>
                <c:ptCount val="6"/>
                <c:pt idx="0">
                  <c:v>141.80986158999997</c:v>
                </c:pt>
                <c:pt idx="1">
                  <c:v>141.63</c:v>
                </c:pt>
                <c:pt idx="2">
                  <c:v>2590</c:v>
                </c:pt>
                <c:pt idx="3">
                  <c:v>200.59</c:v>
                </c:pt>
                <c:pt idx="4">
                  <c:v>785.12</c:v>
                </c:pt>
                <c:pt idx="5">
                  <c:v>83.39</c:v>
                </c:pt>
              </c:numCache>
            </c:numRef>
          </c:val>
          <c:extLst>
            <c:ext xmlns:c16="http://schemas.microsoft.com/office/drawing/2014/chart" uri="{C3380CC4-5D6E-409C-BE32-E72D297353CC}">
              <c16:uniqueId val="{00000000-85B4-4AF6-8930-A07FE7FAB171}"/>
            </c:ext>
          </c:extLst>
        </c:ser>
        <c:ser>
          <c:idx val="1"/>
          <c:order val="1"/>
          <c:tx>
            <c:strRef>
              <c:f>'zákl. grafy'!$AD$31</c:f>
              <c:strCache>
                <c:ptCount val="1"/>
                <c:pt idx="0">
                  <c:v>2.</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grafy'!$AD$32:$AD$37</c:f>
              <c:numCache>
                <c:formatCode>#,##0.00</c:formatCode>
                <c:ptCount val="6"/>
                <c:pt idx="0">
                  <c:v>154.05552609000003</c:v>
                </c:pt>
                <c:pt idx="1">
                  <c:v>153.94999999999999</c:v>
                </c:pt>
                <c:pt idx="2">
                  <c:v>3050</c:v>
                </c:pt>
                <c:pt idx="3">
                  <c:v>246.26999999999998</c:v>
                </c:pt>
                <c:pt idx="4">
                  <c:v>807.47</c:v>
                </c:pt>
                <c:pt idx="5">
                  <c:v>194.44</c:v>
                </c:pt>
              </c:numCache>
            </c:numRef>
          </c:val>
          <c:extLst>
            <c:ext xmlns:c16="http://schemas.microsoft.com/office/drawing/2014/chart" uri="{C3380CC4-5D6E-409C-BE32-E72D297353CC}">
              <c16:uniqueId val="{00000001-85B4-4AF6-8930-A07FE7FAB171}"/>
            </c:ext>
          </c:extLst>
        </c:ser>
        <c:ser>
          <c:idx val="2"/>
          <c:order val="2"/>
          <c:tx>
            <c:strRef>
              <c:f>'zákl. grafy'!$AE$31</c:f>
              <c:strCache>
                <c:ptCount val="1"/>
                <c:pt idx="0">
                  <c:v>3.</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grafy'!$AE$32:$AE$37</c:f>
              <c:numCache>
                <c:formatCode>#,##0.00</c:formatCode>
                <c:ptCount val="6"/>
                <c:pt idx="0">
                  <c:v>155.52185154000003</c:v>
                </c:pt>
                <c:pt idx="1">
                  <c:v>154.80000000000001</c:v>
                </c:pt>
                <c:pt idx="2">
                  <c:v>3310</c:v>
                </c:pt>
                <c:pt idx="3">
                  <c:v>209.72</c:v>
                </c:pt>
                <c:pt idx="4">
                  <c:v>825.18000000000052</c:v>
                </c:pt>
                <c:pt idx="5">
                  <c:v>240.10999999999999</c:v>
                </c:pt>
              </c:numCache>
            </c:numRef>
          </c:val>
          <c:extLst>
            <c:ext xmlns:c16="http://schemas.microsoft.com/office/drawing/2014/chart" uri="{C3380CC4-5D6E-409C-BE32-E72D297353CC}">
              <c16:uniqueId val="{00000002-85B4-4AF6-8930-A07FE7FAB171}"/>
            </c:ext>
          </c:extLst>
        </c:ser>
        <c:ser>
          <c:idx val="3"/>
          <c:order val="3"/>
          <c:tx>
            <c:strRef>
              <c:f>'zákl. grafy'!$AF$31</c:f>
              <c:strCache>
                <c:ptCount val="1"/>
                <c:pt idx="0">
                  <c:v>4.</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grafy'!$AF$32:$AF$37</c:f>
              <c:numCache>
                <c:formatCode>#,##0.00</c:formatCode>
                <c:ptCount val="6"/>
                <c:pt idx="0">
                  <c:v>159.06705549999998</c:v>
                </c:pt>
                <c:pt idx="1">
                  <c:v>158.66</c:v>
                </c:pt>
                <c:pt idx="2">
                  <c:v>3490</c:v>
                </c:pt>
                <c:pt idx="3">
                  <c:v>258.24</c:v>
                </c:pt>
                <c:pt idx="4">
                  <c:v>983.67000000000053</c:v>
                </c:pt>
                <c:pt idx="5">
                  <c:v>293.89999999999969</c:v>
                </c:pt>
              </c:numCache>
            </c:numRef>
          </c:val>
          <c:extLst>
            <c:ext xmlns:c16="http://schemas.microsoft.com/office/drawing/2014/chart" uri="{C3380CC4-5D6E-409C-BE32-E72D297353CC}">
              <c16:uniqueId val="{00000003-85B4-4AF6-8930-A07FE7FAB171}"/>
            </c:ext>
          </c:extLst>
        </c:ser>
        <c:ser>
          <c:idx val="4"/>
          <c:order val="4"/>
          <c:tx>
            <c:strRef>
              <c:f>'zákl. grafy'!$AG$31</c:f>
              <c:strCache>
                <c:ptCount val="1"/>
                <c:pt idx="0">
                  <c:v>5.</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grafy'!$AG$32:$AG$37</c:f>
              <c:numCache>
                <c:formatCode>#,##0.00</c:formatCode>
                <c:ptCount val="6"/>
                <c:pt idx="0">
                  <c:v>183.38532253000022</c:v>
                </c:pt>
                <c:pt idx="1">
                  <c:v>181.54</c:v>
                </c:pt>
                <c:pt idx="2">
                  <c:v>4330</c:v>
                </c:pt>
                <c:pt idx="3">
                  <c:v>330.4199999999995</c:v>
                </c:pt>
                <c:pt idx="4">
                  <c:v>1062.011</c:v>
                </c:pt>
                <c:pt idx="5">
                  <c:v>323.74</c:v>
                </c:pt>
              </c:numCache>
            </c:numRef>
          </c:val>
          <c:extLst>
            <c:ext xmlns:c16="http://schemas.microsoft.com/office/drawing/2014/chart" uri="{C3380CC4-5D6E-409C-BE32-E72D297353CC}">
              <c16:uniqueId val="{00000004-85B4-4AF6-8930-A07FE7FAB171}"/>
            </c:ext>
          </c:extLst>
        </c:ser>
        <c:ser>
          <c:idx val="5"/>
          <c:order val="5"/>
          <c:tx>
            <c:strRef>
              <c:f>'zákl. grafy'!$AH$31</c:f>
              <c:strCache>
                <c:ptCount val="1"/>
                <c:pt idx="0">
                  <c:v>6.</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grafy'!$AH$32:$AH$37</c:f>
              <c:numCache>
                <c:formatCode>#,##0.00</c:formatCode>
                <c:ptCount val="6"/>
                <c:pt idx="0">
                  <c:v>187.45345862000002</c:v>
                </c:pt>
                <c:pt idx="1">
                  <c:v>184.92000000000004</c:v>
                </c:pt>
                <c:pt idx="2">
                  <c:v>4510</c:v>
                </c:pt>
                <c:pt idx="3">
                  <c:v>345.14000000000038</c:v>
                </c:pt>
                <c:pt idx="4">
                  <c:v>926.16800000000001</c:v>
                </c:pt>
                <c:pt idx="5">
                  <c:v>342.46999999999969</c:v>
                </c:pt>
              </c:numCache>
            </c:numRef>
          </c:val>
          <c:extLst>
            <c:ext xmlns:c16="http://schemas.microsoft.com/office/drawing/2014/chart" uri="{C3380CC4-5D6E-409C-BE32-E72D297353CC}">
              <c16:uniqueId val="{00000005-85B4-4AF6-8930-A07FE7FAB171}"/>
            </c:ext>
          </c:extLst>
        </c:ser>
        <c:ser>
          <c:idx val="6"/>
          <c:order val="6"/>
          <c:tx>
            <c:strRef>
              <c:f>'zákl. grafy'!$AI$31</c:f>
              <c:strCache>
                <c:ptCount val="1"/>
                <c:pt idx="0">
                  <c:v>7.</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grafy'!$AI$32:$AI$37</c:f>
              <c:numCache>
                <c:formatCode>#,##0.00</c:formatCode>
                <c:ptCount val="6"/>
                <c:pt idx="0">
                  <c:v>193.33533670666688</c:v>
                </c:pt>
                <c:pt idx="1">
                  <c:v>191.10999999999999</c:v>
                </c:pt>
                <c:pt idx="2">
                  <c:v>4480</c:v>
                </c:pt>
                <c:pt idx="3">
                  <c:v>329.40999999999963</c:v>
                </c:pt>
                <c:pt idx="4">
                  <c:v>1031.01</c:v>
                </c:pt>
                <c:pt idx="5">
                  <c:v>391.75</c:v>
                </c:pt>
              </c:numCache>
            </c:numRef>
          </c:val>
          <c:extLst>
            <c:ext xmlns:c16="http://schemas.microsoft.com/office/drawing/2014/chart" uri="{C3380CC4-5D6E-409C-BE32-E72D297353CC}">
              <c16:uniqueId val="{00000006-85B4-4AF6-8930-A07FE7FAB171}"/>
            </c:ext>
          </c:extLst>
        </c:ser>
        <c:ser>
          <c:idx val="7"/>
          <c:order val="7"/>
          <c:tx>
            <c:strRef>
              <c:f>'zákl. grafy'!$AJ$31</c:f>
              <c:strCache>
                <c:ptCount val="1"/>
                <c:pt idx="0">
                  <c:v>8.</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grafy'!$AJ$32:$AJ$37</c:f>
              <c:numCache>
                <c:formatCode>#,##0.00</c:formatCode>
                <c:ptCount val="6"/>
                <c:pt idx="0">
                  <c:v>201.13703716166668</c:v>
                </c:pt>
                <c:pt idx="1">
                  <c:v>198.91</c:v>
                </c:pt>
                <c:pt idx="2">
                  <c:v>4360</c:v>
                </c:pt>
                <c:pt idx="3">
                  <c:v>317.17</c:v>
                </c:pt>
                <c:pt idx="4">
                  <c:v>1062.3799999999999</c:v>
                </c:pt>
                <c:pt idx="5">
                  <c:v>421.12</c:v>
                </c:pt>
              </c:numCache>
            </c:numRef>
          </c:val>
          <c:extLst>
            <c:ext xmlns:c16="http://schemas.microsoft.com/office/drawing/2014/chart" uri="{C3380CC4-5D6E-409C-BE32-E72D297353CC}">
              <c16:uniqueId val="{00000007-85B4-4AF6-8930-A07FE7FAB171}"/>
            </c:ext>
          </c:extLst>
        </c:ser>
        <c:ser>
          <c:idx val="8"/>
          <c:order val="8"/>
          <c:tx>
            <c:strRef>
              <c:f>'zákl. grafy'!$AK$31</c:f>
              <c:strCache>
                <c:ptCount val="1"/>
                <c:pt idx="0">
                  <c:v>9.</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grafy'!$AK$32:$AK$37</c:f>
              <c:numCache>
                <c:formatCode>#,##0.00</c:formatCode>
                <c:ptCount val="6"/>
                <c:pt idx="0">
                  <c:v>213.45159427833337</c:v>
                </c:pt>
                <c:pt idx="1">
                  <c:v>211.13</c:v>
                </c:pt>
                <c:pt idx="2">
                  <c:v>4390</c:v>
                </c:pt>
                <c:pt idx="3">
                  <c:v>356.9199999999995</c:v>
                </c:pt>
                <c:pt idx="4">
                  <c:v>1102.76</c:v>
                </c:pt>
              </c:numCache>
            </c:numRef>
          </c:val>
          <c:extLst>
            <c:ext xmlns:c16="http://schemas.microsoft.com/office/drawing/2014/chart" uri="{C3380CC4-5D6E-409C-BE32-E72D297353CC}">
              <c16:uniqueId val="{00000008-85B4-4AF6-8930-A07FE7FAB171}"/>
            </c:ext>
          </c:extLst>
        </c:ser>
        <c:dLbls>
          <c:showLegendKey val="0"/>
          <c:showVal val="0"/>
          <c:showCatName val="0"/>
          <c:showSerName val="0"/>
          <c:showPercent val="0"/>
          <c:showBubbleSize val="0"/>
        </c:dLbls>
        <c:gapWidth val="150"/>
        <c:axId val="700246656"/>
        <c:axId val="702237312"/>
      </c:barChart>
      <c:catAx>
        <c:axId val="700246656"/>
        <c:scaling>
          <c:orientation val="minMax"/>
        </c:scaling>
        <c:delete val="0"/>
        <c:axPos val="b"/>
        <c:numFmt formatCode="General" sourceLinked="0"/>
        <c:majorTickMark val="out"/>
        <c:minorTickMark val="none"/>
        <c:tickLblPos val="nextTo"/>
        <c:crossAx val="702237312"/>
        <c:crosses val="autoZero"/>
        <c:auto val="1"/>
        <c:lblAlgn val="ctr"/>
        <c:lblOffset val="100"/>
        <c:noMultiLvlLbl val="0"/>
      </c:catAx>
      <c:valAx>
        <c:axId val="702237312"/>
        <c:scaling>
          <c:orientation val="minMax"/>
        </c:scaling>
        <c:delete val="0"/>
        <c:axPos val="l"/>
        <c:majorGridlines/>
        <c:numFmt formatCode="#,##0" sourceLinked="0"/>
        <c:majorTickMark val="out"/>
        <c:minorTickMark val="none"/>
        <c:tickLblPos val="nextTo"/>
        <c:crossAx val="700246656"/>
        <c:crosses val="autoZero"/>
        <c:crossBetween val="between"/>
      </c:valAx>
    </c:plotArea>
    <c:legend>
      <c:legendPos val="r"/>
      <c:layout>
        <c:manualLayout>
          <c:xMode val="edge"/>
          <c:yMode val="edge"/>
          <c:x val="0.93460063546978456"/>
          <c:y val="0.20285142753227894"/>
          <c:w val="4.6151379758866365E-2"/>
          <c:h val="0.66156164757228664"/>
        </c:manualLayout>
      </c:layout>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výnosy (mil. €/rok)</a:t>
            </a:r>
          </a:p>
          <a:p>
            <a:pPr algn="l">
              <a:defRPr/>
            </a:pPr>
            <a:r>
              <a:rPr lang="sk-SK" sz="1050" i="1" baseline="0"/>
              <a:t>Základný scenár: 1. až 9. rok prevádzk</a:t>
            </a:r>
            <a:r>
              <a:rPr lang="sk-SK" sz="1200" i="1" baseline="0"/>
              <a:t>y</a:t>
            </a:r>
            <a:endParaRPr lang="en-US" sz="120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5"/>
          <c:w val="0.80386037459418191"/>
          <c:h val="0.55013985633763673"/>
        </c:manualLayout>
      </c:layout>
      <c:barChart>
        <c:barDir val="col"/>
        <c:grouping val="clustered"/>
        <c:varyColors val="0"/>
        <c:ser>
          <c:idx val="0"/>
          <c:order val="0"/>
          <c:tx>
            <c:strRef>
              <c:f>List1!$AB$61</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C2C8-4747-BEAF-17305A1B7D0C}"/>
              </c:ext>
            </c:extLst>
          </c:dPt>
          <c:dPt>
            <c:idx val="1"/>
            <c:invertIfNegative val="0"/>
            <c:bubble3D val="0"/>
            <c:spPr>
              <a:solidFill>
                <a:srgbClr val="C00000"/>
              </a:solidFill>
            </c:spPr>
            <c:extLst>
              <c:ext xmlns:c16="http://schemas.microsoft.com/office/drawing/2014/chart" uri="{C3380CC4-5D6E-409C-BE32-E72D297353CC}">
                <c16:uniqueId val="{00000003-C2C8-4747-BEAF-17305A1B7D0C}"/>
              </c:ext>
            </c:extLst>
          </c:dPt>
          <c:dPt>
            <c:idx val="2"/>
            <c:invertIfNegative val="0"/>
            <c:bubble3D val="0"/>
            <c:spPr>
              <a:solidFill>
                <a:srgbClr val="FFC000"/>
              </a:solidFill>
            </c:spPr>
            <c:extLst>
              <c:ext xmlns:c16="http://schemas.microsoft.com/office/drawing/2014/chart" uri="{C3380CC4-5D6E-409C-BE32-E72D297353CC}">
                <c16:uniqueId val="{00000005-C2C8-4747-BEAF-17305A1B7D0C}"/>
              </c:ext>
            </c:extLst>
          </c:dPt>
          <c:dPt>
            <c:idx val="3"/>
            <c:invertIfNegative val="0"/>
            <c:bubble3D val="0"/>
            <c:spPr>
              <a:solidFill>
                <a:schemeClr val="tx2"/>
              </a:solidFill>
            </c:spPr>
            <c:extLst>
              <c:ext xmlns:c16="http://schemas.microsoft.com/office/drawing/2014/chart" uri="{C3380CC4-5D6E-409C-BE32-E72D297353CC}">
                <c16:uniqueId val="{00000007-C2C8-4747-BEAF-17305A1B7D0C}"/>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C2C8-4747-BEAF-17305A1B7D0C}"/>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C2C8-4747-BEAF-17305A1B7D0C}"/>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List1!$AC$58:$AH$58</c:f>
              <c:strCache>
                <c:ptCount val="6"/>
                <c:pt idx="0">
                  <c:v>SR (SkyToll)</c:v>
                </c:pt>
                <c:pt idx="1">
                  <c:v>SR (NDS)</c:v>
                </c:pt>
                <c:pt idx="2">
                  <c:v>DE</c:v>
                </c:pt>
                <c:pt idx="3">
                  <c:v>ČR</c:v>
                </c:pt>
                <c:pt idx="4">
                  <c:v>AT</c:v>
                </c:pt>
                <c:pt idx="5">
                  <c:v>PL</c:v>
                </c:pt>
              </c:strCache>
            </c:strRef>
          </c:cat>
          <c:val>
            <c:numRef>
              <c:f>List1!$AC$61:$AH$61</c:f>
              <c:numCache>
                <c:formatCode>#,##0</c:formatCode>
                <c:ptCount val="6"/>
                <c:pt idx="0">
                  <c:v>176.57967155740738</c:v>
                </c:pt>
                <c:pt idx="1">
                  <c:v>175.18333333333359</c:v>
                </c:pt>
                <c:pt idx="2">
                  <c:v>3834.4444444444443</c:v>
                </c:pt>
                <c:pt idx="3">
                  <c:v>288.20888888888891</c:v>
                </c:pt>
                <c:pt idx="4">
                  <c:v>953.97433333333436</c:v>
                </c:pt>
                <c:pt idx="5">
                  <c:v>286.36500000000001</c:v>
                </c:pt>
              </c:numCache>
            </c:numRef>
          </c:val>
          <c:extLst>
            <c:ext xmlns:c16="http://schemas.microsoft.com/office/drawing/2014/chart" uri="{C3380CC4-5D6E-409C-BE32-E72D297353CC}">
              <c16:uniqueId val="{0000000C-C2C8-4747-BEAF-17305A1B7D0C}"/>
            </c:ext>
          </c:extLst>
        </c:ser>
        <c:dLbls>
          <c:showLegendKey val="0"/>
          <c:showVal val="0"/>
          <c:showCatName val="0"/>
          <c:showSerName val="0"/>
          <c:showPercent val="0"/>
          <c:showBubbleSize val="0"/>
        </c:dLbls>
        <c:gapWidth val="150"/>
        <c:axId val="707032192"/>
        <c:axId val="707034496"/>
      </c:barChart>
      <c:catAx>
        <c:axId val="707032192"/>
        <c:scaling>
          <c:orientation val="minMax"/>
        </c:scaling>
        <c:delete val="0"/>
        <c:axPos val="b"/>
        <c:numFmt formatCode="General" sourceLinked="0"/>
        <c:majorTickMark val="out"/>
        <c:minorTickMark val="none"/>
        <c:tickLblPos val="nextTo"/>
        <c:crossAx val="707034496"/>
        <c:crosses val="autoZero"/>
        <c:auto val="1"/>
        <c:lblAlgn val="ctr"/>
        <c:lblOffset val="100"/>
        <c:noMultiLvlLbl val="0"/>
      </c:catAx>
      <c:valAx>
        <c:axId val="707034496"/>
        <c:scaling>
          <c:orientation val="minMax"/>
        </c:scaling>
        <c:delete val="0"/>
        <c:axPos val="l"/>
        <c:numFmt formatCode="#,##0" sourceLinked="1"/>
        <c:majorTickMark val="out"/>
        <c:minorTickMark val="none"/>
        <c:tickLblPos val="nextTo"/>
        <c:crossAx val="707032192"/>
        <c:crosses val="autoZero"/>
        <c:crossBetween val="between"/>
      </c:valAx>
    </c:plotArea>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61"/>
          <c:w val="0.80386037459418214"/>
          <c:h val="0.55013985633763673"/>
        </c:manualLayout>
      </c:layout>
      <c:barChart>
        <c:barDir val="col"/>
        <c:grouping val="clustered"/>
        <c:varyColors val="0"/>
        <c:ser>
          <c:idx val="0"/>
          <c:order val="0"/>
          <c:tx>
            <c:strRef>
              <c:f>List1!$AB$59</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6709-4DD5-AF1B-459336523DA4}"/>
              </c:ext>
            </c:extLst>
          </c:dPt>
          <c:dPt>
            <c:idx val="1"/>
            <c:invertIfNegative val="0"/>
            <c:bubble3D val="0"/>
            <c:spPr>
              <a:solidFill>
                <a:srgbClr val="C00000"/>
              </a:solidFill>
            </c:spPr>
            <c:extLst>
              <c:ext xmlns:c16="http://schemas.microsoft.com/office/drawing/2014/chart" uri="{C3380CC4-5D6E-409C-BE32-E72D297353CC}">
                <c16:uniqueId val="{00000003-6709-4DD5-AF1B-459336523DA4}"/>
              </c:ext>
            </c:extLst>
          </c:dPt>
          <c:dPt>
            <c:idx val="2"/>
            <c:invertIfNegative val="0"/>
            <c:bubble3D val="0"/>
            <c:spPr>
              <a:solidFill>
                <a:srgbClr val="FFC000"/>
              </a:solidFill>
            </c:spPr>
            <c:extLst>
              <c:ext xmlns:c16="http://schemas.microsoft.com/office/drawing/2014/chart" uri="{C3380CC4-5D6E-409C-BE32-E72D297353CC}">
                <c16:uniqueId val="{00000005-6709-4DD5-AF1B-459336523DA4}"/>
              </c:ext>
            </c:extLst>
          </c:dPt>
          <c:dPt>
            <c:idx val="3"/>
            <c:invertIfNegative val="0"/>
            <c:bubble3D val="0"/>
            <c:spPr>
              <a:solidFill>
                <a:schemeClr val="tx2"/>
              </a:solidFill>
            </c:spPr>
            <c:extLst>
              <c:ext xmlns:c16="http://schemas.microsoft.com/office/drawing/2014/chart" uri="{C3380CC4-5D6E-409C-BE32-E72D297353CC}">
                <c16:uniqueId val="{00000007-6709-4DD5-AF1B-459336523DA4}"/>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6709-4DD5-AF1B-459336523DA4}"/>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6709-4DD5-AF1B-459336523DA4}"/>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List1!$AC$58:$AH$58</c:f>
              <c:strCache>
                <c:ptCount val="6"/>
                <c:pt idx="0">
                  <c:v>SR (SkyToll)</c:v>
                </c:pt>
                <c:pt idx="1">
                  <c:v>SR (NDS)</c:v>
                </c:pt>
                <c:pt idx="2">
                  <c:v>DE</c:v>
                </c:pt>
                <c:pt idx="3">
                  <c:v>ČR</c:v>
                </c:pt>
                <c:pt idx="4">
                  <c:v>AT</c:v>
                </c:pt>
                <c:pt idx="5">
                  <c:v>PL</c:v>
                </c:pt>
              </c:strCache>
            </c:strRef>
          </c:cat>
          <c:val>
            <c:numRef>
              <c:f>List1!$AC$59:$AH$59</c:f>
              <c:numCache>
                <c:formatCode>#,##0</c:formatCode>
                <c:ptCount val="6"/>
                <c:pt idx="0">
                  <c:v>158.76792345000001</c:v>
                </c:pt>
                <c:pt idx="1">
                  <c:v>158.11599999999999</c:v>
                </c:pt>
                <c:pt idx="2">
                  <c:v>3354</c:v>
                </c:pt>
                <c:pt idx="3">
                  <c:v>249.048</c:v>
                </c:pt>
                <c:pt idx="4">
                  <c:v>892.6902</c:v>
                </c:pt>
                <c:pt idx="5">
                  <c:v>227.11599999999999</c:v>
                </c:pt>
              </c:numCache>
            </c:numRef>
          </c:val>
          <c:extLst>
            <c:ext xmlns:c16="http://schemas.microsoft.com/office/drawing/2014/chart" uri="{C3380CC4-5D6E-409C-BE32-E72D297353CC}">
              <c16:uniqueId val="{0000000C-6709-4DD5-AF1B-459336523DA4}"/>
            </c:ext>
          </c:extLst>
        </c:ser>
        <c:dLbls>
          <c:showLegendKey val="0"/>
          <c:showVal val="0"/>
          <c:showCatName val="0"/>
          <c:showSerName val="0"/>
          <c:showPercent val="0"/>
          <c:showBubbleSize val="0"/>
        </c:dLbls>
        <c:gapWidth val="150"/>
        <c:axId val="718661888"/>
        <c:axId val="718772096"/>
      </c:barChart>
      <c:catAx>
        <c:axId val="718661888"/>
        <c:scaling>
          <c:orientation val="minMax"/>
        </c:scaling>
        <c:delete val="0"/>
        <c:axPos val="b"/>
        <c:numFmt formatCode="General" sourceLinked="0"/>
        <c:majorTickMark val="out"/>
        <c:minorTickMark val="none"/>
        <c:tickLblPos val="nextTo"/>
        <c:crossAx val="718772096"/>
        <c:crosses val="autoZero"/>
        <c:auto val="1"/>
        <c:lblAlgn val="ctr"/>
        <c:lblOffset val="100"/>
        <c:noMultiLvlLbl val="0"/>
      </c:catAx>
      <c:valAx>
        <c:axId val="718772096"/>
        <c:scaling>
          <c:orientation val="minMax"/>
        </c:scaling>
        <c:delete val="0"/>
        <c:axPos val="l"/>
        <c:numFmt formatCode="#,##0" sourceLinked="1"/>
        <c:majorTickMark val="out"/>
        <c:minorTickMark val="none"/>
        <c:tickLblPos val="nextTo"/>
        <c:crossAx val="718661888"/>
        <c:crosses val="autoZero"/>
        <c:crossBetween val="between"/>
      </c:valAx>
    </c:plotArea>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72"/>
          <c:w val="0.80386037459418236"/>
          <c:h val="0.55013985633763673"/>
        </c:manualLayout>
      </c:layout>
      <c:barChart>
        <c:barDir val="col"/>
        <c:grouping val="clustered"/>
        <c:varyColors val="0"/>
        <c:ser>
          <c:idx val="0"/>
          <c:order val="0"/>
          <c:tx>
            <c:strRef>
              <c:f>List1!$AB$60</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5EAA-4EE1-B375-005FD02640B2}"/>
              </c:ext>
            </c:extLst>
          </c:dPt>
          <c:dPt>
            <c:idx val="1"/>
            <c:invertIfNegative val="0"/>
            <c:bubble3D val="0"/>
            <c:spPr>
              <a:solidFill>
                <a:srgbClr val="C00000"/>
              </a:solidFill>
            </c:spPr>
            <c:extLst>
              <c:ext xmlns:c16="http://schemas.microsoft.com/office/drawing/2014/chart" uri="{C3380CC4-5D6E-409C-BE32-E72D297353CC}">
                <c16:uniqueId val="{00000003-5EAA-4EE1-B375-005FD02640B2}"/>
              </c:ext>
            </c:extLst>
          </c:dPt>
          <c:dPt>
            <c:idx val="2"/>
            <c:invertIfNegative val="0"/>
            <c:bubble3D val="0"/>
            <c:spPr>
              <a:solidFill>
                <a:srgbClr val="FFC000"/>
              </a:solidFill>
            </c:spPr>
            <c:extLst>
              <c:ext xmlns:c16="http://schemas.microsoft.com/office/drawing/2014/chart" uri="{C3380CC4-5D6E-409C-BE32-E72D297353CC}">
                <c16:uniqueId val="{00000005-5EAA-4EE1-B375-005FD02640B2}"/>
              </c:ext>
            </c:extLst>
          </c:dPt>
          <c:dPt>
            <c:idx val="3"/>
            <c:invertIfNegative val="0"/>
            <c:bubble3D val="0"/>
            <c:spPr>
              <a:solidFill>
                <a:schemeClr val="tx2"/>
              </a:solidFill>
            </c:spPr>
            <c:extLst>
              <c:ext xmlns:c16="http://schemas.microsoft.com/office/drawing/2014/chart" uri="{C3380CC4-5D6E-409C-BE32-E72D297353CC}">
                <c16:uniqueId val="{00000007-5EAA-4EE1-B375-005FD02640B2}"/>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5EAA-4EE1-B375-005FD02640B2}"/>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5EAA-4EE1-B375-005FD02640B2}"/>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List1!$AC$58:$AH$58</c:f>
              <c:strCache>
                <c:ptCount val="6"/>
                <c:pt idx="0">
                  <c:v>SR (SkyToll)</c:v>
                </c:pt>
                <c:pt idx="1">
                  <c:v>SR (NDS)</c:v>
                </c:pt>
                <c:pt idx="2">
                  <c:v>DE</c:v>
                </c:pt>
                <c:pt idx="3">
                  <c:v>ČR</c:v>
                </c:pt>
                <c:pt idx="4">
                  <c:v>AT</c:v>
                </c:pt>
                <c:pt idx="5">
                  <c:v>PL</c:v>
                </c:pt>
              </c:strCache>
            </c:strRef>
          </c:cat>
          <c:val>
            <c:numRef>
              <c:f>List1!$AC$60:$AH$60</c:f>
              <c:numCache>
                <c:formatCode>#,##0</c:formatCode>
                <c:ptCount val="6"/>
                <c:pt idx="0">
                  <c:v>195.7525498593337</c:v>
                </c:pt>
                <c:pt idx="1">
                  <c:v>193.52200000000025</c:v>
                </c:pt>
                <c:pt idx="2">
                  <c:v>4414</c:v>
                </c:pt>
                <c:pt idx="3">
                  <c:v>335.81200000000001</c:v>
                </c:pt>
                <c:pt idx="4">
                  <c:v>1036.8658</c:v>
                </c:pt>
                <c:pt idx="5">
                  <c:v>369.77</c:v>
                </c:pt>
              </c:numCache>
            </c:numRef>
          </c:val>
          <c:extLst>
            <c:ext xmlns:c16="http://schemas.microsoft.com/office/drawing/2014/chart" uri="{C3380CC4-5D6E-409C-BE32-E72D297353CC}">
              <c16:uniqueId val="{0000000C-5EAA-4EE1-B375-005FD02640B2}"/>
            </c:ext>
          </c:extLst>
        </c:ser>
        <c:dLbls>
          <c:showLegendKey val="0"/>
          <c:showVal val="0"/>
          <c:showCatName val="0"/>
          <c:showSerName val="0"/>
          <c:showPercent val="0"/>
          <c:showBubbleSize val="0"/>
        </c:dLbls>
        <c:gapWidth val="150"/>
        <c:axId val="738282112"/>
        <c:axId val="738304384"/>
      </c:barChart>
      <c:catAx>
        <c:axId val="738282112"/>
        <c:scaling>
          <c:orientation val="minMax"/>
        </c:scaling>
        <c:delete val="0"/>
        <c:axPos val="b"/>
        <c:numFmt formatCode="General" sourceLinked="0"/>
        <c:majorTickMark val="out"/>
        <c:minorTickMark val="none"/>
        <c:tickLblPos val="nextTo"/>
        <c:crossAx val="738304384"/>
        <c:crosses val="autoZero"/>
        <c:auto val="1"/>
        <c:lblAlgn val="ctr"/>
        <c:lblOffset val="100"/>
        <c:noMultiLvlLbl val="0"/>
      </c:catAx>
      <c:valAx>
        <c:axId val="738304384"/>
        <c:scaling>
          <c:orientation val="minMax"/>
        </c:scaling>
        <c:delete val="0"/>
        <c:axPos val="l"/>
        <c:numFmt formatCode="#,##0" sourceLinked="1"/>
        <c:majorTickMark val="out"/>
        <c:minorTickMark val="none"/>
        <c:tickLblPos val="nextTo"/>
        <c:crossAx val="738282112"/>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solidFill>
                  <a:srgbClr val="C00000"/>
                </a:solidFill>
              </a:rPr>
              <a:t>Ročné náklady (mil. €)</a:t>
            </a:r>
          </a:p>
        </c:rich>
      </c:tx>
      <c:layout>
        <c:manualLayout>
          <c:xMode val="edge"/>
          <c:yMode val="edge"/>
          <c:x val="1.5039695804428173E-3"/>
          <c:y val="0"/>
        </c:manualLayout>
      </c:layout>
      <c:overlay val="0"/>
    </c:title>
    <c:autoTitleDeleted val="0"/>
    <c:plotArea>
      <c:layout/>
      <c:barChart>
        <c:barDir val="col"/>
        <c:grouping val="clustered"/>
        <c:varyColors val="0"/>
        <c:ser>
          <c:idx val="0"/>
          <c:order val="0"/>
          <c:tx>
            <c:strRef>
              <c:f>'zákl. grafy'!$AL$31</c:f>
              <c:strCache>
                <c:ptCount val="1"/>
                <c:pt idx="0">
                  <c:v>1.</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grafy'!$AL$32:$AL$37</c:f>
              <c:numCache>
                <c:formatCode>#,##0.00</c:formatCode>
                <c:ptCount val="6"/>
                <c:pt idx="0">
                  <c:v>98.04</c:v>
                </c:pt>
                <c:pt idx="1">
                  <c:v>106.41000000000012</c:v>
                </c:pt>
                <c:pt idx="2" formatCode="0">
                  <c:v>550</c:v>
                </c:pt>
                <c:pt idx="3">
                  <c:v>68.910000000000025</c:v>
                </c:pt>
                <c:pt idx="4">
                  <c:v>94.210000000000022</c:v>
                </c:pt>
                <c:pt idx="5">
                  <c:v>144.44999999999999</c:v>
                </c:pt>
              </c:numCache>
            </c:numRef>
          </c:val>
          <c:extLst>
            <c:ext xmlns:c16="http://schemas.microsoft.com/office/drawing/2014/chart" uri="{C3380CC4-5D6E-409C-BE32-E72D297353CC}">
              <c16:uniqueId val="{00000000-687C-4188-80F0-1766096B8246}"/>
            </c:ext>
          </c:extLst>
        </c:ser>
        <c:ser>
          <c:idx val="1"/>
          <c:order val="1"/>
          <c:tx>
            <c:strRef>
              <c:f>'zákl. grafy'!$AM$31</c:f>
              <c:strCache>
                <c:ptCount val="1"/>
                <c:pt idx="0">
                  <c:v>2.</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grafy'!$AM$32:$AM$37</c:f>
              <c:numCache>
                <c:formatCode>#,##0.00</c:formatCode>
                <c:ptCount val="6"/>
                <c:pt idx="0">
                  <c:v>100.53</c:v>
                </c:pt>
                <c:pt idx="1">
                  <c:v>102.58</c:v>
                </c:pt>
                <c:pt idx="2" formatCode="0">
                  <c:v>560</c:v>
                </c:pt>
                <c:pt idx="3">
                  <c:v>137.36000000000001</c:v>
                </c:pt>
                <c:pt idx="4">
                  <c:v>96.9</c:v>
                </c:pt>
                <c:pt idx="5">
                  <c:v>234.33</c:v>
                </c:pt>
              </c:numCache>
            </c:numRef>
          </c:val>
          <c:extLst>
            <c:ext xmlns:c16="http://schemas.microsoft.com/office/drawing/2014/chart" uri="{C3380CC4-5D6E-409C-BE32-E72D297353CC}">
              <c16:uniqueId val="{00000001-687C-4188-80F0-1766096B8246}"/>
            </c:ext>
          </c:extLst>
        </c:ser>
        <c:ser>
          <c:idx val="2"/>
          <c:order val="2"/>
          <c:tx>
            <c:strRef>
              <c:f>'zákl. grafy'!$AN$31</c:f>
              <c:strCache>
                <c:ptCount val="1"/>
                <c:pt idx="0">
                  <c:v>3.</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grafy'!$AN$32:$AN$37</c:f>
              <c:numCache>
                <c:formatCode>#,##0.00</c:formatCode>
                <c:ptCount val="6"/>
                <c:pt idx="0">
                  <c:v>115.57</c:v>
                </c:pt>
                <c:pt idx="1">
                  <c:v>70.209999999999994</c:v>
                </c:pt>
                <c:pt idx="2" formatCode="0">
                  <c:v>630</c:v>
                </c:pt>
                <c:pt idx="3">
                  <c:v>179.8</c:v>
                </c:pt>
                <c:pt idx="4">
                  <c:v>99.02</c:v>
                </c:pt>
                <c:pt idx="5">
                  <c:v>88.72</c:v>
                </c:pt>
              </c:numCache>
            </c:numRef>
          </c:val>
          <c:extLst>
            <c:ext xmlns:c16="http://schemas.microsoft.com/office/drawing/2014/chart" uri="{C3380CC4-5D6E-409C-BE32-E72D297353CC}">
              <c16:uniqueId val="{00000002-687C-4188-80F0-1766096B8246}"/>
            </c:ext>
          </c:extLst>
        </c:ser>
        <c:ser>
          <c:idx val="3"/>
          <c:order val="3"/>
          <c:tx>
            <c:strRef>
              <c:f>'zákl. grafy'!$AO$31</c:f>
              <c:strCache>
                <c:ptCount val="1"/>
                <c:pt idx="0">
                  <c:v>4.</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grafy'!$AO$32:$AO$37</c:f>
              <c:numCache>
                <c:formatCode>#,##0.00</c:formatCode>
                <c:ptCount val="6"/>
                <c:pt idx="0">
                  <c:v>122</c:v>
                </c:pt>
                <c:pt idx="1">
                  <c:v>76.11999999999999</c:v>
                </c:pt>
                <c:pt idx="2" formatCode="0">
                  <c:v>560</c:v>
                </c:pt>
                <c:pt idx="3">
                  <c:v>109.1</c:v>
                </c:pt>
                <c:pt idx="4">
                  <c:v>118.04</c:v>
                </c:pt>
                <c:pt idx="5">
                  <c:v>100.21000000000002</c:v>
                </c:pt>
              </c:numCache>
            </c:numRef>
          </c:val>
          <c:extLst>
            <c:ext xmlns:c16="http://schemas.microsoft.com/office/drawing/2014/chart" uri="{C3380CC4-5D6E-409C-BE32-E72D297353CC}">
              <c16:uniqueId val="{00000003-687C-4188-80F0-1766096B8246}"/>
            </c:ext>
          </c:extLst>
        </c:ser>
        <c:ser>
          <c:idx val="4"/>
          <c:order val="4"/>
          <c:tx>
            <c:strRef>
              <c:f>'zákl. grafy'!$AP$31</c:f>
              <c:strCache>
                <c:ptCount val="1"/>
                <c:pt idx="0">
                  <c:v>5.</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grafy'!$AP$32:$AP$37</c:f>
              <c:numCache>
                <c:formatCode>#,##0.00</c:formatCode>
                <c:ptCount val="6"/>
                <c:pt idx="0">
                  <c:v>70.910000000000025</c:v>
                </c:pt>
                <c:pt idx="1">
                  <c:v>79.16</c:v>
                </c:pt>
                <c:pt idx="2" formatCode="0">
                  <c:v>540</c:v>
                </c:pt>
                <c:pt idx="3">
                  <c:v>106.67999999999998</c:v>
                </c:pt>
                <c:pt idx="4">
                  <c:v>127.44000000000013</c:v>
                </c:pt>
                <c:pt idx="5">
                  <c:v>85.5</c:v>
                </c:pt>
              </c:numCache>
            </c:numRef>
          </c:val>
          <c:extLst>
            <c:ext xmlns:c16="http://schemas.microsoft.com/office/drawing/2014/chart" uri="{C3380CC4-5D6E-409C-BE32-E72D297353CC}">
              <c16:uniqueId val="{00000004-687C-4188-80F0-1766096B8246}"/>
            </c:ext>
          </c:extLst>
        </c:ser>
        <c:ser>
          <c:idx val="5"/>
          <c:order val="5"/>
          <c:tx>
            <c:strRef>
              <c:f>'zákl. grafy'!$AQ$31</c:f>
              <c:strCache>
                <c:ptCount val="1"/>
                <c:pt idx="0">
                  <c:v>6.</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grafy'!$AQ$32:$AQ$37</c:f>
              <c:numCache>
                <c:formatCode>#,##0.00</c:formatCode>
                <c:ptCount val="6"/>
                <c:pt idx="0">
                  <c:v>70.58</c:v>
                </c:pt>
                <c:pt idx="1">
                  <c:v>99.54</c:v>
                </c:pt>
                <c:pt idx="2" formatCode="0">
                  <c:v>490</c:v>
                </c:pt>
                <c:pt idx="3">
                  <c:v>64.09</c:v>
                </c:pt>
                <c:pt idx="4">
                  <c:v>111.14</c:v>
                </c:pt>
                <c:pt idx="5">
                  <c:v>92.740000000000023</c:v>
                </c:pt>
              </c:numCache>
            </c:numRef>
          </c:val>
          <c:extLst>
            <c:ext xmlns:c16="http://schemas.microsoft.com/office/drawing/2014/chart" uri="{C3380CC4-5D6E-409C-BE32-E72D297353CC}">
              <c16:uniqueId val="{00000005-687C-4188-80F0-1766096B8246}"/>
            </c:ext>
          </c:extLst>
        </c:ser>
        <c:ser>
          <c:idx val="6"/>
          <c:order val="6"/>
          <c:tx>
            <c:strRef>
              <c:f>'zákl. grafy'!$AR$31</c:f>
              <c:strCache>
                <c:ptCount val="1"/>
                <c:pt idx="0">
                  <c:v>7.</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grafy'!$AR$32:$AR$37</c:f>
              <c:numCache>
                <c:formatCode>#,##0.00</c:formatCode>
                <c:ptCount val="6"/>
                <c:pt idx="0">
                  <c:v>72.08</c:v>
                </c:pt>
                <c:pt idx="1">
                  <c:v>101.11999999999999</c:v>
                </c:pt>
                <c:pt idx="2" formatCode="0">
                  <c:v>470</c:v>
                </c:pt>
                <c:pt idx="3">
                  <c:v>68.209999999999994</c:v>
                </c:pt>
                <c:pt idx="4">
                  <c:v>123.72</c:v>
                </c:pt>
                <c:pt idx="5">
                  <c:v>95.05</c:v>
                </c:pt>
              </c:numCache>
            </c:numRef>
          </c:val>
          <c:extLst>
            <c:ext xmlns:c16="http://schemas.microsoft.com/office/drawing/2014/chart" uri="{C3380CC4-5D6E-409C-BE32-E72D297353CC}">
              <c16:uniqueId val="{00000006-687C-4188-80F0-1766096B8246}"/>
            </c:ext>
          </c:extLst>
        </c:ser>
        <c:ser>
          <c:idx val="7"/>
          <c:order val="7"/>
          <c:tx>
            <c:strRef>
              <c:f>'zákl. grafy'!$AS$31</c:f>
              <c:strCache>
                <c:ptCount val="1"/>
                <c:pt idx="0">
                  <c:v>8.</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grafy'!$AS$32:$AS$37</c:f>
              <c:numCache>
                <c:formatCode>#,##0.00</c:formatCode>
                <c:ptCount val="6"/>
                <c:pt idx="0">
                  <c:v>70.16</c:v>
                </c:pt>
                <c:pt idx="1">
                  <c:v>102.01</c:v>
                </c:pt>
                <c:pt idx="2" formatCode="0">
                  <c:v>570</c:v>
                </c:pt>
                <c:pt idx="3">
                  <c:v>66.08</c:v>
                </c:pt>
                <c:pt idx="4">
                  <c:v>127.49000000000002</c:v>
                </c:pt>
                <c:pt idx="5">
                  <c:v>94.98</c:v>
                </c:pt>
              </c:numCache>
            </c:numRef>
          </c:val>
          <c:extLst>
            <c:ext xmlns:c16="http://schemas.microsoft.com/office/drawing/2014/chart" uri="{C3380CC4-5D6E-409C-BE32-E72D297353CC}">
              <c16:uniqueId val="{00000007-687C-4188-80F0-1766096B8246}"/>
            </c:ext>
          </c:extLst>
        </c:ser>
        <c:ser>
          <c:idx val="8"/>
          <c:order val="8"/>
          <c:tx>
            <c:strRef>
              <c:f>'zákl. grafy'!$AT$31</c:f>
              <c:strCache>
                <c:ptCount val="1"/>
                <c:pt idx="0">
                  <c:v>9.</c:v>
                </c:pt>
              </c:strCache>
            </c:strRef>
          </c:tx>
          <c:invertIfNegative val="0"/>
          <c:cat>
            <c:strRef>
              <c:f>'zákl. grafy'!$AB$32:$AB$37</c:f>
              <c:strCache>
                <c:ptCount val="6"/>
                <c:pt idx="0">
                  <c:v>SR (SkyToll)</c:v>
                </c:pt>
                <c:pt idx="1">
                  <c:v>SR (NDS)</c:v>
                </c:pt>
                <c:pt idx="2">
                  <c:v>DE</c:v>
                </c:pt>
                <c:pt idx="3">
                  <c:v>ČR</c:v>
                </c:pt>
                <c:pt idx="4">
                  <c:v>AT</c:v>
                </c:pt>
                <c:pt idx="5">
                  <c:v>PL</c:v>
                </c:pt>
              </c:strCache>
            </c:strRef>
          </c:cat>
          <c:val>
            <c:numRef>
              <c:f>'zákl. grafy'!$AT$32:$AT$37</c:f>
              <c:numCache>
                <c:formatCode>#,##0.00</c:formatCode>
                <c:ptCount val="6"/>
                <c:pt idx="0">
                  <c:v>71.760000000000005</c:v>
                </c:pt>
                <c:pt idx="1">
                  <c:v>104.25</c:v>
                </c:pt>
                <c:pt idx="2" formatCode="0">
                  <c:v>610</c:v>
                </c:pt>
                <c:pt idx="3">
                  <c:v>63.849999999999994</c:v>
                </c:pt>
                <c:pt idx="4">
                  <c:v>132.33000000000001</c:v>
                </c:pt>
              </c:numCache>
            </c:numRef>
          </c:val>
          <c:extLst>
            <c:ext xmlns:c16="http://schemas.microsoft.com/office/drawing/2014/chart" uri="{C3380CC4-5D6E-409C-BE32-E72D297353CC}">
              <c16:uniqueId val="{00000008-687C-4188-80F0-1766096B8246}"/>
            </c:ext>
          </c:extLst>
        </c:ser>
        <c:dLbls>
          <c:showLegendKey val="0"/>
          <c:showVal val="0"/>
          <c:showCatName val="0"/>
          <c:showSerName val="0"/>
          <c:showPercent val="0"/>
          <c:showBubbleSize val="0"/>
        </c:dLbls>
        <c:gapWidth val="150"/>
        <c:axId val="760765824"/>
        <c:axId val="761977088"/>
      </c:barChart>
      <c:catAx>
        <c:axId val="760765824"/>
        <c:scaling>
          <c:orientation val="minMax"/>
        </c:scaling>
        <c:delete val="0"/>
        <c:axPos val="b"/>
        <c:numFmt formatCode="General" sourceLinked="0"/>
        <c:majorTickMark val="out"/>
        <c:minorTickMark val="none"/>
        <c:tickLblPos val="nextTo"/>
        <c:crossAx val="761977088"/>
        <c:crosses val="autoZero"/>
        <c:auto val="1"/>
        <c:lblAlgn val="ctr"/>
        <c:lblOffset val="100"/>
        <c:noMultiLvlLbl val="0"/>
      </c:catAx>
      <c:valAx>
        <c:axId val="761977088"/>
        <c:scaling>
          <c:orientation val="minMax"/>
        </c:scaling>
        <c:delete val="0"/>
        <c:axPos val="l"/>
        <c:majorGridlines/>
        <c:numFmt formatCode="#,##0" sourceLinked="0"/>
        <c:majorTickMark val="out"/>
        <c:minorTickMark val="none"/>
        <c:tickLblPos val="nextTo"/>
        <c:crossAx val="760765824"/>
        <c:crosses val="autoZero"/>
        <c:crossBetween val="between"/>
      </c:valAx>
    </c:plotArea>
    <c:legend>
      <c:legendPos val="r"/>
      <c:layout>
        <c:manualLayout>
          <c:xMode val="edge"/>
          <c:yMode val="edge"/>
          <c:x val="0.9346006464829496"/>
          <c:y val="0.20285142753227894"/>
          <c:w val="4.4012707372583698E-2"/>
          <c:h val="0.66156164757228664"/>
        </c:manualLayout>
      </c:layout>
      <c:overlay val="0"/>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náklady (mil. €/rok)</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84"/>
          <c:w val="0.8038603745941828"/>
          <c:h val="0.55013985633763673"/>
        </c:manualLayout>
      </c:layout>
      <c:barChart>
        <c:barDir val="col"/>
        <c:grouping val="clustered"/>
        <c:varyColors val="0"/>
        <c:ser>
          <c:idx val="0"/>
          <c:order val="0"/>
          <c:tx>
            <c:strRef>
              <c:f>List1!$AB$67</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7074-4420-A319-A38A22CC0A50}"/>
              </c:ext>
            </c:extLst>
          </c:dPt>
          <c:dPt>
            <c:idx val="1"/>
            <c:invertIfNegative val="0"/>
            <c:bubble3D val="0"/>
            <c:spPr>
              <a:solidFill>
                <a:srgbClr val="C00000"/>
              </a:solidFill>
            </c:spPr>
            <c:extLst>
              <c:ext xmlns:c16="http://schemas.microsoft.com/office/drawing/2014/chart" uri="{C3380CC4-5D6E-409C-BE32-E72D297353CC}">
                <c16:uniqueId val="{00000003-7074-4420-A319-A38A22CC0A50}"/>
              </c:ext>
            </c:extLst>
          </c:dPt>
          <c:dPt>
            <c:idx val="2"/>
            <c:invertIfNegative val="0"/>
            <c:bubble3D val="0"/>
            <c:spPr>
              <a:solidFill>
                <a:srgbClr val="FFC000"/>
              </a:solidFill>
            </c:spPr>
            <c:extLst>
              <c:ext xmlns:c16="http://schemas.microsoft.com/office/drawing/2014/chart" uri="{C3380CC4-5D6E-409C-BE32-E72D297353CC}">
                <c16:uniqueId val="{00000005-7074-4420-A319-A38A22CC0A50}"/>
              </c:ext>
            </c:extLst>
          </c:dPt>
          <c:dPt>
            <c:idx val="3"/>
            <c:invertIfNegative val="0"/>
            <c:bubble3D val="0"/>
            <c:spPr>
              <a:solidFill>
                <a:schemeClr val="tx2"/>
              </a:solidFill>
            </c:spPr>
            <c:extLst>
              <c:ext xmlns:c16="http://schemas.microsoft.com/office/drawing/2014/chart" uri="{C3380CC4-5D6E-409C-BE32-E72D297353CC}">
                <c16:uniqueId val="{00000007-7074-4420-A319-A38A22CC0A50}"/>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7074-4420-A319-A38A22CC0A50}"/>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7074-4420-A319-A38A22CC0A50}"/>
              </c:ext>
            </c:extLst>
          </c:dPt>
          <c:dLbls>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List1!$AC$64:$AH$64</c:f>
              <c:strCache>
                <c:ptCount val="6"/>
                <c:pt idx="0">
                  <c:v>SR (SkyToll)</c:v>
                </c:pt>
                <c:pt idx="1">
                  <c:v>SR (NDS)</c:v>
                </c:pt>
                <c:pt idx="2">
                  <c:v>DE</c:v>
                </c:pt>
                <c:pt idx="3">
                  <c:v>ČR</c:v>
                </c:pt>
                <c:pt idx="4">
                  <c:v>AT</c:v>
                </c:pt>
                <c:pt idx="5">
                  <c:v>PL</c:v>
                </c:pt>
              </c:strCache>
            </c:strRef>
          </c:cat>
          <c:val>
            <c:numRef>
              <c:f>List1!$AC$67:$AH$67</c:f>
              <c:numCache>
                <c:formatCode>#,##0</c:formatCode>
                <c:ptCount val="6"/>
                <c:pt idx="0">
                  <c:v>87.958888888888666</c:v>
                </c:pt>
                <c:pt idx="1">
                  <c:v>93.488888888888667</c:v>
                </c:pt>
                <c:pt idx="2">
                  <c:v>553.3333333333336</c:v>
                </c:pt>
                <c:pt idx="3">
                  <c:v>96.008888888888706</c:v>
                </c:pt>
                <c:pt idx="4">
                  <c:v>114.47666666666666</c:v>
                </c:pt>
                <c:pt idx="5">
                  <c:v>116.99750000000013</c:v>
                </c:pt>
              </c:numCache>
            </c:numRef>
          </c:val>
          <c:extLst>
            <c:ext xmlns:c16="http://schemas.microsoft.com/office/drawing/2014/chart" uri="{C3380CC4-5D6E-409C-BE32-E72D297353CC}">
              <c16:uniqueId val="{0000000C-7074-4420-A319-A38A22CC0A50}"/>
            </c:ext>
          </c:extLst>
        </c:ser>
        <c:dLbls>
          <c:showLegendKey val="0"/>
          <c:showVal val="0"/>
          <c:showCatName val="0"/>
          <c:showSerName val="0"/>
          <c:showPercent val="0"/>
          <c:showBubbleSize val="0"/>
        </c:dLbls>
        <c:gapWidth val="150"/>
        <c:axId val="859821568"/>
        <c:axId val="859823488"/>
      </c:barChart>
      <c:catAx>
        <c:axId val="859821568"/>
        <c:scaling>
          <c:orientation val="minMax"/>
        </c:scaling>
        <c:delete val="0"/>
        <c:axPos val="b"/>
        <c:numFmt formatCode="General" sourceLinked="0"/>
        <c:majorTickMark val="out"/>
        <c:minorTickMark val="none"/>
        <c:tickLblPos val="nextTo"/>
        <c:crossAx val="859823488"/>
        <c:crosses val="autoZero"/>
        <c:auto val="1"/>
        <c:lblAlgn val="ctr"/>
        <c:lblOffset val="100"/>
        <c:noMultiLvlLbl val="0"/>
      </c:catAx>
      <c:valAx>
        <c:axId val="859823488"/>
        <c:scaling>
          <c:orientation val="minMax"/>
        </c:scaling>
        <c:delete val="0"/>
        <c:axPos val="l"/>
        <c:numFmt formatCode="#,##0" sourceLinked="1"/>
        <c:majorTickMark val="out"/>
        <c:minorTickMark val="none"/>
        <c:tickLblPos val="nextTo"/>
        <c:crossAx val="859821568"/>
        <c:crosses val="autoZero"/>
        <c:crossBetween val="between"/>
      </c:valAx>
    </c:plotArea>
    <c:plotVisOnly val="1"/>
    <c:dispBlanksAs val="gap"/>
    <c:showDLblsOverMax val="0"/>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5995"/>
          <c:w val="0.80386037459418302"/>
          <c:h val="0.55013985633763673"/>
        </c:manualLayout>
      </c:layout>
      <c:barChart>
        <c:barDir val="col"/>
        <c:grouping val="clustered"/>
        <c:varyColors val="0"/>
        <c:ser>
          <c:idx val="0"/>
          <c:order val="0"/>
          <c:tx>
            <c:strRef>
              <c:f>List1!$AB$65</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CFA1-4AE7-94B9-6D3C30BCEEC6}"/>
              </c:ext>
            </c:extLst>
          </c:dPt>
          <c:dPt>
            <c:idx val="1"/>
            <c:invertIfNegative val="0"/>
            <c:bubble3D val="0"/>
            <c:spPr>
              <a:solidFill>
                <a:srgbClr val="C00000"/>
              </a:solidFill>
            </c:spPr>
            <c:extLst>
              <c:ext xmlns:c16="http://schemas.microsoft.com/office/drawing/2014/chart" uri="{C3380CC4-5D6E-409C-BE32-E72D297353CC}">
                <c16:uniqueId val="{00000003-CFA1-4AE7-94B9-6D3C30BCEEC6}"/>
              </c:ext>
            </c:extLst>
          </c:dPt>
          <c:dPt>
            <c:idx val="2"/>
            <c:invertIfNegative val="0"/>
            <c:bubble3D val="0"/>
            <c:spPr>
              <a:solidFill>
                <a:srgbClr val="FFC000"/>
              </a:solidFill>
            </c:spPr>
            <c:extLst>
              <c:ext xmlns:c16="http://schemas.microsoft.com/office/drawing/2014/chart" uri="{C3380CC4-5D6E-409C-BE32-E72D297353CC}">
                <c16:uniqueId val="{00000005-CFA1-4AE7-94B9-6D3C30BCEEC6}"/>
              </c:ext>
            </c:extLst>
          </c:dPt>
          <c:dPt>
            <c:idx val="3"/>
            <c:invertIfNegative val="0"/>
            <c:bubble3D val="0"/>
            <c:spPr>
              <a:solidFill>
                <a:schemeClr val="tx2"/>
              </a:solidFill>
            </c:spPr>
            <c:extLst>
              <c:ext xmlns:c16="http://schemas.microsoft.com/office/drawing/2014/chart" uri="{C3380CC4-5D6E-409C-BE32-E72D297353CC}">
                <c16:uniqueId val="{00000007-CFA1-4AE7-94B9-6D3C30BCEEC6}"/>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CFA1-4AE7-94B9-6D3C30BCEEC6}"/>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CFA1-4AE7-94B9-6D3C30BCEEC6}"/>
              </c:ext>
            </c:extLst>
          </c:dPt>
          <c:dLbls>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List1!$AC$64:$AH$64</c:f>
              <c:strCache>
                <c:ptCount val="6"/>
                <c:pt idx="0">
                  <c:v>SR (SkyToll)</c:v>
                </c:pt>
                <c:pt idx="1">
                  <c:v>SR (NDS)</c:v>
                </c:pt>
                <c:pt idx="2">
                  <c:v>DE</c:v>
                </c:pt>
                <c:pt idx="3">
                  <c:v>ČR</c:v>
                </c:pt>
                <c:pt idx="4">
                  <c:v>AT</c:v>
                </c:pt>
                <c:pt idx="5">
                  <c:v>PL</c:v>
                </c:pt>
              </c:strCache>
            </c:strRef>
          </c:cat>
          <c:val>
            <c:numRef>
              <c:f>List1!$AC$65:$AH$65</c:f>
              <c:numCache>
                <c:formatCode>#,##0</c:formatCode>
                <c:ptCount val="6"/>
                <c:pt idx="0">
                  <c:v>101.41000000000012</c:v>
                </c:pt>
                <c:pt idx="1">
                  <c:v>86.896000000000001</c:v>
                </c:pt>
                <c:pt idx="2">
                  <c:v>568</c:v>
                </c:pt>
                <c:pt idx="3">
                  <c:v>120.36999999999999</c:v>
                </c:pt>
                <c:pt idx="4">
                  <c:v>107.12199999999999</c:v>
                </c:pt>
                <c:pt idx="5">
                  <c:v>130.642</c:v>
                </c:pt>
              </c:numCache>
            </c:numRef>
          </c:val>
          <c:extLst>
            <c:ext xmlns:c16="http://schemas.microsoft.com/office/drawing/2014/chart" uri="{C3380CC4-5D6E-409C-BE32-E72D297353CC}">
              <c16:uniqueId val="{0000000C-CFA1-4AE7-94B9-6D3C30BCEEC6}"/>
            </c:ext>
          </c:extLst>
        </c:ser>
        <c:dLbls>
          <c:showLegendKey val="0"/>
          <c:showVal val="0"/>
          <c:showCatName val="0"/>
          <c:showSerName val="0"/>
          <c:showPercent val="0"/>
          <c:showBubbleSize val="0"/>
        </c:dLbls>
        <c:gapWidth val="150"/>
        <c:axId val="917276928"/>
        <c:axId val="557433600"/>
      </c:barChart>
      <c:catAx>
        <c:axId val="917276928"/>
        <c:scaling>
          <c:orientation val="minMax"/>
        </c:scaling>
        <c:delete val="0"/>
        <c:axPos val="b"/>
        <c:numFmt formatCode="General" sourceLinked="0"/>
        <c:majorTickMark val="out"/>
        <c:minorTickMark val="none"/>
        <c:tickLblPos val="nextTo"/>
        <c:crossAx val="557433600"/>
        <c:crosses val="autoZero"/>
        <c:auto val="1"/>
        <c:lblAlgn val="ctr"/>
        <c:lblOffset val="100"/>
        <c:noMultiLvlLbl val="0"/>
      </c:catAx>
      <c:valAx>
        <c:axId val="557433600"/>
        <c:scaling>
          <c:orientation val="minMax"/>
        </c:scaling>
        <c:delete val="0"/>
        <c:axPos val="l"/>
        <c:numFmt formatCode="#,##0" sourceLinked="1"/>
        <c:majorTickMark val="out"/>
        <c:minorTickMark val="none"/>
        <c:tickLblPos val="nextTo"/>
        <c:crossAx val="917276928"/>
        <c:crosses val="autoZero"/>
        <c:crossBetween val="between"/>
      </c:valAx>
    </c:plotArea>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6006"/>
          <c:w val="0.80386037459418325"/>
          <c:h val="0.55013985633763673"/>
        </c:manualLayout>
      </c:layout>
      <c:barChart>
        <c:barDir val="col"/>
        <c:grouping val="clustered"/>
        <c:varyColors val="0"/>
        <c:ser>
          <c:idx val="0"/>
          <c:order val="0"/>
          <c:tx>
            <c:strRef>
              <c:f>List1!$AB$66</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7A13-4A68-A8F0-C4892C2EBF5F}"/>
              </c:ext>
            </c:extLst>
          </c:dPt>
          <c:dPt>
            <c:idx val="1"/>
            <c:invertIfNegative val="0"/>
            <c:bubble3D val="0"/>
            <c:spPr>
              <a:solidFill>
                <a:srgbClr val="C00000"/>
              </a:solidFill>
            </c:spPr>
            <c:extLst>
              <c:ext xmlns:c16="http://schemas.microsoft.com/office/drawing/2014/chart" uri="{C3380CC4-5D6E-409C-BE32-E72D297353CC}">
                <c16:uniqueId val="{00000003-7A13-4A68-A8F0-C4892C2EBF5F}"/>
              </c:ext>
            </c:extLst>
          </c:dPt>
          <c:dPt>
            <c:idx val="2"/>
            <c:invertIfNegative val="0"/>
            <c:bubble3D val="0"/>
            <c:spPr>
              <a:solidFill>
                <a:srgbClr val="FFC000"/>
              </a:solidFill>
            </c:spPr>
            <c:extLst>
              <c:ext xmlns:c16="http://schemas.microsoft.com/office/drawing/2014/chart" uri="{C3380CC4-5D6E-409C-BE32-E72D297353CC}">
                <c16:uniqueId val="{00000005-7A13-4A68-A8F0-C4892C2EBF5F}"/>
              </c:ext>
            </c:extLst>
          </c:dPt>
          <c:dPt>
            <c:idx val="3"/>
            <c:invertIfNegative val="0"/>
            <c:bubble3D val="0"/>
            <c:spPr>
              <a:solidFill>
                <a:schemeClr val="tx2"/>
              </a:solidFill>
            </c:spPr>
            <c:extLst>
              <c:ext xmlns:c16="http://schemas.microsoft.com/office/drawing/2014/chart" uri="{C3380CC4-5D6E-409C-BE32-E72D297353CC}">
                <c16:uniqueId val="{00000007-7A13-4A68-A8F0-C4892C2EBF5F}"/>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7A13-4A68-A8F0-C4892C2EBF5F}"/>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7A13-4A68-A8F0-C4892C2EBF5F}"/>
              </c:ext>
            </c:extLst>
          </c:dPt>
          <c:dLbls>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List1!$AC$64:$AH$64</c:f>
              <c:strCache>
                <c:ptCount val="6"/>
                <c:pt idx="0">
                  <c:v>SR (SkyToll)</c:v>
                </c:pt>
                <c:pt idx="1">
                  <c:v>SR (NDS)</c:v>
                </c:pt>
                <c:pt idx="2">
                  <c:v>DE</c:v>
                </c:pt>
                <c:pt idx="3">
                  <c:v>ČR</c:v>
                </c:pt>
                <c:pt idx="4">
                  <c:v>AT</c:v>
                </c:pt>
                <c:pt idx="5">
                  <c:v>PL</c:v>
                </c:pt>
              </c:strCache>
            </c:strRef>
          </c:cat>
          <c:val>
            <c:numRef>
              <c:f>List1!$AC$66:$AH$66</c:f>
              <c:numCache>
                <c:formatCode>#,##0</c:formatCode>
                <c:ptCount val="6"/>
                <c:pt idx="0">
                  <c:v>71.098000000000013</c:v>
                </c:pt>
                <c:pt idx="1">
                  <c:v>97.215999999999994</c:v>
                </c:pt>
                <c:pt idx="2">
                  <c:v>536</c:v>
                </c:pt>
                <c:pt idx="3">
                  <c:v>73.782000000000011</c:v>
                </c:pt>
                <c:pt idx="4">
                  <c:v>124.42400000000002</c:v>
                </c:pt>
                <c:pt idx="5">
                  <c:v>92.067500000000024</c:v>
                </c:pt>
              </c:numCache>
            </c:numRef>
          </c:val>
          <c:extLst>
            <c:ext xmlns:c16="http://schemas.microsoft.com/office/drawing/2014/chart" uri="{C3380CC4-5D6E-409C-BE32-E72D297353CC}">
              <c16:uniqueId val="{0000000C-7A13-4A68-A8F0-C4892C2EBF5F}"/>
            </c:ext>
          </c:extLst>
        </c:ser>
        <c:dLbls>
          <c:showLegendKey val="0"/>
          <c:showVal val="0"/>
          <c:showCatName val="0"/>
          <c:showSerName val="0"/>
          <c:showPercent val="0"/>
          <c:showBubbleSize val="0"/>
        </c:dLbls>
        <c:gapWidth val="150"/>
        <c:axId val="565241344"/>
        <c:axId val="565242880"/>
      </c:barChart>
      <c:catAx>
        <c:axId val="565241344"/>
        <c:scaling>
          <c:orientation val="minMax"/>
        </c:scaling>
        <c:delete val="0"/>
        <c:axPos val="b"/>
        <c:numFmt formatCode="General" sourceLinked="0"/>
        <c:majorTickMark val="out"/>
        <c:minorTickMark val="none"/>
        <c:tickLblPos val="nextTo"/>
        <c:crossAx val="565242880"/>
        <c:crosses val="autoZero"/>
        <c:auto val="1"/>
        <c:lblAlgn val="ctr"/>
        <c:lblOffset val="100"/>
        <c:noMultiLvlLbl val="0"/>
      </c:catAx>
      <c:valAx>
        <c:axId val="565242880"/>
        <c:scaling>
          <c:orientation val="minMax"/>
        </c:scaling>
        <c:delete val="0"/>
        <c:axPos val="l"/>
        <c:numFmt formatCode="#,##0" sourceLinked="1"/>
        <c:majorTickMark val="out"/>
        <c:minorTickMark val="none"/>
        <c:tickLblPos val="nextTo"/>
        <c:crossAx val="565241344"/>
        <c:crosses val="autoZero"/>
        <c:crossBetween val="between"/>
      </c:valAx>
    </c:plotArea>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k-SK" sz="1200">
                <a:solidFill>
                  <a:srgbClr val="C00000"/>
                </a:solidFill>
              </a:rPr>
              <a:t>Ročná n</a:t>
            </a:r>
            <a:r>
              <a:rPr lang="en-US" sz="1200">
                <a:solidFill>
                  <a:srgbClr val="C00000"/>
                </a:solidFill>
              </a:rPr>
              <a:t>ákladová výnosnosť</a:t>
            </a:r>
            <a:r>
              <a:rPr lang="sk-SK" sz="1200">
                <a:solidFill>
                  <a:srgbClr val="C00000"/>
                </a:solidFill>
              </a:rPr>
              <a:t> (%)</a:t>
            </a:r>
            <a:endParaRPr lang="en-US" sz="1200">
              <a:solidFill>
                <a:srgbClr val="C00000"/>
              </a:solidFill>
            </a:endParaRPr>
          </a:p>
        </c:rich>
      </c:tx>
      <c:layout>
        <c:manualLayout>
          <c:xMode val="edge"/>
          <c:yMode val="edge"/>
          <c:x val="1.1670038010981084E-3"/>
          <c:y val="0"/>
        </c:manualLayout>
      </c:layout>
      <c:overlay val="0"/>
    </c:title>
    <c:autoTitleDeleted val="0"/>
    <c:plotArea>
      <c:layout/>
      <c:barChart>
        <c:barDir val="col"/>
        <c:grouping val="clustered"/>
        <c:varyColors val="0"/>
        <c:ser>
          <c:idx val="0"/>
          <c:order val="0"/>
          <c:tx>
            <c:strRef>
              <c:f>List2!$BO$31</c:f>
              <c:strCache>
                <c:ptCount val="1"/>
                <c:pt idx="0">
                  <c:v>1.</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List2!$BO$32:$BO$37</c:f>
              <c:numCache>
                <c:formatCode>0.000%</c:formatCode>
                <c:ptCount val="6"/>
                <c:pt idx="0">
                  <c:v>0.69134825251753651</c:v>
                </c:pt>
                <c:pt idx="1">
                  <c:v>0.75132387206100526</c:v>
                </c:pt>
                <c:pt idx="2">
                  <c:v>0.2123552123552124</c:v>
                </c:pt>
                <c:pt idx="3">
                  <c:v>0.34353656712697589</c:v>
                </c:pt>
                <c:pt idx="4">
                  <c:v>0.11999439576115764</c:v>
                </c:pt>
                <c:pt idx="5">
                  <c:v>1.7322220889794915</c:v>
                </c:pt>
              </c:numCache>
            </c:numRef>
          </c:val>
          <c:extLst>
            <c:ext xmlns:c16="http://schemas.microsoft.com/office/drawing/2014/chart" uri="{C3380CC4-5D6E-409C-BE32-E72D297353CC}">
              <c16:uniqueId val="{00000000-FB52-45D1-8314-C7E02F1A25AC}"/>
            </c:ext>
          </c:extLst>
        </c:ser>
        <c:ser>
          <c:idx val="1"/>
          <c:order val="1"/>
          <c:tx>
            <c:strRef>
              <c:f>List2!$BP$31</c:f>
              <c:strCache>
                <c:ptCount val="1"/>
                <c:pt idx="0">
                  <c:v>2.</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List2!$BP$32:$BP$37</c:f>
              <c:numCache>
                <c:formatCode>0.000%</c:formatCode>
                <c:ptCount val="6"/>
                <c:pt idx="0">
                  <c:v>0.65255692250383823</c:v>
                </c:pt>
                <c:pt idx="1">
                  <c:v>0.66632023384215755</c:v>
                </c:pt>
                <c:pt idx="2">
                  <c:v>0.1836065573770492</c:v>
                </c:pt>
                <c:pt idx="3">
                  <c:v>0.55776180614772464</c:v>
                </c:pt>
                <c:pt idx="4">
                  <c:v>0.12000445836997042</c:v>
                </c:pt>
                <c:pt idx="5">
                  <c:v>1.2051532606459576</c:v>
                </c:pt>
              </c:numCache>
            </c:numRef>
          </c:val>
          <c:extLst>
            <c:ext xmlns:c16="http://schemas.microsoft.com/office/drawing/2014/chart" uri="{C3380CC4-5D6E-409C-BE32-E72D297353CC}">
              <c16:uniqueId val="{00000001-FB52-45D1-8314-C7E02F1A25AC}"/>
            </c:ext>
          </c:extLst>
        </c:ser>
        <c:ser>
          <c:idx val="2"/>
          <c:order val="2"/>
          <c:tx>
            <c:strRef>
              <c:f>List2!$BQ$31</c:f>
              <c:strCache>
                <c:ptCount val="1"/>
                <c:pt idx="0">
                  <c:v>3.</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List2!$BQ$32:$BQ$37</c:f>
              <c:numCache>
                <c:formatCode>0.000%</c:formatCode>
                <c:ptCount val="6"/>
                <c:pt idx="0">
                  <c:v>0.74311100887501669</c:v>
                </c:pt>
                <c:pt idx="1">
                  <c:v>0.45355297157622732</c:v>
                </c:pt>
                <c:pt idx="2">
                  <c:v>0.19033232628398764</c:v>
                </c:pt>
                <c:pt idx="3">
                  <c:v>0.85733358764066359</c:v>
                </c:pt>
                <c:pt idx="4">
                  <c:v>0.1199980610291088</c:v>
                </c:pt>
                <c:pt idx="5">
                  <c:v>0.36949731373120648</c:v>
                </c:pt>
              </c:numCache>
            </c:numRef>
          </c:val>
          <c:extLst>
            <c:ext xmlns:c16="http://schemas.microsoft.com/office/drawing/2014/chart" uri="{C3380CC4-5D6E-409C-BE32-E72D297353CC}">
              <c16:uniqueId val="{00000002-FB52-45D1-8314-C7E02F1A25AC}"/>
            </c:ext>
          </c:extLst>
        </c:ser>
        <c:ser>
          <c:idx val="3"/>
          <c:order val="3"/>
          <c:tx>
            <c:strRef>
              <c:f>List2!$BR$31</c:f>
              <c:strCache>
                <c:ptCount val="1"/>
                <c:pt idx="0">
                  <c:v>4.</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List2!$BR$32:$BR$37</c:f>
              <c:numCache>
                <c:formatCode>0.000%</c:formatCode>
                <c:ptCount val="6"/>
                <c:pt idx="0">
                  <c:v>0.76697214024936777</c:v>
                </c:pt>
                <c:pt idx="1">
                  <c:v>0.47976805748140683</c:v>
                </c:pt>
                <c:pt idx="2">
                  <c:v>0.16045845272206352</c:v>
                </c:pt>
                <c:pt idx="3">
                  <c:v>0.42247521685254091</c:v>
                </c:pt>
                <c:pt idx="4">
                  <c:v>0.11999959335956165</c:v>
                </c:pt>
                <c:pt idx="5">
                  <c:v>0.34096631507315461</c:v>
                </c:pt>
              </c:numCache>
            </c:numRef>
          </c:val>
          <c:extLst>
            <c:ext xmlns:c16="http://schemas.microsoft.com/office/drawing/2014/chart" uri="{C3380CC4-5D6E-409C-BE32-E72D297353CC}">
              <c16:uniqueId val="{00000003-FB52-45D1-8314-C7E02F1A25AC}"/>
            </c:ext>
          </c:extLst>
        </c:ser>
        <c:ser>
          <c:idx val="4"/>
          <c:order val="4"/>
          <c:tx>
            <c:strRef>
              <c:f>List2!$BS$31</c:f>
              <c:strCache>
                <c:ptCount val="1"/>
                <c:pt idx="0">
                  <c:v>5.</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List2!$BS$32:$BS$37</c:f>
              <c:numCache>
                <c:formatCode>0.000%</c:formatCode>
                <c:ptCount val="6"/>
                <c:pt idx="0">
                  <c:v>0.38667216668007864</c:v>
                </c:pt>
                <c:pt idx="1">
                  <c:v>0.43604715214277845</c:v>
                </c:pt>
                <c:pt idx="2">
                  <c:v>0.12471131639722852</c:v>
                </c:pt>
                <c:pt idx="3">
                  <c:v>0.32286181223896943</c:v>
                </c:pt>
                <c:pt idx="4">
                  <c:v>0.11999875707502103</c:v>
                </c:pt>
                <c:pt idx="5">
                  <c:v>0.26410082164700088</c:v>
                </c:pt>
              </c:numCache>
            </c:numRef>
          </c:val>
          <c:extLst>
            <c:ext xmlns:c16="http://schemas.microsoft.com/office/drawing/2014/chart" uri="{C3380CC4-5D6E-409C-BE32-E72D297353CC}">
              <c16:uniqueId val="{00000004-FB52-45D1-8314-C7E02F1A25AC}"/>
            </c:ext>
          </c:extLst>
        </c:ser>
        <c:ser>
          <c:idx val="5"/>
          <c:order val="5"/>
          <c:tx>
            <c:strRef>
              <c:f>List2!$BT$31</c:f>
              <c:strCache>
                <c:ptCount val="1"/>
                <c:pt idx="0">
                  <c:v>6.</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List2!$BT$32:$BT$37</c:f>
              <c:numCache>
                <c:formatCode>0.000%</c:formatCode>
                <c:ptCount val="6"/>
                <c:pt idx="0">
                  <c:v>0.37652012675358348</c:v>
                </c:pt>
                <c:pt idx="1">
                  <c:v>0.5382868267358859</c:v>
                </c:pt>
                <c:pt idx="2">
                  <c:v>0.10864745011086462</c:v>
                </c:pt>
                <c:pt idx="3">
                  <c:v>0.18569276235730456</c:v>
                </c:pt>
                <c:pt idx="4">
                  <c:v>0.11999982724516503</c:v>
                </c:pt>
                <c:pt idx="5">
                  <c:v>0.27079744211171708</c:v>
                </c:pt>
              </c:numCache>
            </c:numRef>
          </c:val>
          <c:extLst>
            <c:ext xmlns:c16="http://schemas.microsoft.com/office/drawing/2014/chart" uri="{C3380CC4-5D6E-409C-BE32-E72D297353CC}">
              <c16:uniqueId val="{00000005-FB52-45D1-8314-C7E02F1A25AC}"/>
            </c:ext>
          </c:extLst>
        </c:ser>
        <c:ser>
          <c:idx val="6"/>
          <c:order val="6"/>
          <c:tx>
            <c:strRef>
              <c:f>List2!$BU$31</c:f>
              <c:strCache>
                <c:ptCount val="1"/>
                <c:pt idx="0">
                  <c:v>7.</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List2!$BU$32:$BU$37</c:f>
              <c:numCache>
                <c:formatCode>0.000%</c:formatCode>
                <c:ptCount val="6"/>
                <c:pt idx="0">
                  <c:v>0.372823722904633</c:v>
                </c:pt>
                <c:pt idx="1">
                  <c:v>0.52911935534508925</c:v>
                </c:pt>
                <c:pt idx="2">
                  <c:v>0.10491071428571429</c:v>
                </c:pt>
                <c:pt idx="3">
                  <c:v>0.20706718071704003</c:v>
                </c:pt>
                <c:pt idx="4">
                  <c:v>0.11999883609276317</c:v>
                </c:pt>
                <c:pt idx="5">
                  <c:v>0.24262922782386726</c:v>
                </c:pt>
              </c:numCache>
            </c:numRef>
          </c:val>
          <c:extLst>
            <c:ext xmlns:c16="http://schemas.microsoft.com/office/drawing/2014/chart" uri="{C3380CC4-5D6E-409C-BE32-E72D297353CC}">
              <c16:uniqueId val="{00000006-FB52-45D1-8314-C7E02F1A25AC}"/>
            </c:ext>
          </c:extLst>
        </c:ser>
        <c:ser>
          <c:idx val="7"/>
          <c:order val="7"/>
          <c:tx>
            <c:strRef>
              <c:f>List2!$BV$31</c:f>
              <c:strCache>
                <c:ptCount val="1"/>
                <c:pt idx="0">
                  <c:v>8.</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List2!$BV$32:$BV$37</c:f>
              <c:numCache>
                <c:formatCode>0.000%</c:formatCode>
                <c:ptCount val="6"/>
                <c:pt idx="0">
                  <c:v>0.34881691104760693</c:v>
                </c:pt>
                <c:pt idx="1">
                  <c:v>0.51284500527876964</c:v>
                </c:pt>
                <c:pt idx="2">
                  <c:v>0.13073394495412843</c:v>
                </c:pt>
                <c:pt idx="3">
                  <c:v>0.20834252924299271</c:v>
                </c:pt>
                <c:pt idx="4">
                  <c:v>0.12000414164423297</c:v>
                </c:pt>
                <c:pt idx="5">
                  <c:v>0.22554141337386024</c:v>
                </c:pt>
              </c:numCache>
            </c:numRef>
          </c:val>
          <c:extLst>
            <c:ext xmlns:c16="http://schemas.microsoft.com/office/drawing/2014/chart" uri="{C3380CC4-5D6E-409C-BE32-E72D297353CC}">
              <c16:uniqueId val="{00000007-FB52-45D1-8314-C7E02F1A25AC}"/>
            </c:ext>
          </c:extLst>
        </c:ser>
        <c:ser>
          <c:idx val="8"/>
          <c:order val="8"/>
          <c:tx>
            <c:strRef>
              <c:f>List2!$BW$31</c:f>
              <c:strCache>
                <c:ptCount val="1"/>
                <c:pt idx="0">
                  <c:v>9.</c:v>
                </c:pt>
              </c:strCache>
            </c:strRef>
          </c:tx>
          <c:invertIfNegative val="0"/>
          <c:cat>
            <c:strRef>
              <c:f>List2!$BN$32:$BN$37</c:f>
              <c:strCache>
                <c:ptCount val="6"/>
                <c:pt idx="0">
                  <c:v>SR (SkyToll)</c:v>
                </c:pt>
                <c:pt idx="1">
                  <c:v>SR (NDS)</c:v>
                </c:pt>
                <c:pt idx="2">
                  <c:v>DE</c:v>
                </c:pt>
                <c:pt idx="3">
                  <c:v>ČR</c:v>
                </c:pt>
                <c:pt idx="4">
                  <c:v>AU</c:v>
                </c:pt>
                <c:pt idx="5">
                  <c:v>PL</c:v>
                </c:pt>
              </c:strCache>
            </c:strRef>
          </c:cat>
          <c:val>
            <c:numRef>
              <c:f>List2!$BW$32:$BW$37</c:f>
              <c:numCache>
                <c:formatCode>0.000%</c:formatCode>
                <c:ptCount val="6"/>
                <c:pt idx="0">
                  <c:v>0.33618863444246616</c:v>
                </c:pt>
                <c:pt idx="1">
                  <c:v>0.49377160990858732</c:v>
                </c:pt>
                <c:pt idx="2">
                  <c:v>0.1389521640091117</c:v>
                </c:pt>
                <c:pt idx="3">
                  <c:v>0.1788916283761067</c:v>
                </c:pt>
                <c:pt idx="4">
                  <c:v>0.11999891182124851</c:v>
                </c:pt>
              </c:numCache>
            </c:numRef>
          </c:val>
          <c:extLst>
            <c:ext xmlns:c16="http://schemas.microsoft.com/office/drawing/2014/chart" uri="{C3380CC4-5D6E-409C-BE32-E72D297353CC}">
              <c16:uniqueId val="{00000008-FB52-45D1-8314-C7E02F1A25AC}"/>
            </c:ext>
          </c:extLst>
        </c:ser>
        <c:dLbls>
          <c:showLegendKey val="0"/>
          <c:showVal val="0"/>
          <c:showCatName val="0"/>
          <c:showSerName val="0"/>
          <c:showPercent val="0"/>
          <c:showBubbleSize val="0"/>
        </c:dLbls>
        <c:gapWidth val="150"/>
        <c:axId val="569991552"/>
        <c:axId val="569993088"/>
      </c:barChart>
      <c:catAx>
        <c:axId val="569991552"/>
        <c:scaling>
          <c:orientation val="minMax"/>
        </c:scaling>
        <c:delete val="0"/>
        <c:axPos val="b"/>
        <c:numFmt formatCode="General" sourceLinked="0"/>
        <c:majorTickMark val="out"/>
        <c:minorTickMark val="none"/>
        <c:tickLblPos val="nextTo"/>
        <c:crossAx val="569993088"/>
        <c:crosses val="autoZero"/>
        <c:auto val="1"/>
        <c:lblAlgn val="ctr"/>
        <c:lblOffset val="100"/>
        <c:noMultiLvlLbl val="0"/>
      </c:catAx>
      <c:valAx>
        <c:axId val="569993088"/>
        <c:scaling>
          <c:orientation val="minMax"/>
        </c:scaling>
        <c:delete val="0"/>
        <c:axPos val="l"/>
        <c:majorGridlines/>
        <c:numFmt formatCode="0%" sourceLinked="0"/>
        <c:majorTickMark val="out"/>
        <c:minorTickMark val="none"/>
        <c:tickLblPos val="nextTo"/>
        <c:crossAx val="569991552"/>
        <c:crosses val="autoZero"/>
        <c:crossBetween val="between"/>
      </c:valAx>
    </c:plotArea>
    <c:legend>
      <c:legendPos val="r"/>
      <c:layout>
        <c:manualLayout>
          <c:xMode val="edge"/>
          <c:yMode val="edge"/>
          <c:x val="0.93460063546978456"/>
          <c:y val="0.20285142753227894"/>
          <c:w val="5.2567374682652428E-2"/>
          <c:h val="0.66733542462265871"/>
        </c:manualLayout>
      </c:layout>
      <c:overlay val="0"/>
    </c:legend>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Priemerná ročná</a:t>
            </a:r>
            <a:r>
              <a:rPr lang="sk-SK" sz="1200" baseline="0">
                <a:solidFill>
                  <a:srgbClr val="C00000"/>
                </a:solidFill>
              </a:rPr>
              <a:t> n</a:t>
            </a:r>
            <a:r>
              <a:rPr lang="sk-SK" sz="1200">
                <a:solidFill>
                  <a:srgbClr val="C00000"/>
                </a:solidFill>
              </a:rPr>
              <a:t>ákladová výnosnosť (%)</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9.1260349909947205E-2"/>
          <c:y val="0.28867432123762327"/>
          <c:w val="0.80386037459418413"/>
          <c:h val="0.55013985633763673"/>
        </c:manualLayout>
      </c:layout>
      <c:barChart>
        <c:barDir val="col"/>
        <c:grouping val="clustered"/>
        <c:varyColors val="0"/>
        <c:ser>
          <c:idx val="0"/>
          <c:order val="0"/>
          <c:tx>
            <c:strRef>
              <c:f>List1!$AB$127</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D022-4340-AD97-1A80A0BE6D0B}"/>
              </c:ext>
            </c:extLst>
          </c:dPt>
          <c:dPt>
            <c:idx val="1"/>
            <c:invertIfNegative val="0"/>
            <c:bubble3D val="0"/>
            <c:spPr>
              <a:solidFill>
                <a:srgbClr val="C00000"/>
              </a:solidFill>
            </c:spPr>
            <c:extLst>
              <c:ext xmlns:c16="http://schemas.microsoft.com/office/drawing/2014/chart" uri="{C3380CC4-5D6E-409C-BE32-E72D297353CC}">
                <c16:uniqueId val="{00000003-D022-4340-AD97-1A80A0BE6D0B}"/>
              </c:ext>
            </c:extLst>
          </c:dPt>
          <c:dPt>
            <c:idx val="2"/>
            <c:invertIfNegative val="0"/>
            <c:bubble3D val="0"/>
            <c:spPr>
              <a:solidFill>
                <a:srgbClr val="FFC000"/>
              </a:solidFill>
            </c:spPr>
            <c:extLst>
              <c:ext xmlns:c16="http://schemas.microsoft.com/office/drawing/2014/chart" uri="{C3380CC4-5D6E-409C-BE32-E72D297353CC}">
                <c16:uniqueId val="{00000005-D022-4340-AD97-1A80A0BE6D0B}"/>
              </c:ext>
            </c:extLst>
          </c:dPt>
          <c:dPt>
            <c:idx val="3"/>
            <c:invertIfNegative val="0"/>
            <c:bubble3D val="0"/>
            <c:spPr>
              <a:solidFill>
                <a:schemeClr val="tx2"/>
              </a:solidFill>
            </c:spPr>
            <c:extLst>
              <c:ext xmlns:c16="http://schemas.microsoft.com/office/drawing/2014/chart" uri="{C3380CC4-5D6E-409C-BE32-E72D297353CC}">
                <c16:uniqueId val="{00000007-D022-4340-AD97-1A80A0BE6D0B}"/>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D022-4340-AD97-1A80A0BE6D0B}"/>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D022-4340-AD97-1A80A0BE6D0B}"/>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List1!$AC$124:$AH$124</c:f>
              <c:strCache>
                <c:ptCount val="6"/>
                <c:pt idx="0">
                  <c:v>SR (SkyToll)</c:v>
                </c:pt>
                <c:pt idx="1">
                  <c:v>SR (NDS)</c:v>
                </c:pt>
                <c:pt idx="2">
                  <c:v>DE</c:v>
                </c:pt>
                <c:pt idx="3">
                  <c:v>ČR</c:v>
                </c:pt>
                <c:pt idx="4">
                  <c:v>AT</c:v>
                </c:pt>
                <c:pt idx="5">
                  <c:v>PL</c:v>
                </c:pt>
              </c:strCache>
            </c:strRef>
          </c:cat>
          <c:val>
            <c:numRef>
              <c:f>List1!$AC$127:$AH$127</c:f>
              <c:numCache>
                <c:formatCode>0.00%</c:formatCode>
                <c:ptCount val="6"/>
                <c:pt idx="0">
                  <c:v>0.51944554288601341</c:v>
                </c:pt>
                <c:pt idx="1">
                  <c:v>0.54011500937465606</c:v>
                </c:pt>
                <c:pt idx="2">
                  <c:v>0.15052312649948446</c:v>
                </c:pt>
                <c:pt idx="3">
                  <c:v>0.36488478785559192</c:v>
                </c:pt>
                <c:pt idx="4">
                  <c:v>0.11999966471091447</c:v>
                </c:pt>
                <c:pt idx="5">
                  <c:v>0.58136348542328109</c:v>
                </c:pt>
              </c:numCache>
            </c:numRef>
          </c:val>
          <c:extLst>
            <c:ext xmlns:c16="http://schemas.microsoft.com/office/drawing/2014/chart" uri="{C3380CC4-5D6E-409C-BE32-E72D297353CC}">
              <c16:uniqueId val="{0000000C-D022-4340-AD97-1A80A0BE6D0B}"/>
            </c:ext>
          </c:extLst>
        </c:ser>
        <c:dLbls>
          <c:showLegendKey val="0"/>
          <c:showVal val="0"/>
          <c:showCatName val="0"/>
          <c:showSerName val="0"/>
          <c:showPercent val="0"/>
          <c:showBubbleSize val="0"/>
        </c:dLbls>
        <c:gapWidth val="150"/>
        <c:axId val="570141696"/>
        <c:axId val="570626816"/>
      </c:barChart>
      <c:catAx>
        <c:axId val="570141696"/>
        <c:scaling>
          <c:orientation val="minMax"/>
        </c:scaling>
        <c:delete val="0"/>
        <c:axPos val="b"/>
        <c:numFmt formatCode="General" sourceLinked="0"/>
        <c:majorTickMark val="out"/>
        <c:minorTickMark val="none"/>
        <c:tickLblPos val="nextTo"/>
        <c:crossAx val="570626816"/>
        <c:crosses val="autoZero"/>
        <c:auto val="1"/>
        <c:lblAlgn val="ctr"/>
        <c:lblOffset val="100"/>
        <c:noMultiLvlLbl val="0"/>
      </c:catAx>
      <c:valAx>
        <c:axId val="570626816"/>
        <c:scaling>
          <c:orientation val="minMax"/>
        </c:scaling>
        <c:delete val="0"/>
        <c:axPos val="l"/>
        <c:numFmt formatCode="0%" sourceLinked="0"/>
        <c:majorTickMark val="out"/>
        <c:minorTickMark val="none"/>
        <c:tickLblPos val="nextTo"/>
        <c:crossAx val="570141696"/>
        <c:crosses val="autoZero"/>
        <c:crossBetween val="between"/>
      </c:valAx>
    </c:plotArea>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8786534633465039E-4"/>
          <c:y val="4.3611111111111133E-3"/>
        </c:manualLayout>
      </c:layout>
      <c:overlay val="0"/>
    </c:title>
    <c:autoTitleDeleted val="0"/>
    <c:plotArea>
      <c:layout>
        <c:manualLayout>
          <c:layoutTarget val="inner"/>
          <c:xMode val="edge"/>
          <c:yMode val="edge"/>
          <c:x val="8.8776017214397512E-2"/>
          <c:y val="0.28866698122672457"/>
          <c:w val="0.80386037459418436"/>
          <c:h val="0.55013985633763673"/>
        </c:manualLayout>
      </c:layout>
      <c:barChart>
        <c:barDir val="col"/>
        <c:grouping val="clustered"/>
        <c:varyColors val="0"/>
        <c:ser>
          <c:idx val="0"/>
          <c:order val="0"/>
          <c:tx>
            <c:strRef>
              <c:f>List1!$AB$125</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558F-4438-BB72-DBFC58E83D8D}"/>
              </c:ext>
            </c:extLst>
          </c:dPt>
          <c:dPt>
            <c:idx val="1"/>
            <c:invertIfNegative val="0"/>
            <c:bubble3D val="0"/>
            <c:spPr>
              <a:solidFill>
                <a:srgbClr val="C00000"/>
              </a:solidFill>
            </c:spPr>
            <c:extLst>
              <c:ext xmlns:c16="http://schemas.microsoft.com/office/drawing/2014/chart" uri="{C3380CC4-5D6E-409C-BE32-E72D297353CC}">
                <c16:uniqueId val="{00000003-558F-4438-BB72-DBFC58E83D8D}"/>
              </c:ext>
            </c:extLst>
          </c:dPt>
          <c:dPt>
            <c:idx val="2"/>
            <c:invertIfNegative val="0"/>
            <c:bubble3D val="0"/>
            <c:spPr>
              <a:solidFill>
                <a:srgbClr val="FFC000"/>
              </a:solidFill>
            </c:spPr>
            <c:extLst>
              <c:ext xmlns:c16="http://schemas.microsoft.com/office/drawing/2014/chart" uri="{C3380CC4-5D6E-409C-BE32-E72D297353CC}">
                <c16:uniqueId val="{00000005-558F-4438-BB72-DBFC58E83D8D}"/>
              </c:ext>
            </c:extLst>
          </c:dPt>
          <c:dPt>
            <c:idx val="3"/>
            <c:invertIfNegative val="0"/>
            <c:bubble3D val="0"/>
            <c:spPr>
              <a:solidFill>
                <a:schemeClr val="tx2"/>
              </a:solidFill>
            </c:spPr>
            <c:extLst>
              <c:ext xmlns:c16="http://schemas.microsoft.com/office/drawing/2014/chart" uri="{C3380CC4-5D6E-409C-BE32-E72D297353CC}">
                <c16:uniqueId val="{00000007-558F-4438-BB72-DBFC58E83D8D}"/>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558F-4438-BB72-DBFC58E83D8D}"/>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558F-4438-BB72-DBFC58E83D8D}"/>
              </c:ext>
            </c:extLst>
          </c:dPt>
          <c:dLbls>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List1!$AC$124:$AH$124</c:f>
              <c:strCache>
                <c:ptCount val="6"/>
                <c:pt idx="0">
                  <c:v>SR (SkyToll)</c:v>
                </c:pt>
                <c:pt idx="1">
                  <c:v>SR (NDS)</c:v>
                </c:pt>
                <c:pt idx="2">
                  <c:v>DE</c:v>
                </c:pt>
                <c:pt idx="3">
                  <c:v>ČR</c:v>
                </c:pt>
                <c:pt idx="4">
                  <c:v>AT</c:v>
                </c:pt>
                <c:pt idx="5">
                  <c:v>PL</c:v>
                </c:pt>
              </c:strCache>
            </c:strRef>
          </c:cat>
          <c:val>
            <c:numRef>
              <c:f>List1!$AC$125:$AH$125</c:f>
              <c:numCache>
                <c:formatCode>0.00%</c:formatCode>
                <c:ptCount val="6"/>
                <c:pt idx="0">
                  <c:v>0.64813209816516681</c:v>
                </c:pt>
                <c:pt idx="1">
                  <c:v>0.5574024574207147</c:v>
                </c:pt>
                <c:pt idx="2">
                  <c:v>0.17429277302710824</c:v>
                </c:pt>
                <c:pt idx="3">
                  <c:v>0.50079379800137469</c:v>
                </c:pt>
                <c:pt idx="4">
                  <c:v>0.11999905311896386</c:v>
                </c:pt>
                <c:pt idx="5">
                  <c:v>0.78238796001536115</c:v>
                </c:pt>
              </c:numCache>
            </c:numRef>
          </c:val>
          <c:extLst>
            <c:ext xmlns:c16="http://schemas.microsoft.com/office/drawing/2014/chart" uri="{C3380CC4-5D6E-409C-BE32-E72D297353CC}">
              <c16:uniqueId val="{0000000C-558F-4438-BB72-DBFC58E83D8D}"/>
            </c:ext>
          </c:extLst>
        </c:ser>
        <c:dLbls>
          <c:showLegendKey val="0"/>
          <c:showVal val="0"/>
          <c:showCatName val="0"/>
          <c:showSerName val="0"/>
          <c:showPercent val="0"/>
          <c:showBubbleSize val="0"/>
        </c:dLbls>
        <c:gapWidth val="150"/>
        <c:axId val="575456768"/>
        <c:axId val="575458304"/>
      </c:barChart>
      <c:catAx>
        <c:axId val="575456768"/>
        <c:scaling>
          <c:orientation val="minMax"/>
        </c:scaling>
        <c:delete val="0"/>
        <c:axPos val="b"/>
        <c:numFmt formatCode="General" sourceLinked="0"/>
        <c:majorTickMark val="out"/>
        <c:minorTickMark val="none"/>
        <c:tickLblPos val="nextTo"/>
        <c:crossAx val="575458304"/>
        <c:crosses val="autoZero"/>
        <c:auto val="1"/>
        <c:lblAlgn val="ctr"/>
        <c:lblOffset val="100"/>
        <c:noMultiLvlLbl val="0"/>
      </c:catAx>
      <c:valAx>
        <c:axId val="575458304"/>
        <c:scaling>
          <c:orientation val="minMax"/>
        </c:scaling>
        <c:delete val="0"/>
        <c:axPos val="l"/>
        <c:numFmt formatCode="0%" sourceLinked="0"/>
        <c:majorTickMark val="out"/>
        <c:minorTickMark val="none"/>
        <c:tickLblPos val="nextTo"/>
        <c:crossAx val="575456768"/>
        <c:crosses val="autoZero"/>
        <c:crossBetween val="between"/>
      </c:valAx>
    </c:plotArea>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9.0571205007824746E-5"/>
          <c:y val="4.6071029959493933E-3"/>
        </c:manualLayout>
      </c:layout>
      <c:overlay val="0"/>
    </c:title>
    <c:autoTitleDeleted val="0"/>
    <c:plotArea>
      <c:layout>
        <c:manualLayout>
          <c:layoutTarget val="inner"/>
          <c:xMode val="edge"/>
          <c:yMode val="edge"/>
          <c:x val="8.8775999848200768E-2"/>
          <c:y val="0.29364403192836808"/>
          <c:w val="0.8038603745941848"/>
          <c:h val="0.55013985633763673"/>
        </c:manualLayout>
      </c:layout>
      <c:barChart>
        <c:barDir val="col"/>
        <c:grouping val="clustered"/>
        <c:varyColors val="0"/>
        <c:ser>
          <c:idx val="0"/>
          <c:order val="0"/>
          <c:tx>
            <c:strRef>
              <c:f>List1!$AB$126</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6258-481E-BBCD-42E487657E66}"/>
              </c:ext>
            </c:extLst>
          </c:dPt>
          <c:dPt>
            <c:idx val="1"/>
            <c:invertIfNegative val="0"/>
            <c:bubble3D val="0"/>
            <c:spPr>
              <a:solidFill>
                <a:srgbClr val="C00000"/>
              </a:solidFill>
            </c:spPr>
            <c:extLst>
              <c:ext xmlns:c16="http://schemas.microsoft.com/office/drawing/2014/chart" uri="{C3380CC4-5D6E-409C-BE32-E72D297353CC}">
                <c16:uniqueId val="{00000003-6258-481E-BBCD-42E487657E66}"/>
              </c:ext>
            </c:extLst>
          </c:dPt>
          <c:dPt>
            <c:idx val="2"/>
            <c:invertIfNegative val="0"/>
            <c:bubble3D val="0"/>
            <c:spPr>
              <a:solidFill>
                <a:srgbClr val="FFC000"/>
              </a:solidFill>
            </c:spPr>
            <c:extLst>
              <c:ext xmlns:c16="http://schemas.microsoft.com/office/drawing/2014/chart" uri="{C3380CC4-5D6E-409C-BE32-E72D297353CC}">
                <c16:uniqueId val="{00000005-6258-481E-BBCD-42E487657E66}"/>
              </c:ext>
            </c:extLst>
          </c:dPt>
          <c:dPt>
            <c:idx val="3"/>
            <c:invertIfNegative val="0"/>
            <c:bubble3D val="0"/>
            <c:spPr>
              <a:solidFill>
                <a:schemeClr val="tx2"/>
              </a:solidFill>
            </c:spPr>
            <c:extLst>
              <c:ext xmlns:c16="http://schemas.microsoft.com/office/drawing/2014/chart" uri="{C3380CC4-5D6E-409C-BE32-E72D297353CC}">
                <c16:uniqueId val="{00000007-6258-481E-BBCD-42E487657E66}"/>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6258-481E-BBCD-42E487657E66}"/>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6258-481E-BBCD-42E487657E66}"/>
              </c:ext>
            </c:extLst>
          </c:dPt>
          <c:dLbls>
            <c:numFmt formatCode="0.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List1!$AC$124:$AH$124</c:f>
              <c:strCache>
                <c:ptCount val="6"/>
                <c:pt idx="0">
                  <c:v>SR (SkyToll)</c:v>
                </c:pt>
                <c:pt idx="1">
                  <c:v>SR (NDS)</c:v>
                </c:pt>
                <c:pt idx="2">
                  <c:v>DE</c:v>
                </c:pt>
                <c:pt idx="3">
                  <c:v>ČR</c:v>
                </c:pt>
                <c:pt idx="4">
                  <c:v>AT</c:v>
                </c:pt>
                <c:pt idx="5">
                  <c:v>PL</c:v>
                </c:pt>
              </c:strCache>
            </c:strRef>
          </c:cat>
          <c:val>
            <c:numRef>
              <c:f>List1!$AC$126:$AH$126</c:f>
              <c:numCache>
                <c:formatCode>0.00%</c:formatCode>
                <c:ptCount val="6"/>
                <c:pt idx="0">
                  <c:v>0.36420431236567341</c:v>
                </c:pt>
                <c:pt idx="1">
                  <c:v>0.50201398988221901</c:v>
                </c:pt>
                <c:pt idx="2">
                  <c:v>0.12159111795140981</c:v>
                </c:pt>
                <c:pt idx="3">
                  <c:v>0.22057118258648267</c:v>
                </c:pt>
                <c:pt idx="4">
                  <c:v>0.12000009477568624</c:v>
                </c:pt>
                <c:pt idx="5">
                  <c:v>0.25076722623911124</c:v>
                </c:pt>
              </c:numCache>
            </c:numRef>
          </c:val>
          <c:extLst>
            <c:ext xmlns:c16="http://schemas.microsoft.com/office/drawing/2014/chart" uri="{C3380CC4-5D6E-409C-BE32-E72D297353CC}">
              <c16:uniqueId val="{0000000C-6258-481E-BBCD-42E487657E66}"/>
            </c:ext>
          </c:extLst>
        </c:ser>
        <c:dLbls>
          <c:showLegendKey val="0"/>
          <c:showVal val="0"/>
          <c:showCatName val="0"/>
          <c:showSerName val="0"/>
          <c:showPercent val="0"/>
          <c:showBubbleSize val="0"/>
        </c:dLbls>
        <c:gapWidth val="150"/>
        <c:axId val="608161792"/>
        <c:axId val="608163328"/>
      </c:barChart>
      <c:catAx>
        <c:axId val="608161792"/>
        <c:scaling>
          <c:orientation val="minMax"/>
        </c:scaling>
        <c:delete val="0"/>
        <c:axPos val="b"/>
        <c:numFmt formatCode="General" sourceLinked="0"/>
        <c:majorTickMark val="out"/>
        <c:minorTickMark val="none"/>
        <c:tickLblPos val="nextTo"/>
        <c:crossAx val="608163328"/>
        <c:crosses val="autoZero"/>
        <c:auto val="1"/>
        <c:lblAlgn val="ctr"/>
        <c:lblOffset val="100"/>
        <c:noMultiLvlLbl val="0"/>
      </c:catAx>
      <c:valAx>
        <c:axId val="608163328"/>
        <c:scaling>
          <c:orientation val="minMax"/>
        </c:scaling>
        <c:delete val="0"/>
        <c:axPos val="l"/>
        <c:numFmt formatCode="0%" sourceLinked="0"/>
        <c:majorTickMark val="out"/>
        <c:minorTickMark val="none"/>
        <c:tickLblPos val="nextTo"/>
        <c:crossAx val="608161792"/>
        <c:crosses val="autoZero"/>
        <c:crossBetween val="between"/>
      </c:valAx>
    </c:plotArea>
    <c:plotVisOnly val="1"/>
    <c:dispBlanksAs val="gap"/>
    <c:showDLblsOverMax val="0"/>
  </c:chart>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k-SK" sz="1200">
                <a:solidFill>
                  <a:srgbClr val="C00000"/>
                </a:solidFill>
              </a:rPr>
              <a:t>Ročná n</a:t>
            </a:r>
            <a:r>
              <a:rPr lang="en-US" sz="1200">
                <a:solidFill>
                  <a:srgbClr val="C00000"/>
                </a:solidFill>
              </a:rPr>
              <a:t>ákladová efektívnosť</a:t>
            </a:r>
          </a:p>
        </c:rich>
      </c:tx>
      <c:layout>
        <c:manualLayout>
          <c:xMode val="edge"/>
          <c:yMode val="edge"/>
          <c:x val="3.5266836968737142E-4"/>
          <c:y val="0"/>
        </c:manualLayout>
      </c:layout>
      <c:overlay val="0"/>
    </c:title>
    <c:autoTitleDeleted val="0"/>
    <c:plotArea>
      <c:layout/>
      <c:barChart>
        <c:barDir val="col"/>
        <c:grouping val="clustered"/>
        <c:varyColors val="0"/>
        <c:ser>
          <c:idx val="0"/>
          <c:order val="0"/>
          <c:tx>
            <c:strRef>
              <c:f>List2!$BD$31</c:f>
              <c:strCache>
                <c:ptCount val="1"/>
                <c:pt idx="0">
                  <c:v>1.</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List2!$BD$32:$BD$37</c:f>
              <c:numCache>
                <c:formatCode>0.000</c:formatCode>
                <c:ptCount val="6"/>
                <c:pt idx="0">
                  <c:v>1.4464490166258668</c:v>
                </c:pt>
                <c:pt idx="1">
                  <c:v>1.3309839300817623</c:v>
                </c:pt>
                <c:pt idx="2">
                  <c:v>4.709090909090909</c:v>
                </c:pt>
                <c:pt idx="3">
                  <c:v>2.9108982731098489</c:v>
                </c:pt>
                <c:pt idx="4">
                  <c:v>8.3337225347627708</c:v>
                </c:pt>
                <c:pt idx="5">
                  <c:v>0.57729318103149851</c:v>
                </c:pt>
              </c:numCache>
            </c:numRef>
          </c:val>
          <c:extLst>
            <c:ext xmlns:c16="http://schemas.microsoft.com/office/drawing/2014/chart" uri="{C3380CC4-5D6E-409C-BE32-E72D297353CC}">
              <c16:uniqueId val="{00000000-701D-496C-922B-28A3F33D8224}"/>
            </c:ext>
          </c:extLst>
        </c:ser>
        <c:ser>
          <c:idx val="1"/>
          <c:order val="1"/>
          <c:tx>
            <c:strRef>
              <c:f>List2!$BE$31</c:f>
              <c:strCache>
                <c:ptCount val="1"/>
                <c:pt idx="0">
                  <c:v>2.</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List2!$BE$32:$BE$37</c:f>
              <c:numCache>
                <c:formatCode>0.000</c:formatCode>
                <c:ptCount val="6"/>
                <c:pt idx="0">
                  <c:v>1.5324333640704271</c:v>
                </c:pt>
                <c:pt idx="1">
                  <c:v>1.5007798791187381</c:v>
                </c:pt>
                <c:pt idx="2">
                  <c:v>5.4464285714285712</c:v>
                </c:pt>
                <c:pt idx="3">
                  <c:v>1.7928800232964481</c:v>
                </c:pt>
                <c:pt idx="4">
                  <c:v>8.333023735810098</c:v>
                </c:pt>
                <c:pt idx="5">
                  <c:v>0.82976998250330858</c:v>
                </c:pt>
              </c:numCache>
            </c:numRef>
          </c:val>
          <c:extLst>
            <c:ext xmlns:c16="http://schemas.microsoft.com/office/drawing/2014/chart" uri="{C3380CC4-5D6E-409C-BE32-E72D297353CC}">
              <c16:uniqueId val="{00000001-701D-496C-922B-28A3F33D8224}"/>
            </c:ext>
          </c:extLst>
        </c:ser>
        <c:ser>
          <c:idx val="2"/>
          <c:order val="2"/>
          <c:tx>
            <c:strRef>
              <c:f>List2!$BF$31</c:f>
              <c:strCache>
                <c:ptCount val="1"/>
                <c:pt idx="0">
                  <c:v>3.</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List2!$BF$32:$BF$37</c:f>
              <c:numCache>
                <c:formatCode>0.000</c:formatCode>
                <c:ptCount val="6"/>
                <c:pt idx="0">
                  <c:v>1.3456939650428315</c:v>
                </c:pt>
                <c:pt idx="1">
                  <c:v>2.2048141290414476</c:v>
                </c:pt>
                <c:pt idx="2">
                  <c:v>5.253968253968254</c:v>
                </c:pt>
                <c:pt idx="3">
                  <c:v>1.1664071190211369</c:v>
                </c:pt>
                <c:pt idx="4">
                  <c:v>8.3334679862654006</c:v>
                </c:pt>
                <c:pt idx="5">
                  <c:v>2.7063796212804352</c:v>
                </c:pt>
              </c:numCache>
            </c:numRef>
          </c:val>
          <c:extLst>
            <c:ext xmlns:c16="http://schemas.microsoft.com/office/drawing/2014/chart" uri="{C3380CC4-5D6E-409C-BE32-E72D297353CC}">
              <c16:uniqueId val="{00000002-701D-496C-922B-28A3F33D8224}"/>
            </c:ext>
          </c:extLst>
        </c:ser>
        <c:ser>
          <c:idx val="3"/>
          <c:order val="3"/>
          <c:tx>
            <c:strRef>
              <c:f>List2!$BG$31</c:f>
              <c:strCache>
                <c:ptCount val="1"/>
                <c:pt idx="0">
                  <c:v>4.</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List2!$BG$32:$BG$37</c:f>
              <c:numCache>
                <c:formatCode>0.000</c:formatCode>
                <c:ptCount val="6"/>
                <c:pt idx="0">
                  <c:v>1.3038283237704902</c:v>
                </c:pt>
                <c:pt idx="1">
                  <c:v>2.0843405149763576</c:v>
                </c:pt>
                <c:pt idx="2">
                  <c:v>6.2321428571428568</c:v>
                </c:pt>
                <c:pt idx="3">
                  <c:v>2.3670027497708532</c:v>
                </c:pt>
                <c:pt idx="4">
                  <c:v>8.3333615723483554</c:v>
                </c:pt>
                <c:pt idx="5">
                  <c:v>2.9328410338289519</c:v>
                </c:pt>
              </c:numCache>
            </c:numRef>
          </c:val>
          <c:extLst>
            <c:ext xmlns:c16="http://schemas.microsoft.com/office/drawing/2014/chart" uri="{C3380CC4-5D6E-409C-BE32-E72D297353CC}">
              <c16:uniqueId val="{00000003-701D-496C-922B-28A3F33D8224}"/>
            </c:ext>
          </c:extLst>
        </c:ser>
        <c:ser>
          <c:idx val="4"/>
          <c:order val="4"/>
          <c:tx>
            <c:strRef>
              <c:f>List2!$BH$31</c:f>
              <c:strCache>
                <c:ptCount val="1"/>
                <c:pt idx="0">
                  <c:v>5.</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List2!$BH$32:$BH$37</c:f>
              <c:numCache>
                <c:formatCode>0.000</c:formatCode>
                <c:ptCount val="6"/>
                <c:pt idx="0">
                  <c:v>2.5861701104216608</c:v>
                </c:pt>
                <c:pt idx="1">
                  <c:v>2.2933299646286005</c:v>
                </c:pt>
                <c:pt idx="2">
                  <c:v>8.018518518518519</c:v>
                </c:pt>
                <c:pt idx="3">
                  <c:v>3.0973003374578192</c:v>
                </c:pt>
                <c:pt idx="4">
                  <c:v>8.3334196484620247</c:v>
                </c:pt>
                <c:pt idx="5">
                  <c:v>3.7864327485380187</c:v>
                </c:pt>
              </c:numCache>
            </c:numRef>
          </c:val>
          <c:extLst>
            <c:ext xmlns:c16="http://schemas.microsoft.com/office/drawing/2014/chart" uri="{C3380CC4-5D6E-409C-BE32-E72D297353CC}">
              <c16:uniqueId val="{00000004-701D-496C-922B-28A3F33D8224}"/>
            </c:ext>
          </c:extLst>
        </c:ser>
        <c:ser>
          <c:idx val="5"/>
          <c:order val="5"/>
          <c:tx>
            <c:strRef>
              <c:f>List2!$BI$31</c:f>
              <c:strCache>
                <c:ptCount val="1"/>
                <c:pt idx="0">
                  <c:v>6.</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List2!$BI$32:$BI$37</c:f>
              <c:numCache>
                <c:formatCode>0.000</c:formatCode>
                <c:ptCount val="6"/>
                <c:pt idx="0">
                  <c:v>2.6559005188438647</c:v>
                </c:pt>
                <c:pt idx="1">
                  <c:v>1.8577456298975283</c:v>
                </c:pt>
                <c:pt idx="2">
                  <c:v>9.204081632653061</c:v>
                </c:pt>
                <c:pt idx="3">
                  <c:v>5.3852395069433614</c:v>
                </c:pt>
                <c:pt idx="4">
                  <c:v>8.3333453302141436</c:v>
                </c:pt>
                <c:pt idx="5">
                  <c:v>3.6927970670692272</c:v>
                </c:pt>
              </c:numCache>
            </c:numRef>
          </c:val>
          <c:extLst>
            <c:ext xmlns:c16="http://schemas.microsoft.com/office/drawing/2014/chart" uri="{C3380CC4-5D6E-409C-BE32-E72D297353CC}">
              <c16:uniqueId val="{00000005-701D-496C-922B-28A3F33D8224}"/>
            </c:ext>
          </c:extLst>
        </c:ser>
        <c:ser>
          <c:idx val="6"/>
          <c:order val="6"/>
          <c:tx>
            <c:strRef>
              <c:f>List2!$BJ$31</c:f>
              <c:strCache>
                <c:ptCount val="1"/>
                <c:pt idx="0">
                  <c:v>7.</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List2!$BJ$32:$BJ$37</c:f>
              <c:numCache>
                <c:formatCode>0.000</c:formatCode>
                <c:ptCount val="6"/>
                <c:pt idx="0">
                  <c:v>2.6822327512023749</c:v>
                </c:pt>
                <c:pt idx="1">
                  <c:v>1.8899327531645558</c:v>
                </c:pt>
                <c:pt idx="2">
                  <c:v>9.531914893617019</c:v>
                </c:pt>
                <c:pt idx="3">
                  <c:v>4.8293505351121544</c:v>
                </c:pt>
                <c:pt idx="4">
                  <c:v>8.3334141610087293</c:v>
                </c:pt>
                <c:pt idx="5">
                  <c:v>4.1215149921094039</c:v>
                </c:pt>
              </c:numCache>
            </c:numRef>
          </c:val>
          <c:extLst>
            <c:ext xmlns:c16="http://schemas.microsoft.com/office/drawing/2014/chart" uri="{C3380CC4-5D6E-409C-BE32-E72D297353CC}">
              <c16:uniqueId val="{00000006-701D-496C-922B-28A3F33D8224}"/>
            </c:ext>
          </c:extLst>
        </c:ser>
        <c:ser>
          <c:idx val="7"/>
          <c:order val="7"/>
          <c:tx>
            <c:strRef>
              <c:f>List2!$BK$31</c:f>
              <c:strCache>
                <c:ptCount val="1"/>
                <c:pt idx="0">
                  <c:v>8.</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List2!$BK$32:$BK$37</c:f>
              <c:numCache>
                <c:formatCode>0.000</c:formatCode>
                <c:ptCount val="6"/>
                <c:pt idx="0">
                  <c:v>2.8668334829199926</c:v>
                </c:pt>
                <c:pt idx="1">
                  <c:v>1.9499068718753063</c:v>
                </c:pt>
                <c:pt idx="2">
                  <c:v>7.6491228070175366</c:v>
                </c:pt>
                <c:pt idx="3">
                  <c:v>4.799788135593233</c:v>
                </c:pt>
                <c:pt idx="4">
                  <c:v>8.3330457290767921</c:v>
                </c:pt>
                <c:pt idx="5">
                  <c:v>4.4337755316908822</c:v>
                </c:pt>
              </c:numCache>
            </c:numRef>
          </c:val>
          <c:extLst>
            <c:ext xmlns:c16="http://schemas.microsoft.com/office/drawing/2014/chart" uri="{C3380CC4-5D6E-409C-BE32-E72D297353CC}">
              <c16:uniqueId val="{00000007-701D-496C-922B-28A3F33D8224}"/>
            </c:ext>
          </c:extLst>
        </c:ser>
        <c:ser>
          <c:idx val="8"/>
          <c:order val="8"/>
          <c:tx>
            <c:strRef>
              <c:f>List2!$BL$31</c:f>
              <c:strCache>
                <c:ptCount val="1"/>
                <c:pt idx="0">
                  <c:v>9.</c:v>
                </c:pt>
              </c:strCache>
            </c:strRef>
          </c:tx>
          <c:invertIfNegative val="0"/>
          <c:cat>
            <c:strRef>
              <c:f>List2!$BC$32:$BC$37</c:f>
              <c:strCache>
                <c:ptCount val="6"/>
                <c:pt idx="0">
                  <c:v>SR (SkyToll)</c:v>
                </c:pt>
                <c:pt idx="1">
                  <c:v>SR (ND)</c:v>
                </c:pt>
                <c:pt idx="2">
                  <c:v>DE</c:v>
                </c:pt>
                <c:pt idx="3">
                  <c:v>ČR</c:v>
                </c:pt>
                <c:pt idx="4">
                  <c:v>AU</c:v>
                </c:pt>
                <c:pt idx="5">
                  <c:v>PL</c:v>
                </c:pt>
              </c:strCache>
            </c:strRef>
          </c:cat>
          <c:val>
            <c:numRef>
              <c:f>List2!$BL$32:$BL$37</c:f>
              <c:numCache>
                <c:formatCode>0.000</c:formatCode>
                <c:ptCount val="6"/>
                <c:pt idx="0">
                  <c:v>2.9745205445698626</c:v>
                </c:pt>
                <c:pt idx="1">
                  <c:v>2.0252278177458032</c:v>
                </c:pt>
                <c:pt idx="2">
                  <c:v>7.1967213114754065</c:v>
                </c:pt>
                <c:pt idx="3">
                  <c:v>5.5899765074393075</c:v>
                </c:pt>
                <c:pt idx="4">
                  <c:v>8.333408901987454</c:v>
                </c:pt>
              </c:numCache>
            </c:numRef>
          </c:val>
          <c:extLst>
            <c:ext xmlns:c16="http://schemas.microsoft.com/office/drawing/2014/chart" uri="{C3380CC4-5D6E-409C-BE32-E72D297353CC}">
              <c16:uniqueId val="{00000008-701D-496C-922B-28A3F33D8224}"/>
            </c:ext>
          </c:extLst>
        </c:ser>
        <c:dLbls>
          <c:showLegendKey val="0"/>
          <c:showVal val="0"/>
          <c:showCatName val="0"/>
          <c:showSerName val="0"/>
          <c:showPercent val="0"/>
          <c:showBubbleSize val="0"/>
        </c:dLbls>
        <c:gapWidth val="150"/>
        <c:axId val="642873984"/>
        <c:axId val="643674496"/>
      </c:barChart>
      <c:catAx>
        <c:axId val="642873984"/>
        <c:scaling>
          <c:orientation val="minMax"/>
        </c:scaling>
        <c:delete val="0"/>
        <c:axPos val="b"/>
        <c:numFmt formatCode="General" sourceLinked="0"/>
        <c:majorTickMark val="out"/>
        <c:minorTickMark val="none"/>
        <c:tickLblPos val="nextTo"/>
        <c:crossAx val="643674496"/>
        <c:crosses val="autoZero"/>
        <c:auto val="1"/>
        <c:lblAlgn val="ctr"/>
        <c:lblOffset val="100"/>
        <c:noMultiLvlLbl val="0"/>
      </c:catAx>
      <c:valAx>
        <c:axId val="643674496"/>
        <c:scaling>
          <c:orientation val="minMax"/>
        </c:scaling>
        <c:delete val="0"/>
        <c:axPos val="l"/>
        <c:majorGridlines/>
        <c:numFmt formatCode="0" sourceLinked="0"/>
        <c:majorTickMark val="out"/>
        <c:minorTickMark val="none"/>
        <c:tickLblPos val="nextTo"/>
        <c:crossAx val="642873984"/>
        <c:crosses val="autoZero"/>
        <c:crossBetween val="between"/>
      </c:valAx>
    </c:plotArea>
    <c:legend>
      <c:legendPos val="r"/>
      <c:layout>
        <c:manualLayout>
          <c:xMode val="edge"/>
          <c:yMode val="edge"/>
          <c:x val="0.93460063546978456"/>
          <c:y val="0.20285142753227894"/>
          <c:w val="5.0428709708057066E-2"/>
          <c:h val="0.67310920167304056"/>
        </c:manualLayout>
      </c:layout>
      <c:overlay val="0"/>
    </c:legend>
    <c:plotVisOnly val="1"/>
    <c:dispBlanksAs val="gap"/>
    <c:showDLblsOverMax val="0"/>
  </c:chart>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Priemerná</a:t>
            </a:r>
            <a:r>
              <a:rPr lang="sk-SK" sz="1200" baseline="0">
                <a:solidFill>
                  <a:srgbClr val="C00000"/>
                </a:solidFill>
              </a:rPr>
              <a:t> ročná n</a:t>
            </a:r>
            <a:r>
              <a:rPr lang="sk-SK" sz="1200">
                <a:solidFill>
                  <a:srgbClr val="C00000"/>
                </a:solidFill>
              </a:rPr>
              <a:t>ákladová efektívnosť </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9.1260349909947205E-2"/>
          <c:y val="0.28867432123762327"/>
          <c:w val="0.80386037459418413"/>
          <c:h val="0.55013985633763673"/>
        </c:manualLayout>
      </c:layout>
      <c:barChart>
        <c:barDir val="col"/>
        <c:grouping val="clustered"/>
        <c:varyColors val="0"/>
        <c:ser>
          <c:idx val="0"/>
          <c:order val="0"/>
          <c:tx>
            <c:strRef>
              <c:f>List1!$AB$120</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E2AA-4E84-923E-744EA5BDD8BF}"/>
              </c:ext>
            </c:extLst>
          </c:dPt>
          <c:dPt>
            <c:idx val="1"/>
            <c:invertIfNegative val="0"/>
            <c:bubble3D val="0"/>
            <c:spPr>
              <a:solidFill>
                <a:srgbClr val="C00000"/>
              </a:solidFill>
            </c:spPr>
            <c:extLst>
              <c:ext xmlns:c16="http://schemas.microsoft.com/office/drawing/2014/chart" uri="{C3380CC4-5D6E-409C-BE32-E72D297353CC}">
                <c16:uniqueId val="{00000003-E2AA-4E84-923E-744EA5BDD8BF}"/>
              </c:ext>
            </c:extLst>
          </c:dPt>
          <c:dPt>
            <c:idx val="2"/>
            <c:invertIfNegative val="0"/>
            <c:bubble3D val="0"/>
            <c:spPr>
              <a:solidFill>
                <a:srgbClr val="FFC000"/>
              </a:solidFill>
            </c:spPr>
            <c:extLst>
              <c:ext xmlns:c16="http://schemas.microsoft.com/office/drawing/2014/chart" uri="{C3380CC4-5D6E-409C-BE32-E72D297353CC}">
                <c16:uniqueId val="{00000005-E2AA-4E84-923E-744EA5BDD8BF}"/>
              </c:ext>
            </c:extLst>
          </c:dPt>
          <c:dPt>
            <c:idx val="3"/>
            <c:invertIfNegative val="0"/>
            <c:bubble3D val="0"/>
            <c:spPr>
              <a:solidFill>
                <a:schemeClr val="tx2"/>
              </a:solidFill>
            </c:spPr>
            <c:extLst>
              <c:ext xmlns:c16="http://schemas.microsoft.com/office/drawing/2014/chart" uri="{C3380CC4-5D6E-409C-BE32-E72D297353CC}">
                <c16:uniqueId val="{00000007-E2AA-4E84-923E-744EA5BDD8BF}"/>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E2AA-4E84-923E-744EA5BDD8BF}"/>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E2AA-4E84-923E-744EA5BDD8BF}"/>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List1!$AC$117:$AH$117</c:f>
              <c:strCache>
                <c:ptCount val="6"/>
                <c:pt idx="0">
                  <c:v>SR (SkyToll)</c:v>
                </c:pt>
                <c:pt idx="1">
                  <c:v>SR (NDS)</c:v>
                </c:pt>
                <c:pt idx="2">
                  <c:v>DE</c:v>
                </c:pt>
                <c:pt idx="3">
                  <c:v>ČR</c:v>
                </c:pt>
                <c:pt idx="4">
                  <c:v>AT</c:v>
                </c:pt>
                <c:pt idx="5">
                  <c:v>PL</c:v>
                </c:pt>
              </c:strCache>
            </c:strRef>
          </c:cat>
          <c:val>
            <c:numRef>
              <c:f>List1!$AC$120:$AH$120</c:f>
              <c:numCache>
                <c:formatCode>#,##0.00</c:formatCode>
                <c:ptCount val="6"/>
                <c:pt idx="0">
                  <c:v>2.1548957863852625</c:v>
                </c:pt>
                <c:pt idx="1">
                  <c:v>1.9041179433922362</c:v>
                </c:pt>
                <c:pt idx="2">
                  <c:v>7.0268877505457814</c:v>
                </c:pt>
                <c:pt idx="3">
                  <c:v>3.5487603541937949</c:v>
                </c:pt>
                <c:pt idx="4">
                  <c:v>8.333356622215085</c:v>
                </c:pt>
                <c:pt idx="5">
                  <c:v>2.8851005197564672</c:v>
                </c:pt>
              </c:numCache>
            </c:numRef>
          </c:val>
          <c:extLst>
            <c:ext xmlns:c16="http://schemas.microsoft.com/office/drawing/2014/chart" uri="{C3380CC4-5D6E-409C-BE32-E72D297353CC}">
              <c16:uniqueId val="{0000000C-E2AA-4E84-923E-744EA5BDD8BF}"/>
            </c:ext>
          </c:extLst>
        </c:ser>
        <c:dLbls>
          <c:showLegendKey val="0"/>
          <c:showVal val="0"/>
          <c:showCatName val="0"/>
          <c:showSerName val="0"/>
          <c:showPercent val="0"/>
          <c:showBubbleSize val="0"/>
        </c:dLbls>
        <c:gapWidth val="150"/>
        <c:axId val="645191168"/>
        <c:axId val="645192704"/>
      </c:barChart>
      <c:catAx>
        <c:axId val="645191168"/>
        <c:scaling>
          <c:orientation val="minMax"/>
        </c:scaling>
        <c:delete val="0"/>
        <c:axPos val="b"/>
        <c:numFmt formatCode="General" sourceLinked="0"/>
        <c:majorTickMark val="out"/>
        <c:minorTickMark val="none"/>
        <c:tickLblPos val="nextTo"/>
        <c:crossAx val="645192704"/>
        <c:crosses val="autoZero"/>
        <c:auto val="1"/>
        <c:lblAlgn val="ctr"/>
        <c:lblOffset val="100"/>
        <c:noMultiLvlLbl val="0"/>
      </c:catAx>
      <c:valAx>
        <c:axId val="645192704"/>
        <c:scaling>
          <c:orientation val="minMax"/>
        </c:scaling>
        <c:delete val="0"/>
        <c:axPos val="l"/>
        <c:numFmt formatCode="#,##0" sourceLinked="0"/>
        <c:majorTickMark val="out"/>
        <c:minorTickMark val="none"/>
        <c:tickLblPos val="nextTo"/>
        <c:crossAx val="645191168"/>
        <c:crosses val="autoZero"/>
        <c:crossBetween val="between"/>
      </c:valAx>
    </c:plotArea>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8779342723004749E-4"/>
          <c:y val="4.3609937171593038E-3"/>
        </c:manualLayout>
      </c:layout>
      <c:overlay val="0"/>
    </c:title>
    <c:autoTitleDeleted val="0"/>
    <c:plotArea>
      <c:layout>
        <c:manualLayout>
          <c:layoutTarget val="inner"/>
          <c:xMode val="edge"/>
          <c:yMode val="edge"/>
          <c:x val="8.8776017214397512E-2"/>
          <c:y val="0.28866698122672457"/>
          <c:w val="0.80386037459418436"/>
          <c:h val="0.55013985633763673"/>
        </c:manualLayout>
      </c:layout>
      <c:barChart>
        <c:barDir val="col"/>
        <c:grouping val="clustered"/>
        <c:varyColors val="0"/>
        <c:ser>
          <c:idx val="0"/>
          <c:order val="0"/>
          <c:tx>
            <c:strRef>
              <c:f>List1!$AB$118</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EE28-42C0-A7B1-B6F74A7F755A}"/>
              </c:ext>
            </c:extLst>
          </c:dPt>
          <c:dPt>
            <c:idx val="1"/>
            <c:invertIfNegative val="0"/>
            <c:bubble3D val="0"/>
            <c:spPr>
              <a:solidFill>
                <a:srgbClr val="C00000"/>
              </a:solidFill>
            </c:spPr>
            <c:extLst>
              <c:ext xmlns:c16="http://schemas.microsoft.com/office/drawing/2014/chart" uri="{C3380CC4-5D6E-409C-BE32-E72D297353CC}">
                <c16:uniqueId val="{00000003-EE28-42C0-A7B1-B6F74A7F755A}"/>
              </c:ext>
            </c:extLst>
          </c:dPt>
          <c:dPt>
            <c:idx val="2"/>
            <c:invertIfNegative val="0"/>
            <c:bubble3D val="0"/>
            <c:spPr>
              <a:solidFill>
                <a:srgbClr val="FFC000"/>
              </a:solidFill>
            </c:spPr>
            <c:extLst>
              <c:ext xmlns:c16="http://schemas.microsoft.com/office/drawing/2014/chart" uri="{C3380CC4-5D6E-409C-BE32-E72D297353CC}">
                <c16:uniqueId val="{00000005-EE28-42C0-A7B1-B6F74A7F755A}"/>
              </c:ext>
            </c:extLst>
          </c:dPt>
          <c:dPt>
            <c:idx val="3"/>
            <c:invertIfNegative val="0"/>
            <c:bubble3D val="0"/>
            <c:spPr>
              <a:solidFill>
                <a:schemeClr val="tx2"/>
              </a:solidFill>
            </c:spPr>
            <c:extLst>
              <c:ext xmlns:c16="http://schemas.microsoft.com/office/drawing/2014/chart" uri="{C3380CC4-5D6E-409C-BE32-E72D297353CC}">
                <c16:uniqueId val="{00000007-EE28-42C0-A7B1-B6F74A7F755A}"/>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EE28-42C0-A7B1-B6F74A7F755A}"/>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EE28-42C0-A7B1-B6F74A7F755A}"/>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List1!$AC$117:$AH$117</c:f>
              <c:strCache>
                <c:ptCount val="6"/>
                <c:pt idx="0">
                  <c:v>SR (SkyToll)</c:v>
                </c:pt>
                <c:pt idx="1">
                  <c:v>SR (NDS)</c:v>
                </c:pt>
                <c:pt idx="2">
                  <c:v>DE</c:v>
                </c:pt>
                <c:pt idx="3">
                  <c:v>ČR</c:v>
                </c:pt>
                <c:pt idx="4">
                  <c:v>AT</c:v>
                </c:pt>
                <c:pt idx="5">
                  <c:v>PL</c:v>
                </c:pt>
              </c:strCache>
            </c:strRef>
          </c:cat>
          <c:val>
            <c:numRef>
              <c:f>List1!$AC$118:$AH$118</c:f>
              <c:numCache>
                <c:formatCode>#,##0.00</c:formatCode>
                <c:ptCount val="6"/>
                <c:pt idx="0">
                  <c:v>1.6429149559862561</c:v>
                </c:pt>
                <c:pt idx="1">
                  <c:v>1.8828496835693778</c:v>
                </c:pt>
                <c:pt idx="2">
                  <c:v>5.9320298220298309</c:v>
                </c:pt>
                <c:pt idx="3">
                  <c:v>2.2668977005312216</c:v>
                </c:pt>
                <c:pt idx="4">
                  <c:v>8.3333990955297494</c:v>
                </c:pt>
                <c:pt idx="5">
                  <c:v>2.166543313436442</c:v>
                </c:pt>
              </c:numCache>
            </c:numRef>
          </c:val>
          <c:extLst>
            <c:ext xmlns:c16="http://schemas.microsoft.com/office/drawing/2014/chart" uri="{C3380CC4-5D6E-409C-BE32-E72D297353CC}">
              <c16:uniqueId val="{0000000C-EE28-42C0-A7B1-B6F74A7F755A}"/>
            </c:ext>
          </c:extLst>
        </c:ser>
        <c:dLbls>
          <c:showLegendKey val="0"/>
          <c:showVal val="0"/>
          <c:showCatName val="0"/>
          <c:showSerName val="0"/>
          <c:showPercent val="0"/>
          <c:showBubbleSize val="0"/>
        </c:dLbls>
        <c:gapWidth val="150"/>
        <c:axId val="667598848"/>
        <c:axId val="667600384"/>
      </c:barChart>
      <c:catAx>
        <c:axId val="667598848"/>
        <c:scaling>
          <c:orientation val="minMax"/>
        </c:scaling>
        <c:delete val="0"/>
        <c:axPos val="b"/>
        <c:numFmt formatCode="General" sourceLinked="0"/>
        <c:majorTickMark val="out"/>
        <c:minorTickMark val="none"/>
        <c:tickLblPos val="nextTo"/>
        <c:crossAx val="667600384"/>
        <c:crosses val="autoZero"/>
        <c:auto val="1"/>
        <c:lblAlgn val="ctr"/>
        <c:lblOffset val="100"/>
        <c:noMultiLvlLbl val="0"/>
      </c:catAx>
      <c:valAx>
        <c:axId val="667600384"/>
        <c:scaling>
          <c:orientation val="minMax"/>
        </c:scaling>
        <c:delete val="0"/>
        <c:axPos val="l"/>
        <c:numFmt formatCode="#,##0" sourceLinked="0"/>
        <c:majorTickMark val="out"/>
        <c:minorTickMark val="none"/>
        <c:tickLblPos val="nextTo"/>
        <c:crossAx val="667598848"/>
        <c:crosses val="autoZero"/>
        <c:crossBetween val="between"/>
      </c:valAx>
    </c:plotArea>
    <c:plotVisOnly val="1"/>
    <c:dispBlanksAs val="gap"/>
    <c:showDLblsOverMax val="0"/>
  </c:chart>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a:t> </a:t>
            </a:r>
            <a:r>
              <a:rPr lang="sk-SK" sz="1050" i="1" baseline="0"/>
              <a:t>Subscenár B: 5. až 9. rok prevádzky</a:t>
            </a:r>
            <a:endParaRPr lang="en-US" sz="1050" i="1"/>
          </a:p>
        </c:rich>
      </c:tx>
      <c:layout>
        <c:manualLayout>
          <c:xMode val="edge"/>
          <c:yMode val="edge"/>
          <c:x val="9.0571205007824746E-5"/>
          <c:y val="4.6071029959493933E-3"/>
        </c:manualLayout>
      </c:layout>
      <c:overlay val="0"/>
    </c:title>
    <c:autoTitleDeleted val="0"/>
    <c:plotArea>
      <c:layout>
        <c:manualLayout>
          <c:layoutTarget val="inner"/>
          <c:xMode val="edge"/>
          <c:yMode val="edge"/>
          <c:x val="8.8775999848200768E-2"/>
          <c:y val="0.29364403192836808"/>
          <c:w val="0.8038603745941848"/>
          <c:h val="0.55013985633763673"/>
        </c:manualLayout>
      </c:layout>
      <c:barChart>
        <c:barDir val="col"/>
        <c:grouping val="clustered"/>
        <c:varyColors val="0"/>
        <c:ser>
          <c:idx val="0"/>
          <c:order val="0"/>
          <c:tx>
            <c:strRef>
              <c:f>List1!$AB$119</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5146-4F98-92E3-F7BC5D0468E0}"/>
              </c:ext>
            </c:extLst>
          </c:dPt>
          <c:dPt>
            <c:idx val="1"/>
            <c:invertIfNegative val="0"/>
            <c:bubble3D val="0"/>
            <c:spPr>
              <a:solidFill>
                <a:srgbClr val="C00000"/>
              </a:solidFill>
            </c:spPr>
            <c:extLst>
              <c:ext xmlns:c16="http://schemas.microsoft.com/office/drawing/2014/chart" uri="{C3380CC4-5D6E-409C-BE32-E72D297353CC}">
                <c16:uniqueId val="{00000003-5146-4F98-92E3-F7BC5D0468E0}"/>
              </c:ext>
            </c:extLst>
          </c:dPt>
          <c:dPt>
            <c:idx val="2"/>
            <c:invertIfNegative val="0"/>
            <c:bubble3D val="0"/>
            <c:spPr>
              <a:solidFill>
                <a:srgbClr val="FFC000"/>
              </a:solidFill>
            </c:spPr>
            <c:extLst>
              <c:ext xmlns:c16="http://schemas.microsoft.com/office/drawing/2014/chart" uri="{C3380CC4-5D6E-409C-BE32-E72D297353CC}">
                <c16:uniqueId val="{00000005-5146-4F98-92E3-F7BC5D0468E0}"/>
              </c:ext>
            </c:extLst>
          </c:dPt>
          <c:dPt>
            <c:idx val="3"/>
            <c:invertIfNegative val="0"/>
            <c:bubble3D val="0"/>
            <c:spPr>
              <a:solidFill>
                <a:schemeClr val="tx2"/>
              </a:solidFill>
            </c:spPr>
            <c:extLst>
              <c:ext xmlns:c16="http://schemas.microsoft.com/office/drawing/2014/chart" uri="{C3380CC4-5D6E-409C-BE32-E72D297353CC}">
                <c16:uniqueId val="{00000007-5146-4F98-92E3-F7BC5D0468E0}"/>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5146-4F98-92E3-F7BC5D0468E0}"/>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5146-4F98-92E3-F7BC5D0468E0}"/>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List1!$AC$117:$AH$117</c:f>
              <c:strCache>
                <c:ptCount val="6"/>
                <c:pt idx="0">
                  <c:v>SR (SkyToll)</c:v>
                </c:pt>
                <c:pt idx="1">
                  <c:v>SR (NDS)</c:v>
                </c:pt>
                <c:pt idx="2">
                  <c:v>DE</c:v>
                </c:pt>
                <c:pt idx="3">
                  <c:v>ČR</c:v>
                </c:pt>
                <c:pt idx="4">
                  <c:v>AT</c:v>
                </c:pt>
                <c:pt idx="5">
                  <c:v>PL</c:v>
                </c:pt>
              </c:strCache>
            </c:strRef>
          </c:cat>
          <c:val>
            <c:numRef>
              <c:f>List1!$AC$119:$AH$119</c:f>
              <c:numCache>
                <c:formatCode>#,##0.00</c:formatCode>
                <c:ptCount val="6"/>
                <c:pt idx="0">
                  <c:v>2.753131481591558</c:v>
                </c:pt>
                <c:pt idx="1">
                  <c:v>2.0032286074623631</c:v>
                </c:pt>
                <c:pt idx="2">
                  <c:v>8.3200718326563106</c:v>
                </c:pt>
                <c:pt idx="3">
                  <c:v>4.7403310045091818</c:v>
                </c:pt>
                <c:pt idx="4">
                  <c:v>8.333326754149823</c:v>
                </c:pt>
                <c:pt idx="5">
                  <c:v>4.0086300848518936</c:v>
                </c:pt>
              </c:numCache>
            </c:numRef>
          </c:val>
          <c:extLst>
            <c:ext xmlns:c16="http://schemas.microsoft.com/office/drawing/2014/chart" uri="{C3380CC4-5D6E-409C-BE32-E72D297353CC}">
              <c16:uniqueId val="{0000000C-5146-4F98-92E3-F7BC5D0468E0}"/>
            </c:ext>
          </c:extLst>
        </c:ser>
        <c:dLbls>
          <c:showLegendKey val="0"/>
          <c:showVal val="0"/>
          <c:showCatName val="0"/>
          <c:showSerName val="0"/>
          <c:showPercent val="0"/>
          <c:showBubbleSize val="0"/>
        </c:dLbls>
        <c:gapWidth val="150"/>
        <c:axId val="668502272"/>
        <c:axId val="668590080"/>
      </c:barChart>
      <c:catAx>
        <c:axId val="668502272"/>
        <c:scaling>
          <c:orientation val="minMax"/>
        </c:scaling>
        <c:delete val="0"/>
        <c:axPos val="b"/>
        <c:numFmt formatCode="General" sourceLinked="0"/>
        <c:majorTickMark val="out"/>
        <c:minorTickMark val="none"/>
        <c:tickLblPos val="nextTo"/>
        <c:crossAx val="668590080"/>
        <c:crosses val="autoZero"/>
        <c:auto val="1"/>
        <c:lblAlgn val="ctr"/>
        <c:lblOffset val="100"/>
        <c:noMultiLvlLbl val="0"/>
      </c:catAx>
      <c:valAx>
        <c:axId val="668590080"/>
        <c:scaling>
          <c:orientation val="minMax"/>
        </c:scaling>
        <c:delete val="0"/>
        <c:axPos val="l"/>
        <c:numFmt formatCode="#,##0" sourceLinked="0"/>
        <c:majorTickMark val="out"/>
        <c:minorTickMark val="none"/>
        <c:tickLblPos val="nextTo"/>
        <c:crossAx val="668502272"/>
        <c:crosses val="autoZero"/>
        <c:crossBetween val="between"/>
      </c:valAx>
    </c:plotArea>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k-SK" sz="1200">
                <a:solidFill>
                  <a:srgbClr val="C00000"/>
                </a:solidFill>
              </a:rPr>
              <a:t>Ročné k</a:t>
            </a:r>
            <a:r>
              <a:rPr lang="en-US" sz="1200">
                <a:solidFill>
                  <a:srgbClr val="C00000"/>
                </a:solidFill>
              </a:rPr>
              <a:t>ilometrické výnosy (€/km)</a:t>
            </a:r>
          </a:p>
        </c:rich>
      </c:tx>
      <c:layout>
        <c:manualLayout>
          <c:xMode val="edge"/>
          <c:yMode val="edge"/>
          <c:x val="2.7810461011872002E-4"/>
          <c:y val="0"/>
        </c:manualLayout>
      </c:layout>
      <c:overlay val="0"/>
    </c:title>
    <c:autoTitleDeleted val="0"/>
    <c:plotArea>
      <c:layout/>
      <c:barChart>
        <c:barDir val="col"/>
        <c:grouping val="clustered"/>
        <c:varyColors val="0"/>
        <c:ser>
          <c:idx val="0"/>
          <c:order val="0"/>
          <c:tx>
            <c:strRef>
              <c:f>List2!$D$63</c:f>
              <c:strCache>
                <c:ptCount val="1"/>
                <c:pt idx="0">
                  <c:v>1.</c:v>
                </c:pt>
              </c:strCache>
            </c:strRef>
          </c:tx>
          <c:invertIfNegative val="0"/>
          <c:dPt>
            <c:idx val="5"/>
            <c:invertIfNegative val="0"/>
            <c:bubble3D val="0"/>
            <c:spPr>
              <a:noFill/>
              <a:ln>
                <a:noFill/>
              </a:ln>
            </c:spPr>
            <c:extLst>
              <c:ext xmlns:c16="http://schemas.microsoft.com/office/drawing/2014/chart" uri="{C3380CC4-5D6E-409C-BE32-E72D297353CC}">
                <c16:uniqueId val="{00000001-ECC7-4E1C-B2DE-1526CEE0D8D1}"/>
              </c:ext>
            </c:extLst>
          </c:dPt>
          <c:cat>
            <c:strRef>
              <c:f>List2!$C$64:$C$69</c:f>
              <c:strCache>
                <c:ptCount val="6"/>
                <c:pt idx="0">
                  <c:v>SR (SkyToll)</c:v>
                </c:pt>
                <c:pt idx="1">
                  <c:v>SR (NDS)</c:v>
                </c:pt>
                <c:pt idx="2">
                  <c:v>DE</c:v>
                </c:pt>
                <c:pt idx="3">
                  <c:v>ČR</c:v>
                </c:pt>
                <c:pt idx="4">
                  <c:v>AU</c:v>
                </c:pt>
                <c:pt idx="5">
                  <c:v>PL</c:v>
                </c:pt>
              </c:strCache>
            </c:strRef>
          </c:cat>
          <c:val>
            <c:numRef>
              <c:f>List2!$D$64:$D$69</c:f>
              <c:numCache>
                <c:formatCode>#,##0</c:formatCode>
                <c:ptCount val="6"/>
                <c:pt idx="0">
                  <c:v>72790.196894569308</c:v>
                </c:pt>
                <c:pt idx="1">
                  <c:v>72697.874961502923</c:v>
                </c:pt>
                <c:pt idx="2">
                  <c:v>212103.84079927928</c:v>
                </c:pt>
                <c:pt idx="3">
                  <c:v>211169.59679966312</c:v>
                </c:pt>
                <c:pt idx="4">
                  <c:v>385998.03343166242</c:v>
                </c:pt>
                <c:pt idx="5">
                  <c:v>53284.345047923322</c:v>
                </c:pt>
              </c:numCache>
            </c:numRef>
          </c:val>
          <c:extLst>
            <c:ext xmlns:c16="http://schemas.microsoft.com/office/drawing/2014/chart" uri="{C3380CC4-5D6E-409C-BE32-E72D297353CC}">
              <c16:uniqueId val="{00000002-ECC7-4E1C-B2DE-1526CEE0D8D1}"/>
            </c:ext>
          </c:extLst>
        </c:ser>
        <c:ser>
          <c:idx val="1"/>
          <c:order val="1"/>
          <c:tx>
            <c:strRef>
              <c:f>List2!$E$63</c:f>
              <c:strCache>
                <c:ptCount val="1"/>
                <c:pt idx="0">
                  <c:v>2.</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List2!$E$64:$E$69</c:f>
              <c:numCache>
                <c:formatCode>#,##0</c:formatCode>
                <c:ptCount val="6"/>
                <c:pt idx="0">
                  <c:v>77061.284703846177</c:v>
                </c:pt>
                <c:pt idx="1">
                  <c:v>77008.498696933166</c:v>
                </c:pt>
                <c:pt idx="2">
                  <c:v>246703.87446412642</c:v>
                </c:pt>
                <c:pt idx="3">
                  <c:v>210325.39072508327</c:v>
                </c:pt>
                <c:pt idx="4">
                  <c:v>396791.15479115455</c:v>
                </c:pt>
                <c:pt idx="5">
                  <c:v>102878.30687830674</c:v>
                </c:pt>
              </c:numCache>
            </c:numRef>
          </c:val>
          <c:extLst>
            <c:ext xmlns:c16="http://schemas.microsoft.com/office/drawing/2014/chart" uri="{C3380CC4-5D6E-409C-BE32-E72D297353CC}">
              <c16:uniqueId val="{00000003-ECC7-4E1C-B2DE-1526CEE0D8D1}"/>
            </c:ext>
          </c:extLst>
        </c:ser>
        <c:ser>
          <c:idx val="2"/>
          <c:order val="2"/>
          <c:tx>
            <c:strRef>
              <c:f>List2!$F$63</c:f>
              <c:strCache>
                <c:ptCount val="1"/>
                <c:pt idx="0">
                  <c:v>3.</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List2!$F$64:$F$69</c:f>
              <c:numCache>
                <c:formatCode>#,##0</c:formatCode>
                <c:ptCount val="6"/>
                <c:pt idx="0">
                  <c:v>76502.083978139708</c:v>
                </c:pt>
                <c:pt idx="1">
                  <c:v>76147.001096949694</c:v>
                </c:pt>
                <c:pt idx="2">
                  <c:v>264144.92059692024</c:v>
                </c:pt>
                <c:pt idx="3">
                  <c:v>166246.53190646056</c:v>
                </c:pt>
                <c:pt idx="4">
                  <c:v>400223.10602386255</c:v>
                </c:pt>
                <c:pt idx="5">
                  <c:v>90505.088578967217</c:v>
                </c:pt>
              </c:numCache>
            </c:numRef>
          </c:val>
          <c:extLst>
            <c:ext xmlns:c16="http://schemas.microsoft.com/office/drawing/2014/chart" uri="{C3380CC4-5D6E-409C-BE32-E72D297353CC}">
              <c16:uniqueId val="{00000004-ECC7-4E1C-B2DE-1526CEE0D8D1}"/>
            </c:ext>
          </c:extLst>
        </c:ser>
        <c:ser>
          <c:idx val="3"/>
          <c:order val="3"/>
          <c:tx>
            <c:strRef>
              <c:f>List2!$G$63</c:f>
              <c:strCache>
                <c:ptCount val="1"/>
                <c:pt idx="0">
                  <c:v>4.</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List2!$G$64:$G$69</c:f>
              <c:numCache>
                <c:formatCode>#,##0</c:formatCode>
                <c:ptCount val="6"/>
                <c:pt idx="0">
                  <c:v>77360.848324798237</c:v>
                </c:pt>
                <c:pt idx="1">
                  <c:v>77162.880501125808</c:v>
                </c:pt>
                <c:pt idx="2">
                  <c:v>275280.01262028713</c:v>
                </c:pt>
                <c:pt idx="3">
                  <c:v>187456.44599303138</c:v>
                </c:pt>
                <c:pt idx="4">
                  <c:v>467590.43589865492</c:v>
                </c:pt>
                <c:pt idx="5">
                  <c:v>100754.19952005488</c:v>
                </c:pt>
              </c:numCache>
            </c:numRef>
          </c:val>
          <c:extLst>
            <c:ext xmlns:c16="http://schemas.microsoft.com/office/drawing/2014/chart" uri="{C3380CC4-5D6E-409C-BE32-E72D297353CC}">
              <c16:uniqueId val="{00000005-ECC7-4E1C-B2DE-1526CEE0D8D1}"/>
            </c:ext>
          </c:extLst>
        </c:ser>
        <c:ser>
          <c:idx val="4"/>
          <c:order val="4"/>
          <c:tx>
            <c:strRef>
              <c:f>List2!$H$63</c:f>
              <c:strCache>
                <c:ptCount val="1"/>
                <c:pt idx="0">
                  <c:v>5.</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List2!$H$64:$H$69</c:f>
              <c:numCache>
                <c:formatCode>#,##0</c:formatCode>
                <c:ptCount val="6"/>
                <c:pt idx="0">
                  <c:v>80805.708199307323</c:v>
                </c:pt>
                <c:pt idx="1">
                  <c:v>79992.5973579618</c:v>
                </c:pt>
                <c:pt idx="2">
                  <c:v>338943.24853228964</c:v>
                </c:pt>
                <c:pt idx="3">
                  <c:v>237849.12179671755</c:v>
                </c:pt>
                <c:pt idx="4">
                  <c:v>504830.06132053054</c:v>
                </c:pt>
                <c:pt idx="5">
                  <c:v>102190.65656565657</c:v>
                </c:pt>
              </c:numCache>
            </c:numRef>
          </c:val>
          <c:extLst>
            <c:ext xmlns:c16="http://schemas.microsoft.com/office/drawing/2014/chart" uri="{C3380CC4-5D6E-409C-BE32-E72D297353CC}">
              <c16:uniqueId val="{00000006-ECC7-4E1C-B2DE-1526CEE0D8D1}"/>
            </c:ext>
          </c:extLst>
        </c:ser>
        <c:ser>
          <c:idx val="5"/>
          <c:order val="5"/>
          <c:tx>
            <c:strRef>
              <c:f>List2!$I$63</c:f>
              <c:strCache>
                <c:ptCount val="1"/>
                <c:pt idx="0">
                  <c:v>6.</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List2!$I$64:$I$69</c:f>
              <c:numCache>
                <c:formatCode>#,##0</c:formatCode>
                <c:ptCount val="6"/>
                <c:pt idx="0">
                  <c:v>80553.078802619508</c:v>
                </c:pt>
                <c:pt idx="1">
                  <c:v>79464.393145057315</c:v>
                </c:pt>
                <c:pt idx="2">
                  <c:v>352674.3822333439</c:v>
                </c:pt>
                <c:pt idx="3">
                  <c:v>246370.19059176251</c:v>
                </c:pt>
                <c:pt idx="4">
                  <c:v>433680.46450646198</c:v>
                </c:pt>
                <c:pt idx="5">
                  <c:v>103215.79264617219</c:v>
                </c:pt>
              </c:numCache>
            </c:numRef>
          </c:val>
          <c:extLst>
            <c:ext xmlns:c16="http://schemas.microsoft.com/office/drawing/2014/chart" uri="{C3380CC4-5D6E-409C-BE32-E72D297353CC}">
              <c16:uniqueId val="{00000007-ECC7-4E1C-B2DE-1526CEE0D8D1}"/>
            </c:ext>
          </c:extLst>
        </c:ser>
        <c:ser>
          <c:idx val="6"/>
          <c:order val="6"/>
          <c:tx>
            <c:strRef>
              <c:f>List2!$J$63</c:f>
              <c:strCache>
                <c:ptCount val="1"/>
                <c:pt idx="0">
                  <c:v>7.</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List2!$J$64:$J$69</c:f>
              <c:numCache>
                <c:formatCode>#,##0</c:formatCode>
                <c:ptCount val="6"/>
                <c:pt idx="0">
                  <c:v>82442.608474159468</c:v>
                </c:pt>
                <c:pt idx="1">
                  <c:v>81493.674016775636</c:v>
                </c:pt>
                <c:pt idx="2">
                  <c:v>349672.18232906651</c:v>
                </c:pt>
                <c:pt idx="3">
                  <c:v>227776.24118379204</c:v>
                </c:pt>
                <c:pt idx="4">
                  <c:v>473875.07468860672</c:v>
                </c:pt>
                <c:pt idx="5">
                  <c:v>106511.69113648741</c:v>
                </c:pt>
              </c:numCache>
            </c:numRef>
          </c:val>
          <c:extLst>
            <c:ext xmlns:c16="http://schemas.microsoft.com/office/drawing/2014/chart" uri="{C3380CC4-5D6E-409C-BE32-E72D297353CC}">
              <c16:uniqueId val="{00000008-ECC7-4E1C-B2DE-1526CEE0D8D1}"/>
            </c:ext>
          </c:extLst>
        </c:ser>
        <c:ser>
          <c:idx val="7"/>
          <c:order val="7"/>
          <c:tx>
            <c:strRef>
              <c:f>List2!$K$63</c:f>
              <c:strCache>
                <c:ptCount val="1"/>
                <c:pt idx="0">
                  <c:v>8.</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List2!$K$64:$K$69</c:f>
              <c:numCache>
                <c:formatCode>#,##0</c:formatCode>
                <c:ptCount val="6"/>
                <c:pt idx="0">
                  <c:v>85013.22393189487</c:v>
                </c:pt>
                <c:pt idx="1">
                  <c:v>84071.937276780998</c:v>
                </c:pt>
                <c:pt idx="2">
                  <c:v>311450.81791556539</c:v>
                </c:pt>
                <c:pt idx="3">
                  <c:v>219312.68151016429</c:v>
                </c:pt>
                <c:pt idx="4">
                  <c:v>488293.42280645325</c:v>
                </c:pt>
                <c:pt idx="5">
                  <c:v>112870.54409005627</c:v>
                </c:pt>
              </c:numCache>
            </c:numRef>
          </c:val>
          <c:extLst>
            <c:ext xmlns:c16="http://schemas.microsoft.com/office/drawing/2014/chart" uri="{C3380CC4-5D6E-409C-BE32-E72D297353CC}">
              <c16:uniqueId val="{00000009-ECC7-4E1C-B2DE-1526CEE0D8D1}"/>
            </c:ext>
          </c:extLst>
        </c:ser>
        <c:ser>
          <c:idx val="8"/>
          <c:order val="8"/>
          <c:tx>
            <c:strRef>
              <c:f>List2!$L$63</c:f>
              <c:strCache>
                <c:ptCount val="1"/>
                <c:pt idx="0">
                  <c:v>9.</c:v>
                </c:pt>
              </c:strCache>
            </c:strRef>
          </c:tx>
          <c:invertIfNegative val="0"/>
          <c:cat>
            <c:strRef>
              <c:f>List2!$C$64:$C$69</c:f>
              <c:strCache>
                <c:ptCount val="6"/>
                <c:pt idx="0">
                  <c:v>SR (SkyToll)</c:v>
                </c:pt>
                <c:pt idx="1">
                  <c:v>SR (NDS)</c:v>
                </c:pt>
                <c:pt idx="2">
                  <c:v>DE</c:v>
                </c:pt>
                <c:pt idx="3">
                  <c:v>ČR</c:v>
                </c:pt>
                <c:pt idx="4">
                  <c:v>AU</c:v>
                </c:pt>
                <c:pt idx="5">
                  <c:v>PL</c:v>
                </c:pt>
              </c:strCache>
            </c:strRef>
          </c:cat>
          <c:val>
            <c:numRef>
              <c:f>List2!$L$64:$L$69</c:f>
              <c:numCache>
                <c:formatCode>#,##0</c:formatCode>
                <c:ptCount val="6"/>
                <c:pt idx="0">
                  <c:v>90218.134059609612</c:v>
                </c:pt>
                <c:pt idx="1">
                  <c:v>89236.881590904406</c:v>
                </c:pt>
                <c:pt idx="2">
                  <c:v>312144.48236632562</c:v>
                </c:pt>
                <c:pt idx="3">
                  <c:v>246798.50643064568</c:v>
                </c:pt>
                <c:pt idx="4">
                  <c:v>506457.24258289702</c:v>
                </c:pt>
              </c:numCache>
            </c:numRef>
          </c:val>
          <c:extLst>
            <c:ext xmlns:c16="http://schemas.microsoft.com/office/drawing/2014/chart" uri="{C3380CC4-5D6E-409C-BE32-E72D297353CC}">
              <c16:uniqueId val="{0000000A-ECC7-4E1C-B2DE-1526CEE0D8D1}"/>
            </c:ext>
          </c:extLst>
        </c:ser>
        <c:dLbls>
          <c:showLegendKey val="0"/>
          <c:showVal val="0"/>
          <c:showCatName val="0"/>
          <c:showSerName val="0"/>
          <c:showPercent val="0"/>
          <c:showBubbleSize val="0"/>
        </c:dLbls>
        <c:gapWidth val="150"/>
        <c:axId val="668788608"/>
        <c:axId val="668790144"/>
      </c:barChart>
      <c:catAx>
        <c:axId val="668788608"/>
        <c:scaling>
          <c:orientation val="minMax"/>
        </c:scaling>
        <c:delete val="0"/>
        <c:axPos val="b"/>
        <c:numFmt formatCode="General" sourceLinked="0"/>
        <c:majorTickMark val="out"/>
        <c:minorTickMark val="none"/>
        <c:tickLblPos val="nextTo"/>
        <c:crossAx val="668790144"/>
        <c:crosses val="autoZero"/>
        <c:auto val="1"/>
        <c:lblAlgn val="ctr"/>
        <c:lblOffset val="100"/>
        <c:noMultiLvlLbl val="0"/>
      </c:catAx>
      <c:valAx>
        <c:axId val="668790144"/>
        <c:scaling>
          <c:orientation val="minMax"/>
        </c:scaling>
        <c:delete val="0"/>
        <c:axPos val="l"/>
        <c:majorGridlines/>
        <c:numFmt formatCode="#,##0" sourceLinked="1"/>
        <c:majorTickMark val="out"/>
        <c:minorTickMark val="none"/>
        <c:tickLblPos val="nextTo"/>
        <c:crossAx val="668788608"/>
        <c:crosses val="autoZero"/>
        <c:crossBetween val="between"/>
      </c:valAx>
    </c:plotArea>
    <c:legend>
      <c:legendPos val="r"/>
      <c:layout>
        <c:manualLayout>
          <c:xMode val="edge"/>
          <c:yMode val="edge"/>
          <c:x val="0.93458224931210332"/>
          <c:y val="0.20285142753227894"/>
          <c:w val="5.0442887066114273E-2"/>
          <c:h val="0.66733542462265871"/>
        </c:manualLayout>
      </c:layout>
      <c:overlay val="0"/>
    </c:legend>
    <c:plotVisOnly val="1"/>
    <c:dispBlanksAs val="gap"/>
    <c:showDLblsOverMax val="0"/>
  </c:chart>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kilometrické výnosy (€/km)</a:t>
            </a:r>
          </a:p>
          <a:p>
            <a:pPr algn="l">
              <a:defRPr/>
            </a:pPr>
            <a:r>
              <a:rPr lang="sk-SK" sz="1050" i="1" baseline="0"/>
              <a:t>Základný scenár: 1. až 9. rok prevádzky</a:t>
            </a:r>
            <a:endParaRPr lang="en-US" sz="1050" i="1"/>
          </a:p>
        </c:rich>
      </c:tx>
      <c:layout>
        <c:manualLayout>
          <c:xMode val="edge"/>
          <c:yMode val="edge"/>
          <c:x val="1.0125130229937584E-2"/>
          <c:y val="6.4753086419753712E-3"/>
        </c:manualLayout>
      </c:layout>
      <c:overlay val="0"/>
    </c:title>
    <c:autoTitleDeleted val="0"/>
    <c:plotArea>
      <c:layout>
        <c:manualLayout>
          <c:layoutTarget val="inner"/>
          <c:xMode val="edge"/>
          <c:yMode val="edge"/>
          <c:x val="0.12107262663172209"/>
          <c:y val="0.29364397478206006"/>
          <c:w val="0.80386037459418325"/>
          <c:h val="0.55013985633763673"/>
        </c:manualLayout>
      </c:layout>
      <c:barChart>
        <c:barDir val="col"/>
        <c:grouping val="clustered"/>
        <c:varyColors val="0"/>
        <c:ser>
          <c:idx val="0"/>
          <c:order val="0"/>
          <c:tx>
            <c:strRef>
              <c:f>List1!$AB$75</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43B2-450B-975E-D203166251AA}"/>
              </c:ext>
            </c:extLst>
          </c:dPt>
          <c:dPt>
            <c:idx val="1"/>
            <c:invertIfNegative val="0"/>
            <c:bubble3D val="0"/>
            <c:spPr>
              <a:solidFill>
                <a:srgbClr val="C00000"/>
              </a:solidFill>
            </c:spPr>
            <c:extLst>
              <c:ext xmlns:c16="http://schemas.microsoft.com/office/drawing/2014/chart" uri="{C3380CC4-5D6E-409C-BE32-E72D297353CC}">
                <c16:uniqueId val="{00000003-43B2-450B-975E-D203166251AA}"/>
              </c:ext>
            </c:extLst>
          </c:dPt>
          <c:dPt>
            <c:idx val="2"/>
            <c:invertIfNegative val="0"/>
            <c:bubble3D val="0"/>
            <c:spPr>
              <a:solidFill>
                <a:srgbClr val="FFC000"/>
              </a:solidFill>
            </c:spPr>
            <c:extLst>
              <c:ext xmlns:c16="http://schemas.microsoft.com/office/drawing/2014/chart" uri="{C3380CC4-5D6E-409C-BE32-E72D297353CC}">
                <c16:uniqueId val="{00000005-43B2-450B-975E-D203166251AA}"/>
              </c:ext>
            </c:extLst>
          </c:dPt>
          <c:dPt>
            <c:idx val="3"/>
            <c:invertIfNegative val="0"/>
            <c:bubble3D val="0"/>
            <c:spPr>
              <a:solidFill>
                <a:schemeClr val="tx2"/>
              </a:solidFill>
            </c:spPr>
            <c:extLst>
              <c:ext xmlns:c16="http://schemas.microsoft.com/office/drawing/2014/chart" uri="{C3380CC4-5D6E-409C-BE32-E72D297353CC}">
                <c16:uniqueId val="{00000007-43B2-450B-975E-D203166251AA}"/>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43B2-450B-975E-D203166251AA}"/>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43B2-450B-975E-D203166251AA}"/>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List1!$AC$72:$AH$72</c:f>
              <c:strCache>
                <c:ptCount val="6"/>
                <c:pt idx="0">
                  <c:v>SR (SkyToll)</c:v>
                </c:pt>
                <c:pt idx="1">
                  <c:v>SR (NDS)</c:v>
                </c:pt>
                <c:pt idx="2">
                  <c:v>DE</c:v>
                </c:pt>
                <c:pt idx="3">
                  <c:v>ČR</c:v>
                </c:pt>
                <c:pt idx="4">
                  <c:v>AT</c:v>
                </c:pt>
                <c:pt idx="5">
                  <c:v>PL</c:v>
                </c:pt>
              </c:strCache>
            </c:strRef>
          </c:cat>
          <c:val>
            <c:numRef>
              <c:f>List1!$AC$75:$AH$75</c:f>
              <c:numCache>
                <c:formatCode>#,##0</c:formatCode>
                <c:ptCount val="6"/>
                <c:pt idx="0">
                  <c:v>80305.240818771548</c:v>
                </c:pt>
                <c:pt idx="1">
                  <c:v>79697.304293776819</c:v>
                </c:pt>
                <c:pt idx="2">
                  <c:v>295901.97353969008</c:v>
                </c:pt>
                <c:pt idx="3">
                  <c:v>217033.85632636896</c:v>
                </c:pt>
                <c:pt idx="4">
                  <c:v>450859.88845003088</c:v>
                </c:pt>
                <c:pt idx="5">
                  <c:v>102703.75420224307</c:v>
                </c:pt>
              </c:numCache>
            </c:numRef>
          </c:val>
          <c:extLst>
            <c:ext xmlns:c16="http://schemas.microsoft.com/office/drawing/2014/chart" uri="{C3380CC4-5D6E-409C-BE32-E72D297353CC}">
              <c16:uniqueId val="{0000000C-43B2-450B-975E-D203166251AA}"/>
            </c:ext>
          </c:extLst>
        </c:ser>
        <c:dLbls>
          <c:showLegendKey val="0"/>
          <c:showVal val="0"/>
          <c:showCatName val="0"/>
          <c:showSerName val="0"/>
          <c:showPercent val="0"/>
          <c:showBubbleSize val="0"/>
        </c:dLbls>
        <c:gapWidth val="150"/>
        <c:axId val="668852992"/>
        <c:axId val="668854528"/>
      </c:barChart>
      <c:catAx>
        <c:axId val="668852992"/>
        <c:scaling>
          <c:orientation val="minMax"/>
        </c:scaling>
        <c:delete val="0"/>
        <c:axPos val="b"/>
        <c:numFmt formatCode="General" sourceLinked="0"/>
        <c:majorTickMark val="out"/>
        <c:minorTickMark val="none"/>
        <c:tickLblPos val="nextTo"/>
        <c:crossAx val="668854528"/>
        <c:crosses val="autoZero"/>
        <c:auto val="1"/>
        <c:lblAlgn val="ctr"/>
        <c:lblOffset val="100"/>
        <c:noMultiLvlLbl val="0"/>
      </c:catAx>
      <c:valAx>
        <c:axId val="668854528"/>
        <c:scaling>
          <c:orientation val="minMax"/>
        </c:scaling>
        <c:delete val="0"/>
        <c:axPos val="l"/>
        <c:numFmt formatCode="#,##0" sourceLinked="1"/>
        <c:majorTickMark val="out"/>
        <c:minorTickMark val="none"/>
        <c:tickLblPos val="nextTo"/>
        <c:crossAx val="668852992"/>
        <c:crosses val="autoZero"/>
        <c:crossBetween val="between"/>
      </c:valAx>
    </c:plotArea>
    <c:plotVisOnly val="1"/>
    <c:dispBlanksAs val="gap"/>
    <c:showDLblsOverMax val="0"/>
  </c:chart>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6017"/>
          <c:w val="0.80386037459418358"/>
          <c:h val="0.55013985633763673"/>
        </c:manualLayout>
      </c:layout>
      <c:barChart>
        <c:barDir val="col"/>
        <c:grouping val="clustered"/>
        <c:varyColors val="0"/>
        <c:ser>
          <c:idx val="0"/>
          <c:order val="0"/>
          <c:tx>
            <c:strRef>
              <c:f>List1!$AB$73</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EEF9-48F1-A6F6-8FD6DF2EF8B6}"/>
              </c:ext>
            </c:extLst>
          </c:dPt>
          <c:dPt>
            <c:idx val="1"/>
            <c:invertIfNegative val="0"/>
            <c:bubble3D val="0"/>
            <c:spPr>
              <a:solidFill>
                <a:srgbClr val="C00000"/>
              </a:solidFill>
            </c:spPr>
            <c:extLst>
              <c:ext xmlns:c16="http://schemas.microsoft.com/office/drawing/2014/chart" uri="{C3380CC4-5D6E-409C-BE32-E72D297353CC}">
                <c16:uniqueId val="{00000003-EEF9-48F1-A6F6-8FD6DF2EF8B6}"/>
              </c:ext>
            </c:extLst>
          </c:dPt>
          <c:dPt>
            <c:idx val="2"/>
            <c:invertIfNegative val="0"/>
            <c:bubble3D val="0"/>
            <c:spPr>
              <a:solidFill>
                <a:srgbClr val="FFC000"/>
              </a:solidFill>
            </c:spPr>
            <c:extLst>
              <c:ext xmlns:c16="http://schemas.microsoft.com/office/drawing/2014/chart" uri="{C3380CC4-5D6E-409C-BE32-E72D297353CC}">
                <c16:uniqueId val="{00000005-EEF9-48F1-A6F6-8FD6DF2EF8B6}"/>
              </c:ext>
            </c:extLst>
          </c:dPt>
          <c:dPt>
            <c:idx val="3"/>
            <c:invertIfNegative val="0"/>
            <c:bubble3D val="0"/>
            <c:spPr>
              <a:solidFill>
                <a:schemeClr val="tx2"/>
              </a:solidFill>
            </c:spPr>
            <c:extLst>
              <c:ext xmlns:c16="http://schemas.microsoft.com/office/drawing/2014/chart" uri="{C3380CC4-5D6E-409C-BE32-E72D297353CC}">
                <c16:uniqueId val="{00000007-EEF9-48F1-A6F6-8FD6DF2EF8B6}"/>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EEF9-48F1-A6F6-8FD6DF2EF8B6}"/>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EEF9-48F1-A6F6-8FD6DF2EF8B6}"/>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List1!$AC$72:$AH$72</c:f>
              <c:strCache>
                <c:ptCount val="6"/>
                <c:pt idx="0">
                  <c:v>SR (SkyToll)</c:v>
                </c:pt>
                <c:pt idx="1">
                  <c:v>SR (NDS)</c:v>
                </c:pt>
                <c:pt idx="2">
                  <c:v>DE</c:v>
                </c:pt>
                <c:pt idx="3">
                  <c:v>ČR</c:v>
                </c:pt>
                <c:pt idx="4">
                  <c:v>AT</c:v>
                </c:pt>
                <c:pt idx="5">
                  <c:v>PL</c:v>
                </c:pt>
              </c:strCache>
            </c:strRef>
          </c:cat>
          <c:val>
            <c:numRef>
              <c:f>List1!$AC$73:$AH$73</c:f>
              <c:numCache>
                <c:formatCode>#,##0</c:formatCode>
                <c:ptCount val="6"/>
                <c:pt idx="0">
                  <c:v>76904.024420132278</c:v>
                </c:pt>
                <c:pt idx="1">
                  <c:v>76601.770522894847</c:v>
                </c:pt>
                <c:pt idx="2">
                  <c:v>267435.17940258048</c:v>
                </c:pt>
                <c:pt idx="3">
                  <c:v>202609.41744419115</c:v>
                </c:pt>
                <c:pt idx="4">
                  <c:v>431086.55829317286</c:v>
                </c:pt>
                <c:pt idx="5">
                  <c:v>99082.062885746243</c:v>
                </c:pt>
              </c:numCache>
            </c:numRef>
          </c:val>
          <c:extLst>
            <c:ext xmlns:c16="http://schemas.microsoft.com/office/drawing/2014/chart" uri="{C3380CC4-5D6E-409C-BE32-E72D297353CC}">
              <c16:uniqueId val="{0000000C-EEF9-48F1-A6F6-8FD6DF2EF8B6}"/>
            </c:ext>
          </c:extLst>
        </c:ser>
        <c:dLbls>
          <c:showLegendKey val="0"/>
          <c:showVal val="0"/>
          <c:showCatName val="0"/>
          <c:showSerName val="0"/>
          <c:showPercent val="0"/>
          <c:showBubbleSize val="0"/>
        </c:dLbls>
        <c:gapWidth val="150"/>
        <c:axId val="698760192"/>
        <c:axId val="698761984"/>
      </c:barChart>
      <c:catAx>
        <c:axId val="698760192"/>
        <c:scaling>
          <c:orientation val="minMax"/>
        </c:scaling>
        <c:delete val="0"/>
        <c:axPos val="b"/>
        <c:numFmt formatCode="General" sourceLinked="0"/>
        <c:majorTickMark val="out"/>
        <c:minorTickMark val="none"/>
        <c:tickLblPos val="nextTo"/>
        <c:crossAx val="698761984"/>
        <c:crosses val="autoZero"/>
        <c:auto val="1"/>
        <c:lblAlgn val="ctr"/>
        <c:lblOffset val="100"/>
        <c:noMultiLvlLbl val="0"/>
      </c:catAx>
      <c:valAx>
        <c:axId val="698761984"/>
        <c:scaling>
          <c:orientation val="minMax"/>
        </c:scaling>
        <c:delete val="0"/>
        <c:axPos val="l"/>
        <c:numFmt formatCode="#,##0" sourceLinked="1"/>
        <c:majorTickMark val="out"/>
        <c:minorTickMark val="none"/>
        <c:tickLblPos val="nextTo"/>
        <c:crossAx val="698760192"/>
        <c:crosses val="autoZero"/>
        <c:crossBetween val="between"/>
      </c:valAx>
    </c:plotArea>
    <c:plotVisOnly val="1"/>
    <c:dispBlanksAs val="gap"/>
    <c:showDLblsOverMax val="0"/>
  </c:chart>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9.0614656228175028E-5"/>
          <c:y val="9.5842284947996337E-3"/>
        </c:manualLayout>
      </c:layout>
      <c:overlay val="0"/>
    </c:title>
    <c:autoTitleDeleted val="0"/>
    <c:plotArea>
      <c:layout>
        <c:manualLayout>
          <c:layoutTarget val="inner"/>
          <c:xMode val="edge"/>
          <c:yMode val="edge"/>
          <c:x val="0.12107262663172209"/>
          <c:y val="0.29364397478206028"/>
          <c:w val="0.80386037459418391"/>
          <c:h val="0.55013985633763673"/>
        </c:manualLayout>
      </c:layout>
      <c:barChart>
        <c:barDir val="col"/>
        <c:grouping val="clustered"/>
        <c:varyColors val="0"/>
        <c:ser>
          <c:idx val="0"/>
          <c:order val="0"/>
          <c:tx>
            <c:strRef>
              <c:f>List1!$AB$74</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C525-4319-A719-95B5C07697FC}"/>
              </c:ext>
            </c:extLst>
          </c:dPt>
          <c:dPt>
            <c:idx val="1"/>
            <c:invertIfNegative val="0"/>
            <c:bubble3D val="0"/>
            <c:spPr>
              <a:solidFill>
                <a:srgbClr val="C00000"/>
              </a:solidFill>
            </c:spPr>
            <c:extLst>
              <c:ext xmlns:c16="http://schemas.microsoft.com/office/drawing/2014/chart" uri="{C3380CC4-5D6E-409C-BE32-E72D297353CC}">
                <c16:uniqueId val="{00000003-C525-4319-A719-95B5C07697FC}"/>
              </c:ext>
            </c:extLst>
          </c:dPt>
          <c:dPt>
            <c:idx val="2"/>
            <c:invertIfNegative val="0"/>
            <c:bubble3D val="0"/>
            <c:spPr>
              <a:solidFill>
                <a:srgbClr val="FFC000"/>
              </a:solidFill>
            </c:spPr>
            <c:extLst>
              <c:ext xmlns:c16="http://schemas.microsoft.com/office/drawing/2014/chart" uri="{C3380CC4-5D6E-409C-BE32-E72D297353CC}">
                <c16:uniqueId val="{00000005-C525-4319-A719-95B5C07697FC}"/>
              </c:ext>
            </c:extLst>
          </c:dPt>
          <c:dPt>
            <c:idx val="3"/>
            <c:invertIfNegative val="0"/>
            <c:bubble3D val="0"/>
            <c:spPr>
              <a:solidFill>
                <a:schemeClr val="tx2"/>
              </a:solidFill>
            </c:spPr>
            <c:extLst>
              <c:ext xmlns:c16="http://schemas.microsoft.com/office/drawing/2014/chart" uri="{C3380CC4-5D6E-409C-BE32-E72D297353CC}">
                <c16:uniqueId val="{00000007-C525-4319-A719-95B5C07697FC}"/>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C525-4319-A719-95B5C07697FC}"/>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C525-4319-A719-95B5C07697FC}"/>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List1!$AC$72:$AH$72</c:f>
              <c:strCache>
                <c:ptCount val="6"/>
                <c:pt idx="0">
                  <c:v>SR (SkyToll)</c:v>
                </c:pt>
                <c:pt idx="1">
                  <c:v>SR (NDS)</c:v>
                </c:pt>
                <c:pt idx="2">
                  <c:v>DE</c:v>
                </c:pt>
                <c:pt idx="3">
                  <c:v>ČR</c:v>
                </c:pt>
                <c:pt idx="4">
                  <c:v>AT</c:v>
                </c:pt>
                <c:pt idx="5">
                  <c:v>PL</c:v>
                </c:pt>
              </c:strCache>
            </c:strRef>
          </c:cat>
          <c:val>
            <c:numRef>
              <c:f>List1!$AC$74:$AH$74</c:f>
              <c:numCache>
                <c:formatCode>#,##0</c:formatCode>
                <c:ptCount val="6"/>
                <c:pt idx="0">
                  <c:v>83806.550693518177</c:v>
                </c:pt>
                <c:pt idx="1">
                  <c:v>82851.89667749597</c:v>
                </c:pt>
                <c:pt idx="2">
                  <c:v>332977.02267531812</c:v>
                </c:pt>
                <c:pt idx="3">
                  <c:v>235621.3483026165</c:v>
                </c:pt>
                <c:pt idx="4">
                  <c:v>481427.25318099023</c:v>
                </c:pt>
                <c:pt idx="5">
                  <c:v>106197.17110959336</c:v>
                </c:pt>
              </c:numCache>
            </c:numRef>
          </c:val>
          <c:extLst>
            <c:ext xmlns:c16="http://schemas.microsoft.com/office/drawing/2014/chart" uri="{C3380CC4-5D6E-409C-BE32-E72D297353CC}">
              <c16:uniqueId val="{0000000C-C525-4319-A719-95B5C07697FC}"/>
            </c:ext>
          </c:extLst>
        </c:ser>
        <c:dLbls>
          <c:showLegendKey val="0"/>
          <c:showVal val="0"/>
          <c:showCatName val="0"/>
          <c:showSerName val="0"/>
          <c:showPercent val="0"/>
          <c:showBubbleSize val="0"/>
        </c:dLbls>
        <c:gapWidth val="150"/>
        <c:axId val="698832384"/>
        <c:axId val="698833920"/>
      </c:barChart>
      <c:catAx>
        <c:axId val="698832384"/>
        <c:scaling>
          <c:orientation val="minMax"/>
        </c:scaling>
        <c:delete val="0"/>
        <c:axPos val="b"/>
        <c:numFmt formatCode="General" sourceLinked="0"/>
        <c:majorTickMark val="out"/>
        <c:minorTickMark val="none"/>
        <c:tickLblPos val="nextTo"/>
        <c:crossAx val="698833920"/>
        <c:crosses val="autoZero"/>
        <c:auto val="1"/>
        <c:lblAlgn val="ctr"/>
        <c:lblOffset val="100"/>
        <c:noMultiLvlLbl val="0"/>
      </c:catAx>
      <c:valAx>
        <c:axId val="698833920"/>
        <c:scaling>
          <c:orientation val="minMax"/>
        </c:scaling>
        <c:delete val="0"/>
        <c:axPos val="l"/>
        <c:numFmt formatCode="#,##0" sourceLinked="1"/>
        <c:majorTickMark val="out"/>
        <c:minorTickMark val="none"/>
        <c:tickLblPos val="nextTo"/>
        <c:crossAx val="698832384"/>
        <c:crosses val="autoZero"/>
        <c:crossBetween val="between"/>
      </c:valAx>
    </c:plotArea>
    <c:plotVisOnly val="1"/>
    <c:dispBlanksAs val="gap"/>
    <c:showDLblsOverMax val="0"/>
  </c:chart>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solidFill>
                  <a:srgbClr val="C00000"/>
                </a:solidFill>
              </a:rPr>
              <a:t>Vozokilometrické výnosy (€/vkm)</a:t>
            </a:r>
          </a:p>
        </c:rich>
      </c:tx>
      <c:layout>
        <c:manualLayout>
          <c:xMode val="edge"/>
          <c:yMode val="edge"/>
          <c:x val="1.3141095013829821E-2"/>
          <c:y val="0"/>
        </c:manualLayout>
      </c:layout>
      <c:overlay val="0"/>
    </c:title>
    <c:autoTitleDeleted val="0"/>
    <c:plotArea>
      <c:layout/>
      <c:barChart>
        <c:barDir val="col"/>
        <c:grouping val="clustered"/>
        <c:varyColors val="0"/>
        <c:ser>
          <c:idx val="0"/>
          <c:order val="0"/>
          <c:tx>
            <c:strRef>
              <c:f>List2!$BE$63</c:f>
              <c:strCache>
                <c:ptCount val="1"/>
                <c:pt idx="0">
                  <c:v>1.</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List2!$BE$64:$BE$69</c:f>
              <c:numCache>
                <c:formatCode>General</c:formatCode>
                <c:ptCount val="6"/>
                <c:pt idx="0">
                  <c:v>0.15347387617965369</c:v>
                </c:pt>
                <c:pt idx="1">
                  <c:v>0.15327922077922113</c:v>
                </c:pt>
                <c:pt idx="2">
                  <c:v>0.10791666666666666</c:v>
                </c:pt>
                <c:pt idx="3">
                  <c:v>0.14880563798219618</c:v>
                </c:pt>
                <c:pt idx="4">
                  <c:v>0.29078518518518531</c:v>
                </c:pt>
              </c:numCache>
            </c:numRef>
          </c:val>
          <c:extLst>
            <c:ext xmlns:c16="http://schemas.microsoft.com/office/drawing/2014/chart" uri="{C3380CC4-5D6E-409C-BE32-E72D297353CC}">
              <c16:uniqueId val="{00000000-42E9-4FEE-8274-4342CF018BCA}"/>
            </c:ext>
          </c:extLst>
        </c:ser>
        <c:ser>
          <c:idx val="1"/>
          <c:order val="1"/>
          <c:tx>
            <c:strRef>
              <c:f>List2!$BF$63</c:f>
              <c:strCache>
                <c:ptCount val="1"/>
                <c:pt idx="0">
                  <c:v>2.</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List2!$BF$64:$BF$69</c:f>
              <c:numCache>
                <c:formatCode>General</c:formatCode>
                <c:ptCount val="6"/>
                <c:pt idx="0">
                  <c:v>0.15405552609000003</c:v>
                </c:pt>
                <c:pt idx="1">
                  <c:v>0.15395000000000028</c:v>
                </c:pt>
                <c:pt idx="2">
                  <c:v>0.11777425956674532</c:v>
                </c:pt>
                <c:pt idx="3">
                  <c:v>0.15626269035533044</c:v>
                </c:pt>
                <c:pt idx="4">
                  <c:v>0.29362545454545458</c:v>
                </c:pt>
                <c:pt idx="5">
                  <c:v>8.2705231816248309E-2</c:v>
                </c:pt>
              </c:numCache>
            </c:numRef>
          </c:val>
          <c:extLst>
            <c:ext xmlns:c16="http://schemas.microsoft.com/office/drawing/2014/chart" uri="{C3380CC4-5D6E-409C-BE32-E72D297353CC}">
              <c16:uniqueId val="{00000001-42E9-4FEE-8274-4342CF018BCA}"/>
            </c:ext>
          </c:extLst>
        </c:ser>
        <c:ser>
          <c:idx val="2"/>
          <c:order val="2"/>
          <c:tx>
            <c:strRef>
              <c:f>List2!$BG$63</c:f>
              <c:strCache>
                <c:ptCount val="1"/>
                <c:pt idx="0">
                  <c:v>3.</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List2!$BG$64:$BG$69</c:f>
              <c:numCache>
                <c:formatCode>General</c:formatCode>
                <c:ptCount val="6"/>
                <c:pt idx="0">
                  <c:v>0.1539820312277233</c:v>
                </c:pt>
                <c:pt idx="1">
                  <c:v>0.15326732673267363</c:v>
                </c:pt>
                <c:pt idx="2">
                  <c:v>0.12069719953325567</c:v>
                </c:pt>
                <c:pt idx="3">
                  <c:v>0.1456388888888889</c:v>
                </c:pt>
                <c:pt idx="4">
                  <c:v>0.28067346938775611</c:v>
                </c:pt>
                <c:pt idx="5">
                  <c:v>6.6328729281767959E-2</c:v>
                </c:pt>
              </c:numCache>
            </c:numRef>
          </c:val>
          <c:extLst>
            <c:ext xmlns:c16="http://schemas.microsoft.com/office/drawing/2014/chart" uri="{C3380CC4-5D6E-409C-BE32-E72D297353CC}">
              <c16:uniqueId val="{00000002-42E9-4FEE-8274-4342CF018BCA}"/>
            </c:ext>
          </c:extLst>
        </c:ser>
        <c:ser>
          <c:idx val="3"/>
          <c:order val="3"/>
          <c:tx>
            <c:strRef>
              <c:f>List2!$BH$63</c:f>
              <c:strCache>
                <c:ptCount val="1"/>
                <c:pt idx="0">
                  <c:v>4.</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List2!$BH$64:$BH$69</c:f>
              <c:numCache>
                <c:formatCode>General</c:formatCode>
                <c:ptCount val="6"/>
                <c:pt idx="0">
                  <c:v>0.15280216666666671</c:v>
                </c:pt>
                <c:pt idx="1">
                  <c:v>0.15241114313160475</c:v>
                </c:pt>
                <c:pt idx="2">
                  <c:v>0.12619779425058733</c:v>
                </c:pt>
                <c:pt idx="3">
                  <c:v>0.13906300484652698</c:v>
                </c:pt>
                <c:pt idx="4">
                  <c:v>0.30164673413063481</c:v>
                </c:pt>
                <c:pt idx="5">
                  <c:v>6.943066383179794E-2</c:v>
                </c:pt>
              </c:numCache>
            </c:numRef>
          </c:val>
          <c:extLst>
            <c:ext xmlns:c16="http://schemas.microsoft.com/office/drawing/2014/chart" uri="{C3380CC4-5D6E-409C-BE32-E72D297353CC}">
              <c16:uniqueId val="{00000003-42E9-4FEE-8274-4342CF018BCA}"/>
            </c:ext>
          </c:extLst>
        </c:ser>
        <c:ser>
          <c:idx val="4"/>
          <c:order val="4"/>
          <c:tx>
            <c:strRef>
              <c:f>List2!$BI$63</c:f>
              <c:strCache>
                <c:ptCount val="1"/>
                <c:pt idx="0">
                  <c:v>5.</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List2!$BI$64:$BI$69</c:f>
              <c:numCache>
                <c:formatCode>General</c:formatCode>
                <c:ptCount val="6"/>
                <c:pt idx="0">
                  <c:v>0.15918864802951385</c:v>
                </c:pt>
                <c:pt idx="1">
                  <c:v>0.15758680555555554</c:v>
                </c:pt>
                <c:pt idx="2">
                  <c:v>0.17775041050903148</c:v>
                </c:pt>
                <c:pt idx="3">
                  <c:v>0.16398014888337498</c:v>
                </c:pt>
                <c:pt idx="4">
                  <c:v>0.32637092808850737</c:v>
                </c:pt>
                <c:pt idx="5">
                  <c:v>6.5547681716946915E-2</c:v>
                </c:pt>
              </c:numCache>
            </c:numRef>
          </c:val>
          <c:extLst>
            <c:ext xmlns:c16="http://schemas.microsoft.com/office/drawing/2014/chart" uri="{C3380CC4-5D6E-409C-BE32-E72D297353CC}">
              <c16:uniqueId val="{00000004-42E9-4FEE-8274-4342CF018BCA}"/>
            </c:ext>
          </c:extLst>
        </c:ser>
        <c:ser>
          <c:idx val="5"/>
          <c:order val="5"/>
          <c:tx>
            <c:strRef>
              <c:f>List2!$BJ$63</c:f>
              <c:strCache>
                <c:ptCount val="1"/>
                <c:pt idx="0">
                  <c:v>6.</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List2!$BJ$64:$BJ$69</c:f>
              <c:numCache>
                <c:formatCode>General</c:formatCode>
                <c:ptCount val="6"/>
                <c:pt idx="0">
                  <c:v>0.15377642216570983</c:v>
                </c:pt>
                <c:pt idx="1">
                  <c:v>0.1516981132075472</c:v>
                </c:pt>
                <c:pt idx="2">
                  <c:v>0.17525452708479056</c:v>
                </c:pt>
                <c:pt idx="3">
                  <c:v>0.17387405541561712</c:v>
                </c:pt>
                <c:pt idx="4">
                  <c:v>0.32634531360112756</c:v>
                </c:pt>
                <c:pt idx="5">
                  <c:v>6.032587634313899E-2</c:v>
                </c:pt>
              </c:numCache>
            </c:numRef>
          </c:val>
          <c:extLst>
            <c:ext xmlns:c16="http://schemas.microsoft.com/office/drawing/2014/chart" uri="{C3380CC4-5D6E-409C-BE32-E72D297353CC}">
              <c16:uniqueId val="{00000005-42E9-4FEE-8274-4342CF018BCA}"/>
            </c:ext>
          </c:extLst>
        </c:ser>
        <c:ser>
          <c:idx val="6"/>
          <c:order val="6"/>
          <c:tx>
            <c:strRef>
              <c:f>List2!$BK$63</c:f>
              <c:strCache>
                <c:ptCount val="1"/>
                <c:pt idx="0">
                  <c:v>7.</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List2!$BK$64:$BK$69</c:f>
              <c:numCache>
                <c:formatCode>General</c:formatCode>
                <c:ptCount val="6"/>
                <c:pt idx="0">
                  <c:v>0.15283425826613989</c:v>
                </c:pt>
                <c:pt idx="1">
                  <c:v>0.15107509881422954</c:v>
                </c:pt>
                <c:pt idx="2">
                  <c:v>0.16787828824102541</c:v>
                </c:pt>
                <c:pt idx="3">
                  <c:v>0.16123837493881538</c:v>
                </c:pt>
                <c:pt idx="4">
                  <c:v>0.34060455896927688</c:v>
                </c:pt>
                <c:pt idx="5">
                  <c:v>5.7458198885303707E-2</c:v>
                </c:pt>
              </c:numCache>
            </c:numRef>
          </c:val>
          <c:extLst>
            <c:ext xmlns:c16="http://schemas.microsoft.com/office/drawing/2014/chart" uri="{C3380CC4-5D6E-409C-BE32-E72D297353CC}">
              <c16:uniqueId val="{00000006-42E9-4FEE-8274-4342CF018BCA}"/>
            </c:ext>
          </c:extLst>
        </c:ser>
        <c:ser>
          <c:idx val="7"/>
          <c:order val="7"/>
          <c:tx>
            <c:strRef>
              <c:f>List2!$BL$63</c:f>
              <c:strCache>
                <c:ptCount val="1"/>
                <c:pt idx="0">
                  <c:v>8.</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List2!$BL$64:$BL$69</c:f>
              <c:numCache>
                <c:formatCode>General</c:formatCode>
                <c:ptCount val="6"/>
                <c:pt idx="0">
                  <c:v>0.15214601903303079</c:v>
                </c:pt>
                <c:pt idx="1">
                  <c:v>0.15046142208774624</c:v>
                </c:pt>
                <c:pt idx="2">
                  <c:v>0.16397141782625049</c:v>
                </c:pt>
                <c:pt idx="3">
                  <c:v>0.1459595029912564</c:v>
                </c:pt>
                <c:pt idx="4">
                  <c:v>0.33844536476585013</c:v>
                </c:pt>
                <c:pt idx="5">
                  <c:v>6.8374736158467314E-2</c:v>
                </c:pt>
              </c:numCache>
            </c:numRef>
          </c:val>
          <c:extLst>
            <c:ext xmlns:c16="http://schemas.microsoft.com/office/drawing/2014/chart" uri="{C3380CC4-5D6E-409C-BE32-E72D297353CC}">
              <c16:uniqueId val="{00000007-42E9-4FEE-8274-4342CF018BCA}"/>
            </c:ext>
          </c:extLst>
        </c:ser>
        <c:ser>
          <c:idx val="8"/>
          <c:order val="8"/>
          <c:tx>
            <c:strRef>
              <c:f>List2!$BM$63</c:f>
              <c:strCache>
                <c:ptCount val="1"/>
                <c:pt idx="0">
                  <c:v>9.</c:v>
                </c:pt>
              </c:strCache>
            </c:strRef>
          </c:tx>
          <c:invertIfNegative val="0"/>
          <c:cat>
            <c:strRef>
              <c:f>List2!$BD$64:$BD$69</c:f>
              <c:strCache>
                <c:ptCount val="6"/>
                <c:pt idx="0">
                  <c:v>SR (SkyToll)</c:v>
                </c:pt>
                <c:pt idx="1">
                  <c:v>SR (NDS)</c:v>
                </c:pt>
                <c:pt idx="2">
                  <c:v>DE</c:v>
                </c:pt>
                <c:pt idx="3">
                  <c:v>ČR</c:v>
                </c:pt>
                <c:pt idx="4">
                  <c:v>AU</c:v>
                </c:pt>
                <c:pt idx="5">
                  <c:v>PL</c:v>
                </c:pt>
              </c:strCache>
            </c:strRef>
          </c:cat>
          <c:val>
            <c:numRef>
              <c:f>List2!$BM$64:$BM$69</c:f>
              <c:numCache>
                <c:formatCode>General</c:formatCode>
                <c:ptCount val="6"/>
                <c:pt idx="0">
                  <c:v>0.15535050529718583</c:v>
                </c:pt>
                <c:pt idx="1">
                  <c:v>0.15366084425036391</c:v>
                </c:pt>
                <c:pt idx="2">
                  <c:v>0.16122516434683609</c:v>
                </c:pt>
                <c:pt idx="3">
                  <c:v>0.15220469083155674</c:v>
                </c:pt>
                <c:pt idx="4">
                  <c:v>0.35231948881789227</c:v>
                </c:pt>
              </c:numCache>
            </c:numRef>
          </c:val>
          <c:extLst>
            <c:ext xmlns:c16="http://schemas.microsoft.com/office/drawing/2014/chart" uri="{C3380CC4-5D6E-409C-BE32-E72D297353CC}">
              <c16:uniqueId val="{00000008-42E9-4FEE-8274-4342CF018BCA}"/>
            </c:ext>
          </c:extLst>
        </c:ser>
        <c:dLbls>
          <c:showLegendKey val="0"/>
          <c:showVal val="0"/>
          <c:showCatName val="0"/>
          <c:showSerName val="0"/>
          <c:showPercent val="0"/>
          <c:showBubbleSize val="0"/>
        </c:dLbls>
        <c:gapWidth val="150"/>
        <c:axId val="698876288"/>
        <c:axId val="698877824"/>
      </c:barChart>
      <c:catAx>
        <c:axId val="698876288"/>
        <c:scaling>
          <c:orientation val="minMax"/>
        </c:scaling>
        <c:delete val="0"/>
        <c:axPos val="b"/>
        <c:numFmt formatCode="General" sourceLinked="0"/>
        <c:majorTickMark val="out"/>
        <c:minorTickMark val="none"/>
        <c:tickLblPos val="nextTo"/>
        <c:crossAx val="698877824"/>
        <c:crosses val="autoZero"/>
        <c:auto val="1"/>
        <c:lblAlgn val="ctr"/>
        <c:lblOffset val="100"/>
        <c:noMultiLvlLbl val="0"/>
      </c:catAx>
      <c:valAx>
        <c:axId val="698877824"/>
        <c:scaling>
          <c:orientation val="minMax"/>
        </c:scaling>
        <c:delete val="0"/>
        <c:axPos val="l"/>
        <c:majorGridlines/>
        <c:numFmt formatCode="General" sourceLinked="1"/>
        <c:majorTickMark val="out"/>
        <c:minorTickMark val="none"/>
        <c:tickLblPos val="nextTo"/>
        <c:crossAx val="698876288"/>
        <c:crosses val="autoZero"/>
        <c:crossBetween val="between"/>
      </c:valAx>
    </c:plotArea>
    <c:legend>
      <c:legendPos val="r"/>
      <c:layout>
        <c:manualLayout>
          <c:xMode val="edge"/>
          <c:yMode val="edge"/>
          <c:x val="0.91967367240067921"/>
          <c:y val="0.20285142753227894"/>
          <c:w val="6.5363811311393571E-2"/>
          <c:h val="0.6904305328241499"/>
        </c:manualLayout>
      </c:layout>
      <c:overlay val="0"/>
    </c:legend>
    <c:plotVisOnly val="1"/>
    <c:dispBlanksAs val="gap"/>
    <c:showDLblsOverMax val="0"/>
  </c:chart>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vozokilometrické výnosy (€/vkm)</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6039"/>
          <c:w val="0.80386037459418413"/>
          <c:h val="0.55013985633763673"/>
        </c:manualLayout>
      </c:layout>
      <c:barChart>
        <c:barDir val="col"/>
        <c:grouping val="clustered"/>
        <c:varyColors val="0"/>
        <c:ser>
          <c:idx val="0"/>
          <c:order val="0"/>
          <c:tx>
            <c:strRef>
              <c:f>'[0610_1509_ final efektivnosť.xlsx]List1'!$AB$105</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9F90-4E17-85E7-25278AC800BF}"/>
              </c:ext>
            </c:extLst>
          </c:dPt>
          <c:dPt>
            <c:idx val="1"/>
            <c:invertIfNegative val="0"/>
            <c:bubble3D val="0"/>
            <c:spPr>
              <a:solidFill>
                <a:srgbClr val="C00000"/>
              </a:solidFill>
            </c:spPr>
            <c:extLst>
              <c:ext xmlns:c16="http://schemas.microsoft.com/office/drawing/2014/chart" uri="{C3380CC4-5D6E-409C-BE32-E72D297353CC}">
                <c16:uniqueId val="{00000003-9F90-4E17-85E7-25278AC800BF}"/>
              </c:ext>
            </c:extLst>
          </c:dPt>
          <c:dPt>
            <c:idx val="2"/>
            <c:invertIfNegative val="0"/>
            <c:bubble3D val="0"/>
            <c:spPr>
              <a:solidFill>
                <a:srgbClr val="FFC000"/>
              </a:solidFill>
            </c:spPr>
            <c:extLst>
              <c:ext xmlns:c16="http://schemas.microsoft.com/office/drawing/2014/chart" uri="{C3380CC4-5D6E-409C-BE32-E72D297353CC}">
                <c16:uniqueId val="{00000005-9F90-4E17-85E7-25278AC800BF}"/>
              </c:ext>
            </c:extLst>
          </c:dPt>
          <c:dPt>
            <c:idx val="3"/>
            <c:invertIfNegative val="0"/>
            <c:bubble3D val="0"/>
            <c:spPr>
              <a:solidFill>
                <a:schemeClr val="tx2"/>
              </a:solidFill>
            </c:spPr>
            <c:extLst>
              <c:ext xmlns:c16="http://schemas.microsoft.com/office/drawing/2014/chart" uri="{C3380CC4-5D6E-409C-BE32-E72D297353CC}">
                <c16:uniqueId val="{00000007-9F90-4E17-85E7-25278AC800BF}"/>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9F90-4E17-85E7-25278AC800BF}"/>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9F90-4E17-85E7-25278AC800BF}"/>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efektivnosť.xlsx]List1'!$AC$102:$AH$102</c:f>
              <c:strCache>
                <c:ptCount val="6"/>
                <c:pt idx="0">
                  <c:v>SR (SkyToll)</c:v>
                </c:pt>
                <c:pt idx="1">
                  <c:v>SR (NDS)</c:v>
                </c:pt>
                <c:pt idx="2">
                  <c:v>DE</c:v>
                </c:pt>
                <c:pt idx="3">
                  <c:v>ČR</c:v>
                </c:pt>
                <c:pt idx="4">
                  <c:v>AU</c:v>
                </c:pt>
                <c:pt idx="5">
                  <c:v>PL</c:v>
                </c:pt>
              </c:strCache>
            </c:strRef>
          </c:cat>
          <c:val>
            <c:numRef>
              <c:f>'[0610_1509_ final efektivnosť.xlsx]List1'!$AC$105:$AH$105</c:f>
              <c:numCache>
                <c:formatCode>#,##0.000</c:formatCode>
                <c:ptCount val="6"/>
                <c:pt idx="0">
                  <c:v>0.1541788281061803</c:v>
                </c:pt>
                <c:pt idx="1">
                  <c:v>0.15304333050654942</c:v>
                </c:pt>
                <c:pt idx="2">
                  <c:v>0.14651841422502132</c:v>
                </c:pt>
                <c:pt idx="3">
                  <c:v>0.15411411057039626</c:v>
                </c:pt>
                <c:pt idx="4">
                  <c:v>0.31675738861018676</c:v>
                </c:pt>
                <c:pt idx="5">
                  <c:v>6.7167302576238694E-2</c:v>
                </c:pt>
              </c:numCache>
            </c:numRef>
          </c:val>
          <c:extLst>
            <c:ext xmlns:c16="http://schemas.microsoft.com/office/drawing/2014/chart" uri="{C3380CC4-5D6E-409C-BE32-E72D297353CC}">
              <c16:uniqueId val="{0000000C-9F90-4E17-85E7-25278AC800BF}"/>
            </c:ext>
          </c:extLst>
        </c:ser>
        <c:dLbls>
          <c:showLegendKey val="0"/>
          <c:showVal val="0"/>
          <c:showCatName val="0"/>
          <c:showSerName val="0"/>
          <c:showPercent val="0"/>
          <c:showBubbleSize val="0"/>
        </c:dLbls>
        <c:gapWidth val="150"/>
        <c:axId val="698919936"/>
        <c:axId val="698921728"/>
      </c:barChart>
      <c:catAx>
        <c:axId val="698919936"/>
        <c:scaling>
          <c:orientation val="minMax"/>
        </c:scaling>
        <c:delete val="0"/>
        <c:axPos val="b"/>
        <c:numFmt formatCode="General" sourceLinked="0"/>
        <c:majorTickMark val="out"/>
        <c:minorTickMark val="none"/>
        <c:tickLblPos val="nextTo"/>
        <c:crossAx val="698921728"/>
        <c:crosses val="autoZero"/>
        <c:auto val="1"/>
        <c:lblAlgn val="ctr"/>
        <c:lblOffset val="100"/>
        <c:noMultiLvlLbl val="0"/>
      </c:catAx>
      <c:valAx>
        <c:axId val="698921728"/>
        <c:scaling>
          <c:orientation val="minMax"/>
        </c:scaling>
        <c:delete val="0"/>
        <c:axPos val="l"/>
        <c:numFmt formatCode="#,##0.000" sourceLinked="1"/>
        <c:majorTickMark val="out"/>
        <c:minorTickMark val="none"/>
        <c:tickLblPos val="nextTo"/>
        <c:crossAx val="698919936"/>
        <c:crosses val="autoZero"/>
        <c:crossBetween val="between"/>
      </c:valAx>
    </c:plotArea>
    <c:plotVisOnly val="1"/>
    <c:dispBlanksAs val="gap"/>
    <c:showDLblsOverMax val="0"/>
  </c:chart>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8779342723004749E-4"/>
          <c:y val="4.3609937171593038E-3"/>
        </c:manualLayout>
      </c:layout>
      <c:overlay val="0"/>
    </c:title>
    <c:autoTitleDeleted val="0"/>
    <c:plotArea>
      <c:layout>
        <c:manualLayout>
          <c:layoutTarget val="inner"/>
          <c:xMode val="edge"/>
          <c:yMode val="edge"/>
          <c:x val="0.12107262663172209"/>
          <c:y val="0.2936439747820605"/>
          <c:w val="0.80386037459418436"/>
          <c:h val="0.55013985633763673"/>
        </c:manualLayout>
      </c:layout>
      <c:barChart>
        <c:barDir val="col"/>
        <c:grouping val="clustered"/>
        <c:varyColors val="0"/>
        <c:ser>
          <c:idx val="0"/>
          <c:order val="0"/>
          <c:tx>
            <c:strRef>
              <c:f>'[0610_1509_ final efektivnosť.xlsx]List1'!$AB$103</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6769-49CA-9807-F9BF26DE6625}"/>
              </c:ext>
            </c:extLst>
          </c:dPt>
          <c:dPt>
            <c:idx val="1"/>
            <c:invertIfNegative val="0"/>
            <c:bubble3D val="0"/>
            <c:spPr>
              <a:solidFill>
                <a:srgbClr val="C00000"/>
              </a:solidFill>
            </c:spPr>
            <c:extLst>
              <c:ext xmlns:c16="http://schemas.microsoft.com/office/drawing/2014/chart" uri="{C3380CC4-5D6E-409C-BE32-E72D297353CC}">
                <c16:uniqueId val="{00000003-6769-49CA-9807-F9BF26DE6625}"/>
              </c:ext>
            </c:extLst>
          </c:dPt>
          <c:dPt>
            <c:idx val="2"/>
            <c:invertIfNegative val="0"/>
            <c:bubble3D val="0"/>
            <c:spPr>
              <a:solidFill>
                <a:srgbClr val="FFC000"/>
              </a:solidFill>
            </c:spPr>
            <c:extLst>
              <c:ext xmlns:c16="http://schemas.microsoft.com/office/drawing/2014/chart" uri="{C3380CC4-5D6E-409C-BE32-E72D297353CC}">
                <c16:uniqueId val="{00000005-6769-49CA-9807-F9BF26DE6625}"/>
              </c:ext>
            </c:extLst>
          </c:dPt>
          <c:dPt>
            <c:idx val="3"/>
            <c:invertIfNegative val="0"/>
            <c:bubble3D val="0"/>
            <c:spPr>
              <a:solidFill>
                <a:schemeClr val="tx2"/>
              </a:solidFill>
            </c:spPr>
            <c:extLst>
              <c:ext xmlns:c16="http://schemas.microsoft.com/office/drawing/2014/chart" uri="{C3380CC4-5D6E-409C-BE32-E72D297353CC}">
                <c16:uniqueId val="{00000007-6769-49CA-9807-F9BF26DE6625}"/>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6769-49CA-9807-F9BF26DE6625}"/>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6769-49CA-9807-F9BF26DE6625}"/>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efektivnosť.xlsx]List1'!$AC$102:$AH$102</c:f>
              <c:strCache>
                <c:ptCount val="6"/>
                <c:pt idx="0">
                  <c:v>SR (SkyToll)</c:v>
                </c:pt>
                <c:pt idx="1">
                  <c:v>SR (NDS)</c:v>
                </c:pt>
                <c:pt idx="2">
                  <c:v>DE</c:v>
                </c:pt>
                <c:pt idx="3">
                  <c:v>ČR</c:v>
                </c:pt>
                <c:pt idx="4">
                  <c:v>AU</c:v>
                </c:pt>
                <c:pt idx="5">
                  <c:v>PL</c:v>
                </c:pt>
              </c:strCache>
            </c:strRef>
          </c:cat>
          <c:val>
            <c:numRef>
              <c:f>'[0610_1509_ final efektivnosť.xlsx]List1'!$AC$103:$AH$103</c:f>
              <c:numCache>
                <c:formatCode>#,##0.000</c:formatCode>
                <c:ptCount val="6"/>
                <c:pt idx="0">
                  <c:v>0.15470044963871141</c:v>
                </c:pt>
                <c:pt idx="1">
                  <c:v>0.15409889923981079</c:v>
                </c:pt>
                <c:pt idx="2">
                  <c:v>0.13006726610525723</c:v>
                </c:pt>
                <c:pt idx="3">
                  <c:v>0.15075007419126357</c:v>
                </c:pt>
                <c:pt idx="4">
                  <c:v>0.29862035426750738</c:v>
                </c:pt>
                <c:pt idx="5">
                  <c:v>7.1003076661690229E-2</c:v>
                </c:pt>
              </c:numCache>
            </c:numRef>
          </c:val>
          <c:extLst>
            <c:ext xmlns:c16="http://schemas.microsoft.com/office/drawing/2014/chart" uri="{C3380CC4-5D6E-409C-BE32-E72D297353CC}">
              <c16:uniqueId val="{0000000C-6769-49CA-9807-F9BF26DE6625}"/>
            </c:ext>
          </c:extLst>
        </c:ser>
        <c:dLbls>
          <c:showLegendKey val="0"/>
          <c:showVal val="0"/>
          <c:showCatName val="0"/>
          <c:showSerName val="0"/>
          <c:showPercent val="0"/>
          <c:showBubbleSize val="0"/>
        </c:dLbls>
        <c:gapWidth val="150"/>
        <c:axId val="698983936"/>
        <c:axId val="698985472"/>
      </c:barChart>
      <c:catAx>
        <c:axId val="698983936"/>
        <c:scaling>
          <c:orientation val="minMax"/>
        </c:scaling>
        <c:delete val="0"/>
        <c:axPos val="b"/>
        <c:numFmt formatCode="General" sourceLinked="0"/>
        <c:majorTickMark val="out"/>
        <c:minorTickMark val="none"/>
        <c:tickLblPos val="nextTo"/>
        <c:crossAx val="698985472"/>
        <c:crosses val="autoZero"/>
        <c:auto val="1"/>
        <c:lblAlgn val="ctr"/>
        <c:lblOffset val="100"/>
        <c:noMultiLvlLbl val="0"/>
      </c:catAx>
      <c:valAx>
        <c:axId val="698985472"/>
        <c:scaling>
          <c:orientation val="minMax"/>
        </c:scaling>
        <c:delete val="0"/>
        <c:axPos val="l"/>
        <c:numFmt formatCode="#,##0.000" sourceLinked="1"/>
        <c:majorTickMark val="out"/>
        <c:minorTickMark val="none"/>
        <c:tickLblPos val="nextTo"/>
        <c:crossAx val="698983936"/>
        <c:crosses val="autoZero"/>
        <c:crossBetween val="between"/>
      </c:valAx>
    </c:plotArea>
    <c:plotVisOnly val="1"/>
    <c:dispBlanksAs val="gap"/>
    <c:showDLblsOverMax val="0"/>
  </c:chart>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9.0571205007824746E-5"/>
          <c:y val="4.6071029959493933E-3"/>
        </c:manualLayout>
      </c:layout>
      <c:overlay val="0"/>
    </c:title>
    <c:autoTitleDeleted val="0"/>
    <c:plotArea>
      <c:layout>
        <c:manualLayout>
          <c:layoutTarget val="inner"/>
          <c:xMode val="edge"/>
          <c:yMode val="edge"/>
          <c:x val="0.12107262663172209"/>
          <c:y val="0.29364397478206061"/>
          <c:w val="0.8038603745941848"/>
          <c:h val="0.55013985633763673"/>
        </c:manualLayout>
      </c:layout>
      <c:barChart>
        <c:barDir val="col"/>
        <c:grouping val="clustered"/>
        <c:varyColors val="0"/>
        <c:ser>
          <c:idx val="0"/>
          <c:order val="0"/>
          <c:tx>
            <c:strRef>
              <c:f>'[0610_1509_ final efektivnosť.xlsx]List1'!$AB$104</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CC97-4859-BE28-C022347BA34B}"/>
              </c:ext>
            </c:extLst>
          </c:dPt>
          <c:dPt>
            <c:idx val="1"/>
            <c:invertIfNegative val="0"/>
            <c:bubble3D val="0"/>
            <c:spPr>
              <a:solidFill>
                <a:srgbClr val="C00000"/>
              </a:solidFill>
            </c:spPr>
            <c:extLst>
              <c:ext xmlns:c16="http://schemas.microsoft.com/office/drawing/2014/chart" uri="{C3380CC4-5D6E-409C-BE32-E72D297353CC}">
                <c16:uniqueId val="{00000003-CC97-4859-BE28-C022347BA34B}"/>
              </c:ext>
            </c:extLst>
          </c:dPt>
          <c:dPt>
            <c:idx val="2"/>
            <c:invertIfNegative val="0"/>
            <c:bubble3D val="0"/>
            <c:spPr>
              <a:solidFill>
                <a:srgbClr val="FFC000"/>
              </a:solidFill>
            </c:spPr>
            <c:extLst>
              <c:ext xmlns:c16="http://schemas.microsoft.com/office/drawing/2014/chart" uri="{C3380CC4-5D6E-409C-BE32-E72D297353CC}">
                <c16:uniqueId val="{00000005-CC97-4859-BE28-C022347BA34B}"/>
              </c:ext>
            </c:extLst>
          </c:dPt>
          <c:dPt>
            <c:idx val="3"/>
            <c:invertIfNegative val="0"/>
            <c:bubble3D val="0"/>
            <c:spPr>
              <a:solidFill>
                <a:schemeClr val="tx2"/>
              </a:solidFill>
            </c:spPr>
            <c:extLst>
              <c:ext xmlns:c16="http://schemas.microsoft.com/office/drawing/2014/chart" uri="{C3380CC4-5D6E-409C-BE32-E72D297353CC}">
                <c16:uniqueId val="{00000007-CC97-4859-BE28-C022347BA34B}"/>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CC97-4859-BE28-C022347BA34B}"/>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CC97-4859-BE28-C022347BA34B}"/>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'[0610_1509_ final efektivnosť.xlsx]List1'!$AC$102:$AH$102</c:f>
              <c:strCache>
                <c:ptCount val="6"/>
                <c:pt idx="0">
                  <c:v>SR (SkyToll)</c:v>
                </c:pt>
                <c:pt idx="1">
                  <c:v>SR (NDS)</c:v>
                </c:pt>
                <c:pt idx="2">
                  <c:v>DE</c:v>
                </c:pt>
                <c:pt idx="3">
                  <c:v>ČR</c:v>
                </c:pt>
                <c:pt idx="4">
                  <c:v>AU</c:v>
                </c:pt>
                <c:pt idx="5">
                  <c:v>PL</c:v>
                </c:pt>
              </c:strCache>
            </c:strRef>
          </c:cat>
          <c:val>
            <c:numRef>
              <c:f>'[0610_1509_ final efektivnosť.xlsx]List1'!$AC$104:$AH$104</c:f>
              <c:numCache>
                <c:formatCode>#,##0.000</c:formatCode>
                <c:ptCount val="6"/>
                <c:pt idx="0">
                  <c:v>0.15465917055831596</c:v>
                </c:pt>
                <c:pt idx="1">
                  <c:v>0.15289645678308841</c:v>
                </c:pt>
                <c:pt idx="2">
                  <c:v>0.16921596160158672</c:v>
                </c:pt>
                <c:pt idx="3">
                  <c:v>0.15945135461212456</c:v>
                </c:pt>
                <c:pt idx="4">
                  <c:v>0.33681713084853032</c:v>
                </c:pt>
                <c:pt idx="5">
                  <c:v>6.2926623275964169E-2</c:v>
                </c:pt>
              </c:numCache>
            </c:numRef>
          </c:val>
          <c:extLst>
            <c:ext xmlns:c16="http://schemas.microsoft.com/office/drawing/2014/chart" uri="{C3380CC4-5D6E-409C-BE32-E72D297353CC}">
              <c16:uniqueId val="{0000000C-CC97-4859-BE28-C022347BA34B}"/>
            </c:ext>
          </c:extLst>
        </c:ser>
        <c:dLbls>
          <c:showLegendKey val="0"/>
          <c:showVal val="0"/>
          <c:showCatName val="0"/>
          <c:showSerName val="0"/>
          <c:showPercent val="0"/>
          <c:showBubbleSize val="0"/>
        </c:dLbls>
        <c:gapWidth val="150"/>
        <c:axId val="699027456"/>
        <c:axId val="699028992"/>
      </c:barChart>
      <c:catAx>
        <c:axId val="699027456"/>
        <c:scaling>
          <c:orientation val="minMax"/>
        </c:scaling>
        <c:delete val="0"/>
        <c:axPos val="b"/>
        <c:numFmt formatCode="General" sourceLinked="0"/>
        <c:majorTickMark val="out"/>
        <c:minorTickMark val="none"/>
        <c:tickLblPos val="nextTo"/>
        <c:crossAx val="699028992"/>
        <c:crosses val="autoZero"/>
        <c:auto val="1"/>
        <c:lblAlgn val="ctr"/>
        <c:lblOffset val="100"/>
        <c:noMultiLvlLbl val="0"/>
      </c:catAx>
      <c:valAx>
        <c:axId val="699028992"/>
        <c:scaling>
          <c:orientation val="minMax"/>
        </c:scaling>
        <c:delete val="0"/>
        <c:axPos val="l"/>
        <c:numFmt formatCode="#,##0.000" sourceLinked="1"/>
        <c:majorTickMark val="out"/>
        <c:minorTickMark val="none"/>
        <c:tickLblPos val="nextTo"/>
        <c:crossAx val="699027456"/>
        <c:crosses val="autoZero"/>
        <c:crossBetween val="between"/>
      </c:valAx>
    </c:plotArea>
    <c:plotVisOnly val="1"/>
    <c:dispBlanksAs val="gap"/>
    <c:showDLblsOverMax val="0"/>
  </c:chart>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solidFill>
                  <a:srgbClr val="C00000"/>
                </a:solidFill>
              </a:rPr>
              <a:t>Ročné kilometrické náklady (€/km)</a:t>
            </a:r>
          </a:p>
        </c:rich>
      </c:tx>
      <c:layout>
        <c:manualLayout>
          <c:xMode val="edge"/>
          <c:yMode val="edge"/>
          <c:x val="1.7184172249698558E-4"/>
          <c:y val="0"/>
        </c:manualLayout>
      </c:layout>
      <c:overlay val="0"/>
    </c:title>
    <c:autoTitleDeleted val="0"/>
    <c:plotArea>
      <c:layout/>
      <c:barChart>
        <c:barDir val="col"/>
        <c:grouping val="clustered"/>
        <c:varyColors val="0"/>
        <c:ser>
          <c:idx val="0"/>
          <c:order val="0"/>
          <c:tx>
            <c:strRef>
              <c:f>List2!$U$63</c:f>
              <c:strCache>
                <c:ptCount val="1"/>
                <c:pt idx="0">
                  <c:v>1.</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List2!$U$64:$U$69</c:f>
              <c:numCache>
                <c:formatCode>#,##0</c:formatCode>
                <c:ptCount val="6"/>
                <c:pt idx="0">
                  <c:v>50323.37542346782</c:v>
                </c:pt>
                <c:pt idx="1">
                  <c:v>54619.648906683084</c:v>
                </c:pt>
                <c:pt idx="2">
                  <c:v>45041.356154287205</c:v>
                </c:pt>
                <c:pt idx="3">
                  <c:v>72544.478366143827</c:v>
                </c:pt>
                <c:pt idx="4">
                  <c:v>46317.600786627263</c:v>
                </c:pt>
                <c:pt idx="5">
                  <c:v>92300.319488817884</c:v>
                </c:pt>
              </c:numCache>
            </c:numRef>
          </c:val>
          <c:extLst>
            <c:ext xmlns:c16="http://schemas.microsoft.com/office/drawing/2014/chart" uri="{C3380CC4-5D6E-409C-BE32-E72D297353CC}">
              <c16:uniqueId val="{00000000-5182-4719-91FC-5AE2D95A7CB7}"/>
            </c:ext>
          </c:extLst>
        </c:ser>
        <c:ser>
          <c:idx val="1"/>
          <c:order val="1"/>
          <c:tx>
            <c:strRef>
              <c:f>List2!$V$63</c:f>
              <c:strCache>
                <c:ptCount val="1"/>
                <c:pt idx="0">
                  <c:v>2.</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List2!$V$64:$V$69</c:f>
              <c:numCache>
                <c:formatCode>#,##0</c:formatCode>
                <c:ptCount val="6"/>
                <c:pt idx="0">
                  <c:v>50286.874790533875</c:v>
                </c:pt>
                <c:pt idx="1">
                  <c:v>51312.320859573912</c:v>
                </c:pt>
                <c:pt idx="2">
                  <c:v>45296.449081938044</c:v>
                </c:pt>
                <c:pt idx="3">
                  <c:v>117311.4698095482</c:v>
                </c:pt>
                <c:pt idx="4">
                  <c:v>47616.707616707594</c:v>
                </c:pt>
                <c:pt idx="5">
                  <c:v>123984.12698412697</c:v>
                </c:pt>
              </c:numCache>
            </c:numRef>
          </c:val>
          <c:extLst>
            <c:ext xmlns:c16="http://schemas.microsoft.com/office/drawing/2014/chart" uri="{C3380CC4-5D6E-409C-BE32-E72D297353CC}">
              <c16:uniqueId val="{00000001-5182-4719-91FC-5AE2D95A7CB7}"/>
            </c:ext>
          </c:extLst>
        </c:ser>
        <c:ser>
          <c:idx val="2"/>
          <c:order val="2"/>
          <c:tx>
            <c:strRef>
              <c:f>List2!$W$63</c:f>
              <c:strCache>
                <c:ptCount val="1"/>
                <c:pt idx="0">
                  <c:v>3.</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List2!$W$64:$W$69</c:f>
              <c:numCache>
                <c:formatCode>#,##0</c:formatCode>
                <c:ptCount val="6"/>
                <c:pt idx="0">
                  <c:v>56849.540806036661</c:v>
                </c:pt>
                <c:pt idx="1">
                  <c:v>34536.698624139775</c:v>
                </c:pt>
                <c:pt idx="2">
                  <c:v>50275.317213311013</c:v>
                </c:pt>
                <c:pt idx="3">
                  <c:v>142528.7356321839</c:v>
                </c:pt>
                <c:pt idx="4">
                  <c:v>48025.996701910924</c:v>
                </c:pt>
                <c:pt idx="5">
                  <c:v>33441.387108933275</c:v>
                </c:pt>
              </c:numCache>
            </c:numRef>
          </c:val>
          <c:extLst>
            <c:ext xmlns:c16="http://schemas.microsoft.com/office/drawing/2014/chart" uri="{C3380CC4-5D6E-409C-BE32-E72D297353CC}">
              <c16:uniqueId val="{00000002-5182-4719-91FC-5AE2D95A7CB7}"/>
            </c:ext>
          </c:extLst>
        </c:ser>
        <c:ser>
          <c:idx val="3"/>
          <c:order val="3"/>
          <c:tx>
            <c:strRef>
              <c:f>List2!$X$63</c:f>
              <c:strCache>
                <c:ptCount val="1"/>
                <c:pt idx="0">
                  <c:v>4.</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List2!$X$64:$X$69</c:f>
              <c:numCache>
                <c:formatCode>#,##0</c:formatCode>
                <c:ptCount val="6"/>
                <c:pt idx="0">
                  <c:v>59333.615411177088</c:v>
                </c:pt>
                <c:pt idx="1">
                  <c:v>37020.285287695086</c:v>
                </c:pt>
                <c:pt idx="2">
                  <c:v>44171.004890361255</c:v>
                </c:pt>
                <c:pt idx="3">
                  <c:v>79195.702671312174</c:v>
                </c:pt>
                <c:pt idx="4">
                  <c:v>56110.662166658687</c:v>
                </c:pt>
                <c:pt idx="5">
                  <c:v>34353.788138498581</c:v>
                </c:pt>
              </c:numCache>
            </c:numRef>
          </c:val>
          <c:extLst>
            <c:ext xmlns:c16="http://schemas.microsoft.com/office/drawing/2014/chart" uri="{C3380CC4-5D6E-409C-BE32-E72D297353CC}">
              <c16:uniqueId val="{00000003-5182-4719-91FC-5AE2D95A7CB7}"/>
            </c:ext>
          </c:extLst>
        </c:ser>
        <c:ser>
          <c:idx val="4"/>
          <c:order val="4"/>
          <c:tx>
            <c:strRef>
              <c:f>List2!$Y$63</c:f>
              <c:strCache>
                <c:ptCount val="1"/>
                <c:pt idx="0">
                  <c:v>5.</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List2!$Y$64:$Y$69</c:f>
              <c:numCache>
                <c:formatCode>#,##0</c:formatCode>
                <c:ptCount val="6"/>
                <c:pt idx="0">
                  <c:v>31245.318269544296</c:v>
                </c:pt>
                <c:pt idx="1">
                  <c:v>34880.544270443213</c:v>
                </c:pt>
                <c:pt idx="2">
                  <c:v>42270.058708414937</c:v>
                </c:pt>
                <c:pt idx="3">
                  <c:v>76792.398502735407</c:v>
                </c:pt>
                <c:pt idx="4">
                  <c:v>60578.979892570234</c:v>
                </c:pt>
                <c:pt idx="5">
                  <c:v>26988.636363636313</c:v>
                </c:pt>
              </c:numCache>
            </c:numRef>
          </c:val>
          <c:extLst>
            <c:ext xmlns:c16="http://schemas.microsoft.com/office/drawing/2014/chart" uri="{C3380CC4-5D6E-409C-BE32-E72D297353CC}">
              <c16:uniqueId val="{00000004-5182-4719-91FC-5AE2D95A7CB7}"/>
            </c:ext>
          </c:extLst>
        </c:ser>
        <c:ser>
          <c:idx val="5"/>
          <c:order val="5"/>
          <c:tx>
            <c:strRef>
              <c:f>List2!$Z$63</c:f>
              <c:strCache>
                <c:ptCount val="1"/>
                <c:pt idx="0">
                  <c:v>6.</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List2!$Z$64:$Z$69</c:f>
              <c:numCache>
                <c:formatCode>#,##0</c:formatCode>
                <c:ptCount val="6"/>
                <c:pt idx="0">
                  <c:v>30329.855441153719</c:v>
                </c:pt>
                <c:pt idx="1">
                  <c:v>42774.636024545784</c:v>
                </c:pt>
                <c:pt idx="2">
                  <c:v>38317.172349077257</c:v>
                </c:pt>
                <c:pt idx="3">
                  <c:v>45749.161253479913</c:v>
                </c:pt>
                <c:pt idx="4">
                  <c:v>52041.58082037844</c:v>
                </c:pt>
                <c:pt idx="5">
                  <c:v>27950.572634116936</c:v>
                </c:pt>
              </c:numCache>
            </c:numRef>
          </c:val>
          <c:extLst>
            <c:ext xmlns:c16="http://schemas.microsoft.com/office/drawing/2014/chart" uri="{C3380CC4-5D6E-409C-BE32-E72D297353CC}">
              <c16:uniqueId val="{00000005-5182-4719-91FC-5AE2D95A7CB7}"/>
            </c:ext>
          </c:extLst>
        </c:ser>
        <c:ser>
          <c:idx val="6"/>
          <c:order val="6"/>
          <c:tx>
            <c:strRef>
              <c:f>List2!$AA$63</c:f>
              <c:strCache>
                <c:ptCount val="1"/>
                <c:pt idx="0">
                  <c:v>7.</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List2!$AA$64:$AA$69</c:f>
              <c:numCache>
                <c:formatCode>#,##0</c:formatCode>
                <c:ptCount val="6"/>
                <c:pt idx="0">
                  <c:v>30736.560217305047</c:v>
                </c:pt>
                <c:pt idx="1">
                  <c:v>43119.880260459169</c:v>
                </c:pt>
                <c:pt idx="2">
                  <c:v>36684.358413987</c:v>
                </c:pt>
                <c:pt idx="3">
                  <c:v>47164.984096252243</c:v>
                </c:pt>
                <c:pt idx="4">
                  <c:v>56864.457416004116</c:v>
                </c:pt>
                <c:pt idx="5">
                  <c:v>25842.849374660142</c:v>
                </c:pt>
              </c:numCache>
            </c:numRef>
          </c:val>
          <c:extLst>
            <c:ext xmlns:c16="http://schemas.microsoft.com/office/drawing/2014/chart" uri="{C3380CC4-5D6E-409C-BE32-E72D297353CC}">
              <c16:uniqueId val="{00000006-5182-4719-91FC-5AE2D95A7CB7}"/>
            </c:ext>
          </c:extLst>
        </c:ser>
        <c:ser>
          <c:idx val="7"/>
          <c:order val="7"/>
          <c:tx>
            <c:strRef>
              <c:f>List2!$AB$63</c:f>
              <c:strCache>
                <c:ptCount val="1"/>
                <c:pt idx="0">
                  <c:v>8.</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List2!$AB$64:$AB$69</c:f>
              <c:numCache>
                <c:formatCode>#,##0</c:formatCode>
                <c:ptCount val="6"/>
                <c:pt idx="0">
                  <c:v>29654.05017012194</c:v>
                </c:pt>
                <c:pt idx="1">
                  <c:v>43115.873116507115</c:v>
                </c:pt>
                <c:pt idx="2">
                  <c:v>40717.194085291805</c:v>
                </c:pt>
                <c:pt idx="3">
                  <c:v>45692.158760890605</c:v>
                </c:pt>
                <c:pt idx="4">
                  <c:v>58597.233074412834</c:v>
                </c:pt>
                <c:pt idx="5">
                  <c:v>25456.9820423479</c:v>
                </c:pt>
              </c:numCache>
            </c:numRef>
          </c:val>
          <c:extLst>
            <c:ext xmlns:c16="http://schemas.microsoft.com/office/drawing/2014/chart" uri="{C3380CC4-5D6E-409C-BE32-E72D297353CC}">
              <c16:uniqueId val="{00000007-5182-4719-91FC-5AE2D95A7CB7}"/>
            </c:ext>
          </c:extLst>
        </c:ser>
        <c:ser>
          <c:idx val="8"/>
          <c:order val="8"/>
          <c:tx>
            <c:strRef>
              <c:f>List2!$AC$63</c:f>
              <c:strCache>
                <c:ptCount val="1"/>
                <c:pt idx="0">
                  <c:v>9.</c:v>
                </c:pt>
              </c:strCache>
            </c:strRef>
          </c:tx>
          <c:invertIfNegative val="0"/>
          <c:cat>
            <c:strRef>
              <c:f>List2!$T$64:$T$69</c:f>
              <c:strCache>
                <c:ptCount val="6"/>
                <c:pt idx="0">
                  <c:v>SR (SkyToll)</c:v>
                </c:pt>
                <c:pt idx="1">
                  <c:v>SR (NDS)</c:v>
                </c:pt>
                <c:pt idx="2">
                  <c:v>DE</c:v>
                </c:pt>
                <c:pt idx="3">
                  <c:v>ČR</c:v>
                </c:pt>
                <c:pt idx="4">
                  <c:v>AU</c:v>
                </c:pt>
                <c:pt idx="5">
                  <c:v>PL</c:v>
                </c:pt>
              </c:strCache>
            </c:strRef>
          </c:cat>
          <c:val>
            <c:numRef>
              <c:f>List2!$AC$64:$AC$69</c:f>
              <c:numCache>
                <c:formatCode>#,##0</c:formatCode>
                <c:ptCount val="6"/>
                <c:pt idx="0">
                  <c:v>30330.311291447382</c:v>
                </c:pt>
                <c:pt idx="1">
                  <c:v>44062.63868636277</c:v>
                </c:pt>
                <c:pt idx="2">
                  <c:v>43373.151308304892</c:v>
                </c:pt>
                <c:pt idx="3">
                  <c:v>44150.186696169272</c:v>
                </c:pt>
                <c:pt idx="4">
                  <c:v>60774.317993937722</c:v>
                </c:pt>
              </c:numCache>
            </c:numRef>
          </c:val>
          <c:extLst>
            <c:ext xmlns:c16="http://schemas.microsoft.com/office/drawing/2014/chart" uri="{C3380CC4-5D6E-409C-BE32-E72D297353CC}">
              <c16:uniqueId val="{00000008-5182-4719-91FC-5AE2D95A7CB7}"/>
            </c:ext>
          </c:extLst>
        </c:ser>
        <c:dLbls>
          <c:showLegendKey val="0"/>
          <c:showVal val="0"/>
          <c:showCatName val="0"/>
          <c:showSerName val="0"/>
          <c:showPercent val="0"/>
          <c:showBubbleSize val="0"/>
        </c:dLbls>
        <c:gapWidth val="150"/>
        <c:axId val="699067008"/>
        <c:axId val="699068800"/>
      </c:barChart>
      <c:catAx>
        <c:axId val="699067008"/>
        <c:scaling>
          <c:orientation val="minMax"/>
        </c:scaling>
        <c:delete val="0"/>
        <c:axPos val="b"/>
        <c:numFmt formatCode="General" sourceLinked="0"/>
        <c:majorTickMark val="out"/>
        <c:minorTickMark val="none"/>
        <c:tickLblPos val="nextTo"/>
        <c:crossAx val="699068800"/>
        <c:crosses val="autoZero"/>
        <c:auto val="1"/>
        <c:lblAlgn val="ctr"/>
        <c:lblOffset val="100"/>
        <c:noMultiLvlLbl val="0"/>
      </c:catAx>
      <c:valAx>
        <c:axId val="699068800"/>
        <c:scaling>
          <c:orientation val="minMax"/>
        </c:scaling>
        <c:delete val="0"/>
        <c:axPos val="l"/>
        <c:majorGridlines/>
        <c:numFmt formatCode="#,##0" sourceLinked="1"/>
        <c:majorTickMark val="out"/>
        <c:minorTickMark val="none"/>
        <c:tickLblPos val="nextTo"/>
        <c:crossAx val="699067008"/>
        <c:crosses val="autoZero"/>
        <c:crossBetween val="between"/>
      </c:valAx>
    </c:plotArea>
    <c:legend>
      <c:legendPos val="r"/>
      <c:layout>
        <c:manualLayout>
          <c:xMode val="edge"/>
          <c:yMode val="edge"/>
          <c:x val="0.93463618868860698"/>
          <c:y val="0.20285142753227894"/>
          <c:w val="5.4676299677152977E-2"/>
          <c:h val="0.67888297872340464"/>
        </c:manualLayout>
      </c:layout>
      <c:overlay val="0"/>
    </c:legend>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kilometrické náklady (€/km)</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6017"/>
          <c:w val="0.80386037459418358"/>
          <c:h val="0.55013985633763673"/>
        </c:manualLayout>
      </c:layout>
      <c:barChart>
        <c:barDir val="col"/>
        <c:grouping val="clustered"/>
        <c:varyColors val="0"/>
        <c:ser>
          <c:idx val="0"/>
          <c:order val="0"/>
          <c:tx>
            <c:strRef>
              <c:f>List1!$AB$81</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90F5-4945-927E-0D6E39DA2B9B}"/>
              </c:ext>
            </c:extLst>
          </c:dPt>
          <c:dPt>
            <c:idx val="1"/>
            <c:invertIfNegative val="0"/>
            <c:bubble3D val="0"/>
            <c:spPr>
              <a:solidFill>
                <a:srgbClr val="C00000"/>
              </a:solidFill>
            </c:spPr>
            <c:extLst>
              <c:ext xmlns:c16="http://schemas.microsoft.com/office/drawing/2014/chart" uri="{C3380CC4-5D6E-409C-BE32-E72D297353CC}">
                <c16:uniqueId val="{00000003-90F5-4945-927E-0D6E39DA2B9B}"/>
              </c:ext>
            </c:extLst>
          </c:dPt>
          <c:dPt>
            <c:idx val="2"/>
            <c:invertIfNegative val="0"/>
            <c:bubble3D val="0"/>
            <c:spPr>
              <a:solidFill>
                <a:srgbClr val="FFC000"/>
              </a:solidFill>
            </c:spPr>
            <c:extLst>
              <c:ext xmlns:c16="http://schemas.microsoft.com/office/drawing/2014/chart" uri="{C3380CC4-5D6E-409C-BE32-E72D297353CC}">
                <c16:uniqueId val="{00000005-90F5-4945-927E-0D6E39DA2B9B}"/>
              </c:ext>
            </c:extLst>
          </c:dPt>
          <c:dPt>
            <c:idx val="3"/>
            <c:invertIfNegative val="0"/>
            <c:bubble3D val="0"/>
            <c:spPr>
              <a:solidFill>
                <a:schemeClr val="tx2"/>
              </a:solidFill>
            </c:spPr>
            <c:extLst>
              <c:ext xmlns:c16="http://schemas.microsoft.com/office/drawing/2014/chart" uri="{C3380CC4-5D6E-409C-BE32-E72D297353CC}">
                <c16:uniqueId val="{00000007-90F5-4945-927E-0D6E39DA2B9B}"/>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90F5-4945-927E-0D6E39DA2B9B}"/>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90F5-4945-927E-0D6E39DA2B9B}"/>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List1!$AC$78:$AH$78</c:f>
              <c:strCache>
                <c:ptCount val="6"/>
                <c:pt idx="0">
                  <c:v>SR (SkyToll)</c:v>
                </c:pt>
                <c:pt idx="1">
                  <c:v>SR (NDS)</c:v>
                </c:pt>
                <c:pt idx="2">
                  <c:v>DE</c:v>
                </c:pt>
                <c:pt idx="3">
                  <c:v>ČR</c:v>
                </c:pt>
                <c:pt idx="4">
                  <c:v>AT</c:v>
                </c:pt>
                <c:pt idx="5">
                  <c:v>PL</c:v>
                </c:pt>
              </c:strCache>
            </c:strRef>
          </c:cat>
          <c:val>
            <c:numRef>
              <c:f>List1!$AC$81:$AH$81</c:f>
              <c:numCache>
                <c:formatCode>#,##0</c:formatCode>
                <c:ptCount val="6"/>
                <c:pt idx="0">
                  <c:v>41009.944646754215</c:v>
                </c:pt>
                <c:pt idx="1">
                  <c:v>42826.947337379002</c:v>
                </c:pt>
                <c:pt idx="2">
                  <c:v>42905.118022774783</c:v>
                </c:pt>
                <c:pt idx="3">
                  <c:v>74569.919532079264</c:v>
                </c:pt>
                <c:pt idx="4">
                  <c:v>54103.059607689764</c:v>
                </c:pt>
                <c:pt idx="5">
                  <c:v>48789.832766892236</c:v>
                </c:pt>
              </c:numCache>
            </c:numRef>
          </c:val>
          <c:extLst>
            <c:ext xmlns:c16="http://schemas.microsoft.com/office/drawing/2014/chart" uri="{C3380CC4-5D6E-409C-BE32-E72D297353CC}">
              <c16:uniqueId val="{0000000C-90F5-4945-927E-0D6E39DA2B9B}"/>
            </c:ext>
          </c:extLst>
        </c:ser>
        <c:dLbls>
          <c:showLegendKey val="0"/>
          <c:showVal val="0"/>
          <c:showCatName val="0"/>
          <c:showSerName val="0"/>
          <c:showPercent val="0"/>
          <c:showBubbleSize val="0"/>
        </c:dLbls>
        <c:gapWidth val="150"/>
        <c:axId val="699180544"/>
        <c:axId val="699182080"/>
      </c:barChart>
      <c:catAx>
        <c:axId val="699180544"/>
        <c:scaling>
          <c:orientation val="minMax"/>
        </c:scaling>
        <c:delete val="0"/>
        <c:axPos val="b"/>
        <c:numFmt formatCode="General" sourceLinked="0"/>
        <c:majorTickMark val="out"/>
        <c:minorTickMark val="none"/>
        <c:tickLblPos val="nextTo"/>
        <c:crossAx val="699182080"/>
        <c:crosses val="autoZero"/>
        <c:auto val="1"/>
        <c:lblAlgn val="ctr"/>
        <c:lblOffset val="100"/>
        <c:noMultiLvlLbl val="0"/>
      </c:catAx>
      <c:valAx>
        <c:axId val="699182080"/>
        <c:scaling>
          <c:orientation val="minMax"/>
        </c:scaling>
        <c:delete val="0"/>
        <c:axPos val="l"/>
        <c:numFmt formatCode="#,##0" sourceLinked="1"/>
        <c:majorTickMark val="out"/>
        <c:minorTickMark val="none"/>
        <c:tickLblPos val="nextTo"/>
        <c:crossAx val="699180544"/>
        <c:crosses val="autoZero"/>
        <c:crossBetween val="between"/>
      </c:valAx>
    </c:plotArea>
    <c:plotVisOnly val="1"/>
    <c:dispBlanksAs val="gap"/>
    <c:showDLblsOverMax val="0"/>
  </c:chart>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6028"/>
          <c:w val="0.80386037459418391"/>
          <c:h val="0.55013985633763673"/>
        </c:manualLayout>
      </c:layout>
      <c:barChart>
        <c:barDir val="col"/>
        <c:grouping val="clustered"/>
        <c:varyColors val="0"/>
        <c:ser>
          <c:idx val="0"/>
          <c:order val="0"/>
          <c:tx>
            <c:strRef>
              <c:f>List1!$AB$79</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BA7A-418B-A149-0A2F01C92969}"/>
              </c:ext>
            </c:extLst>
          </c:dPt>
          <c:dPt>
            <c:idx val="1"/>
            <c:invertIfNegative val="0"/>
            <c:bubble3D val="0"/>
            <c:spPr>
              <a:solidFill>
                <a:srgbClr val="C00000"/>
              </a:solidFill>
            </c:spPr>
            <c:extLst>
              <c:ext xmlns:c16="http://schemas.microsoft.com/office/drawing/2014/chart" uri="{C3380CC4-5D6E-409C-BE32-E72D297353CC}">
                <c16:uniqueId val="{00000003-BA7A-418B-A149-0A2F01C92969}"/>
              </c:ext>
            </c:extLst>
          </c:dPt>
          <c:dPt>
            <c:idx val="2"/>
            <c:invertIfNegative val="0"/>
            <c:bubble3D val="0"/>
            <c:spPr>
              <a:solidFill>
                <a:srgbClr val="FFC000"/>
              </a:solidFill>
            </c:spPr>
            <c:extLst>
              <c:ext xmlns:c16="http://schemas.microsoft.com/office/drawing/2014/chart" uri="{C3380CC4-5D6E-409C-BE32-E72D297353CC}">
                <c16:uniqueId val="{00000005-BA7A-418B-A149-0A2F01C92969}"/>
              </c:ext>
            </c:extLst>
          </c:dPt>
          <c:dPt>
            <c:idx val="3"/>
            <c:invertIfNegative val="0"/>
            <c:bubble3D val="0"/>
            <c:spPr>
              <a:solidFill>
                <a:schemeClr val="tx2"/>
              </a:solidFill>
            </c:spPr>
            <c:extLst>
              <c:ext xmlns:c16="http://schemas.microsoft.com/office/drawing/2014/chart" uri="{C3380CC4-5D6E-409C-BE32-E72D297353CC}">
                <c16:uniqueId val="{00000007-BA7A-418B-A149-0A2F01C92969}"/>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BA7A-418B-A149-0A2F01C92969}"/>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BA7A-418B-A149-0A2F01C92969}"/>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List1!$AC$78:$AH$78</c:f>
              <c:strCache>
                <c:ptCount val="6"/>
                <c:pt idx="0">
                  <c:v>SR (SkyToll)</c:v>
                </c:pt>
                <c:pt idx="1">
                  <c:v>SR (NDS)</c:v>
                </c:pt>
                <c:pt idx="2">
                  <c:v>DE</c:v>
                </c:pt>
                <c:pt idx="3">
                  <c:v>ČR</c:v>
                </c:pt>
                <c:pt idx="4">
                  <c:v>AT</c:v>
                </c:pt>
                <c:pt idx="5">
                  <c:v>PL</c:v>
                </c:pt>
              </c:strCache>
            </c:strRef>
          </c:cat>
          <c:val>
            <c:numRef>
              <c:f>List1!$AC$79:$AH$79</c:f>
              <c:numCache>
                <c:formatCode>#,##0</c:formatCode>
                <c:ptCount val="6"/>
                <c:pt idx="0">
                  <c:v>49607.744940151926</c:v>
                </c:pt>
                <c:pt idx="1">
                  <c:v>42473.899589707005</c:v>
                </c:pt>
                <c:pt idx="2">
                  <c:v>45410.837209662452</c:v>
                </c:pt>
                <c:pt idx="3">
                  <c:v>97674.556996384752</c:v>
                </c:pt>
                <c:pt idx="4">
                  <c:v>51729.989432895003</c:v>
                </c:pt>
                <c:pt idx="5">
                  <c:v>62213.651616802592</c:v>
                </c:pt>
              </c:numCache>
            </c:numRef>
          </c:val>
          <c:extLst>
            <c:ext xmlns:c16="http://schemas.microsoft.com/office/drawing/2014/chart" uri="{C3380CC4-5D6E-409C-BE32-E72D297353CC}">
              <c16:uniqueId val="{0000000C-BA7A-418B-A149-0A2F01C92969}"/>
            </c:ext>
          </c:extLst>
        </c:ser>
        <c:dLbls>
          <c:showLegendKey val="0"/>
          <c:showVal val="0"/>
          <c:showCatName val="0"/>
          <c:showSerName val="0"/>
          <c:showPercent val="0"/>
          <c:showBubbleSize val="0"/>
        </c:dLbls>
        <c:gapWidth val="150"/>
        <c:axId val="699564416"/>
        <c:axId val="699565952"/>
      </c:barChart>
      <c:catAx>
        <c:axId val="699564416"/>
        <c:scaling>
          <c:orientation val="minMax"/>
        </c:scaling>
        <c:delete val="0"/>
        <c:axPos val="b"/>
        <c:numFmt formatCode="General" sourceLinked="0"/>
        <c:majorTickMark val="out"/>
        <c:minorTickMark val="none"/>
        <c:tickLblPos val="nextTo"/>
        <c:crossAx val="699565952"/>
        <c:crosses val="autoZero"/>
        <c:auto val="1"/>
        <c:lblAlgn val="ctr"/>
        <c:lblOffset val="100"/>
        <c:noMultiLvlLbl val="0"/>
      </c:catAx>
      <c:valAx>
        <c:axId val="699565952"/>
        <c:scaling>
          <c:orientation val="minMax"/>
        </c:scaling>
        <c:delete val="0"/>
        <c:axPos val="l"/>
        <c:numFmt formatCode="#,##0" sourceLinked="1"/>
        <c:majorTickMark val="out"/>
        <c:minorTickMark val="none"/>
        <c:tickLblPos val="nextTo"/>
        <c:crossAx val="699564416"/>
        <c:crosses val="autoZero"/>
        <c:crossBetween val="between"/>
      </c:valAx>
    </c:plotArea>
    <c:plotVisOnly val="1"/>
    <c:dispBlanksAs val="gap"/>
    <c:showDLblsOverMax val="0"/>
  </c:chart>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9.0614656228175028E-5"/>
          <c:y val="9.5842284947996337E-3"/>
        </c:manualLayout>
      </c:layout>
      <c:overlay val="0"/>
    </c:title>
    <c:autoTitleDeleted val="0"/>
    <c:plotArea>
      <c:layout>
        <c:manualLayout>
          <c:layoutTarget val="inner"/>
          <c:xMode val="edge"/>
          <c:yMode val="edge"/>
          <c:x val="0.12107262663172209"/>
          <c:y val="0.29364397478206039"/>
          <c:w val="0.80386037459418413"/>
          <c:h val="0.55013985633763673"/>
        </c:manualLayout>
      </c:layout>
      <c:barChart>
        <c:barDir val="col"/>
        <c:grouping val="clustered"/>
        <c:varyColors val="0"/>
        <c:ser>
          <c:idx val="0"/>
          <c:order val="0"/>
          <c:tx>
            <c:strRef>
              <c:f>List1!$AB$80</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FAFB-48A8-8B0D-91D0B84C243D}"/>
              </c:ext>
            </c:extLst>
          </c:dPt>
          <c:dPt>
            <c:idx val="1"/>
            <c:invertIfNegative val="0"/>
            <c:bubble3D val="0"/>
            <c:spPr>
              <a:solidFill>
                <a:srgbClr val="C00000"/>
              </a:solidFill>
            </c:spPr>
            <c:extLst>
              <c:ext xmlns:c16="http://schemas.microsoft.com/office/drawing/2014/chart" uri="{C3380CC4-5D6E-409C-BE32-E72D297353CC}">
                <c16:uniqueId val="{00000003-FAFB-48A8-8B0D-91D0B84C243D}"/>
              </c:ext>
            </c:extLst>
          </c:dPt>
          <c:dPt>
            <c:idx val="2"/>
            <c:invertIfNegative val="0"/>
            <c:bubble3D val="0"/>
            <c:spPr>
              <a:solidFill>
                <a:srgbClr val="FFC000"/>
              </a:solidFill>
            </c:spPr>
            <c:extLst>
              <c:ext xmlns:c16="http://schemas.microsoft.com/office/drawing/2014/chart" uri="{C3380CC4-5D6E-409C-BE32-E72D297353CC}">
                <c16:uniqueId val="{00000005-FAFB-48A8-8B0D-91D0B84C243D}"/>
              </c:ext>
            </c:extLst>
          </c:dPt>
          <c:dPt>
            <c:idx val="3"/>
            <c:invertIfNegative val="0"/>
            <c:bubble3D val="0"/>
            <c:spPr>
              <a:solidFill>
                <a:schemeClr val="tx2"/>
              </a:solidFill>
            </c:spPr>
            <c:extLst>
              <c:ext xmlns:c16="http://schemas.microsoft.com/office/drawing/2014/chart" uri="{C3380CC4-5D6E-409C-BE32-E72D297353CC}">
                <c16:uniqueId val="{00000007-FAFB-48A8-8B0D-91D0B84C243D}"/>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FAFB-48A8-8B0D-91D0B84C243D}"/>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FAFB-48A8-8B0D-91D0B84C243D}"/>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List1!$AC$78:$AH$78</c:f>
              <c:strCache>
                <c:ptCount val="6"/>
                <c:pt idx="0">
                  <c:v>SR (SkyToll)</c:v>
                </c:pt>
                <c:pt idx="1">
                  <c:v>SR (NDS)</c:v>
                </c:pt>
                <c:pt idx="2">
                  <c:v>DE</c:v>
                </c:pt>
                <c:pt idx="3">
                  <c:v>ČR</c:v>
                </c:pt>
                <c:pt idx="4">
                  <c:v>AT</c:v>
                </c:pt>
                <c:pt idx="5">
                  <c:v>PL</c:v>
                </c:pt>
              </c:strCache>
            </c:strRef>
          </c:cat>
          <c:val>
            <c:numRef>
              <c:f>List1!$AC$80:$AH$80</c:f>
              <c:numCache>
                <c:formatCode>#,##0</c:formatCode>
                <c:ptCount val="6"/>
                <c:pt idx="0">
                  <c:v>30459.219077914451</c:v>
                </c:pt>
                <c:pt idx="1">
                  <c:v>41590.714471663574</c:v>
                </c:pt>
                <c:pt idx="2">
                  <c:v>40272.386973015142</c:v>
                </c:pt>
                <c:pt idx="3">
                  <c:v>51909.777861905415</c:v>
                </c:pt>
                <c:pt idx="4">
                  <c:v>57771.313839460643</c:v>
                </c:pt>
                <c:pt idx="5">
                  <c:v>26559.760103690365</c:v>
                </c:pt>
              </c:numCache>
            </c:numRef>
          </c:val>
          <c:extLst>
            <c:ext xmlns:c16="http://schemas.microsoft.com/office/drawing/2014/chart" uri="{C3380CC4-5D6E-409C-BE32-E72D297353CC}">
              <c16:uniqueId val="{0000000C-FAFB-48A8-8B0D-91D0B84C243D}"/>
            </c:ext>
          </c:extLst>
        </c:ser>
        <c:dLbls>
          <c:showLegendKey val="0"/>
          <c:showVal val="0"/>
          <c:showCatName val="0"/>
          <c:showSerName val="0"/>
          <c:showPercent val="0"/>
          <c:showBubbleSize val="0"/>
        </c:dLbls>
        <c:gapWidth val="150"/>
        <c:axId val="699636352"/>
        <c:axId val="699650432"/>
      </c:barChart>
      <c:catAx>
        <c:axId val="699636352"/>
        <c:scaling>
          <c:orientation val="minMax"/>
        </c:scaling>
        <c:delete val="0"/>
        <c:axPos val="b"/>
        <c:numFmt formatCode="General" sourceLinked="0"/>
        <c:majorTickMark val="out"/>
        <c:minorTickMark val="none"/>
        <c:tickLblPos val="nextTo"/>
        <c:crossAx val="699650432"/>
        <c:crosses val="autoZero"/>
        <c:auto val="1"/>
        <c:lblAlgn val="ctr"/>
        <c:lblOffset val="100"/>
        <c:noMultiLvlLbl val="0"/>
      </c:catAx>
      <c:valAx>
        <c:axId val="699650432"/>
        <c:scaling>
          <c:orientation val="minMax"/>
        </c:scaling>
        <c:delete val="0"/>
        <c:axPos val="l"/>
        <c:numFmt formatCode="#,##0" sourceLinked="1"/>
        <c:majorTickMark val="out"/>
        <c:minorTickMark val="none"/>
        <c:tickLblPos val="nextTo"/>
        <c:crossAx val="699636352"/>
        <c:crosses val="autoZero"/>
        <c:crossBetween val="between"/>
      </c:valAx>
    </c:plotArea>
    <c:plotVisOnly val="1"/>
    <c:dispBlanksAs val="gap"/>
    <c:showDLblsOverMax val="0"/>
  </c:chart>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k-SK" sz="1200">
                <a:solidFill>
                  <a:srgbClr val="C00000"/>
                </a:solidFill>
              </a:rPr>
              <a:t>Ročné</a:t>
            </a:r>
            <a:r>
              <a:rPr lang="sk-SK" sz="1200" baseline="0">
                <a:solidFill>
                  <a:srgbClr val="C00000"/>
                </a:solidFill>
              </a:rPr>
              <a:t> v</a:t>
            </a:r>
            <a:r>
              <a:rPr lang="en-US" sz="1200">
                <a:solidFill>
                  <a:srgbClr val="C00000"/>
                </a:solidFill>
              </a:rPr>
              <a:t>ozokilometrické náklady (€/vkm)</a:t>
            </a:r>
          </a:p>
        </c:rich>
      </c:tx>
      <c:layout>
        <c:manualLayout>
          <c:xMode val="edge"/>
          <c:yMode val="edge"/>
          <c:x val="1.398077998301453E-2"/>
          <c:y val="0"/>
        </c:manualLayout>
      </c:layout>
      <c:overlay val="0"/>
    </c:title>
    <c:autoTitleDeleted val="0"/>
    <c:plotArea>
      <c:layout/>
      <c:barChart>
        <c:barDir val="col"/>
        <c:grouping val="clustered"/>
        <c:varyColors val="0"/>
        <c:ser>
          <c:idx val="0"/>
          <c:order val="0"/>
          <c:tx>
            <c:strRef>
              <c:f>List2!$AG$63</c:f>
              <c:strCache>
                <c:ptCount val="1"/>
                <c:pt idx="0">
                  <c:v>1.</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List2!$AG$64:$AG$69</c:f>
              <c:numCache>
                <c:formatCode>General</c:formatCode>
                <c:ptCount val="6"/>
                <c:pt idx="0">
                  <c:v>0.10610389610389608</c:v>
                </c:pt>
                <c:pt idx="1">
                  <c:v>0.11516233766233765</c:v>
                </c:pt>
                <c:pt idx="2">
                  <c:v>2.2916666666666672E-2</c:v>
                </c:pt>
                <c:pt idx="3">
                  <c:v>5.1120178041543007E-2</c:v>
                </c:pt>
                <c:pt idx="4">
                  <c:v>3.4892592592592593E-2</c:v>
                </c:pt>
              </c:numCache>
            </c:numRef>
          </c:val>
          <c:extLst>
            <c:ext xmlns:c16="http://schemas.microsoft.com/office/drawing/2014/chart" uri="{C3380CC4-5D6E-409C-BE32-E72D297353CC}">
              <c16:uniqueId val="{00000000-6BB6-4C10-9D2D-51456013888C}"/>
            </c:ext>
          </c:extLst>
        </c:ser>
        <c:ser>
          <c:idx val="1"/>
          <c:order val="1"/>
          <c:tx>
            <c:strRef>
              <c:f>List2!$AH$63</c:f>
              <c:strCache>
                <c:ptCount val="1"/>
                <c:pt idx="0">
                  <c:v>2.</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List2!$AH$64:$AH$69</c:f>
              <c:numCache>
                <c:formatCode>General</c:formatCode>
                <c:ptCount val="6"/>
                <c:pt idx="0">
                  <c:v>0.10052999999999998</c:v>
                </c:pt>
                <c:pt idx="1">
                  <c:v>0.10258</c:v>
                </c:pt>
                <c:pt idx="2">
                  <c:v>2.1624126346681028E-2</c:v>
                </c:pt>
                <c:pt idx="3">
                  <c:v>8.7157360406091663E-2</c:v>
                </c:pt>
                <c:pt idx="4">
                  <c:v>3.5236363636363711E-2</c:v>
                </c:pt>
                <c:pt idx="5">
                  <c:v>9.9672479795831728E-2</c:v>
                </c:pt>
              </c:numCache>
            </c:numRef>
          </c:val>
          <c:extLst>
            <c:ext xmlns:c16="http://schemas.microsoft.com/office/drawing/2014/chart" uri="{C3380CC4-5D6E-409C-BE32-E72D297353CC}">
              <c16:uniqueId val="{00000001-6BB6-4C10-9D2D-51456013888C}"/>
            </c:ext>
          </c:extLst>
        </c:ser>
        <c:ser>
          <c:idx val="2"/>
          <c:order val="2"/>
          <c:tx>
            <c:strRef>
              <c:f>List2!$AI$63</c:f>
              <c:strCache>
                <c:ptCount val="1"/>
                <c:pt idx="0">
                  <c:v>3.</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List2!$AI$64:$AI$69</c:f>
              <c:numCache>
                <c:formatCode>General</c:formatCode>
                <c:ptCount val="6"/>
                <c:pt idx="0">
                  <c:v>0.11442574257425767</c:v>
                </c:pt>
                <c:pt idx="1">
                  <c:v>6.9514851485148521E-2</c:v>
                </c:pt>
                <c:pt idx="2">
                  <c:v>2.2972578763127242E-2</c:v>
                </c:pt>
                <c:pt idx="3">
                  <c:v>0.12486111111111124</c:v>
                </c:pt>
                <c:pt idx="4">
                  <c:v>3.3680272108843619E-2</c:v>
                </c:pt>
                <c:pt idx="5">
                  <c:v>2.4508287292817673E-2</c:v>
                </c:pt>
              </c:numCache>
            </c:numRef>
          </c:val>
          <c:extLst>
            <c:ext xmlns:c16="http://schemas.microsoft.com/office/drawing/2014/chart" uri="{C3380CC4-5D6E-409C-BE32-E72D297353CC}">
              <c16:uniqueId val="{00000002-6BB6-4C10-9D2D-51456013888C}"/>
            </c:ext>
          </c:extLst>
        </c:ser>
        <c:ser>
          <c:idx val="3"/>
          <c:order val="3"/>
          <c:tx>
            <c:strRef>
              <c:f>List2!$AJ$63</c:f>
              <c:strCache>
                <c:ptCount val="1"/>
                <c:pt idx="0">
                  <c:v>4.</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List2!$AJ$64:$AJ$69</c:f>
              <c:numCache>
                <c:formatCode>General</c:formatCode>
                <c:ptCount val="6"/>
                <c:pt idx="0">
                  <c:v>0.1171950048030741</c:v>
                </c:pt>
                <c:pt idx="1">
                  <c:v>7.31219980787704E-2</c:v>
                </c:pt>
                <c:pt idx="2">
                  <c:v>2.0249502802386552E-2</c:v>
                </c:pt>
                <c:pt idx="3">
                  <c:v>5.8750673128702337E-2</c:v>
                </c:pt>
                <c:pt idx="4">
                  <c:v>3.6197485433915981E-2</c:v>
                </c:pt>
                <c:pt idx="5">
                  <c:v>2.3673517599811077E-2</c:v>
                </c:pt>
              </c:numCache>
            </c:numRef>
          </c:val>
          <c:extLst>
            <c:ext xmlns:c16="http://schemas.microsoft.com/office/drawing/2014/chart" uri="{C3380CC4-5D6E-409C-BE32-E72D297353CC}">
              <c16:uniqueId val="{00000003-6BB6-4C10-9D2D-51456013888C}"/>
            </c:ext>
          </c:extLst>
        </c:ser>
        <c:ser>
          <c:idx val="4"/>
          <c:order val="4"/>
          <c:tx>
            <c:strRef>
              <c:f>List2!$AK$63</c:f>
              <c:strCache>
                <c:ptCount val="1"/>
                <c:pt idx="0">
                  <c:v>5.</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List2!$AK$64:$AK$69</c:f>
              <c:numCache>
                <c:formatCode>General</c:formatCode>
                <c:ptCount val="6"/>
                <c:pt idx="0">
                  <c:v>6.1553819444444442E-2</c:v>
                </c:pt>
                <c:pt idx="1">
                  <c:v>6.8715277777777778E-2</c:v>
                </c:pt>
                <c:pt idx="2">
                  <c:v>2.216748768472912E-2</c:v>
                </c:pt>
                <c:pt idx="3">
                  <c:v>5.2942928039702339E-2</c:v>
                </c:pt>
                <c:pt idx="4">
                  <c:v>3.9164105716041793E-2</c:v>
                </c:pt>
                <c:pt idx="5">
                  <c:v>1.7311196598501718E-2</c:v>
                </c:pt>
              </c:numCache>
            </c:numRef>
          </c:val>
          <c:extLst>
            <c:ext xmlns:c16="http://schemas.microsoft.com/office/drawing/2014/chart" uri="{C3380CC4-5D6E-409C-BE32-E72D297353CC}">
              <c16:uniqueId val="{00000004-6BB6-4C10-9D2D-51456013888C}"/>
            </c:ext>
          </c:extLst>
        </c:ser>
        <c:ser>
          <c:idx val="5"/>
          <c:order val="5"/>
          <c:tx>
            <c:strRef>
              <c:f>List2!$AL$63</c:f>
              <c:strCache>
                <c:ptCount val="1"/>
                <c:pt idx="0">
                  <c:v>6.</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List2!$AL$64:$AL$69</c:f>
              <c:numCache>
                <c:formatCode>General</c:formatCode>
                <c:ptCount val="6"/>
                <c:pt idx="0">
                  <c:v>5.7899917965545694E-2</c:v>
                </c:pt>
                <c:pt idx="1">
                  <c:v>8.1657095980311747E-2</c:v>
                </c:pt>
                <c:pt idx="2">
                  <c:v>1.9040957488147981E-2</c:v>
                </c:pt>
                <c:pt idx="3">
                  <c:v>3.2287153652392951E-2</c:v>
                </c:pt>
                <c:pt idx="4">
                  <c:v>3.9161381254404513E-2</c:v>
                </c:pt>
                <c:pt idx="5">
                  <c:v>1.6336093006869824E-2</c:v>
                </c:pt>
              </c:numCache>
            </c:numRef>
          </c:val>
          <c:extLst>
            <c:ext xmlns:c16="http://schemas.microsoft.com/office/drawing/2014/chart" uri="{C3380CC4-5D6E-409C-BE32-E72D297353CC}">
              <c16:uniqueId val="{00000005-6BB6-4C10-9D2D-51456013888C}"/>
            </c:ext>
          </c:extLst>
        </c:ser>
        <c:ser>
          <c:idx val="6"/>
          <c:order val="6"/>
          <c:tx>
            <c:strRef>
              <c:f>List2!$AM$63</c:f>
              <c:strCache>
                <c:ptCount val="1"/>
                <c:pt idx="0">
                  <c:v>7.</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List2!$AM$64:$AM$69</c:f>
              <c:numCache>
                <c:formatCode>General</c:formatCode>
                <c:ptCount val="6"/>
                <c:pt idx="0">
                  <c:v>5.69802371541503E-2</c:v>
                </c:pt>
                <c:pt idx="1">
                  <c:v>7.9936758893280724E-2</c:v>
                </c:pt>
                <c:pt idx="2">
                  <c:v>1.761223113242899E-2</c:v>
                </c:pt>
                <c:pt idx="3">
                  <c:v>3.3387175721977545E-2</c:v>
                </c:pt>
                <c:pt idx="4">
                  <c:v>4.0872150644202167E-2</c:v>
                </c:pt>
                <c:pt idx="5">
                  <c:v>1.3941038427691404E-2</c:v>
                </c:pt>
              </c:numCache>
            </c:numRef>
          </c:val>
          <c:extLst>
            <c:ext xmlns:c16="http://schemas.microsoft.com/office/drawing/2014/chart" uri="{C3380CC4-5D6E-409C-BE32-E72D297353CC}">
              <c16:uniqueId val="{00000006-6BB6-4C10-9D2D-51456013888C}"/>
            </c:ext>
          </c:extLst>
        </c:ser>
        <c:ser>
          <c:idx val="7"/>
          <c:order val="7"/>
          <c:tx>
            <c:strRef>
              <c:f>List2!$AN$63</c:f>
              <c:strCache>
                <c:ptCount val="1"/>
                <c:pt idx="0">
                  <c:v>8.</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List2!$AN$64:$AN$69</c:f>
              <c:numCache>
                <c:formatCode>General</c:formatCode>
                <c:ptCount val="6"/>
                <c:pt idx="0">
                  <c:v>5.3071104387291956E-2</c:v>
                </c:pt>
                <c:pt idx="1">
                  <c:v>7.7163388804841374E-2</c:v>
                </c:pt>
                <c:pt idx="2">
                  <c:v>2.1436630312147431E-2</c:v>
                </c:pt>
                <c:pt idx="3">
                  <c:v>3.0409572020248559E-2</c:v>
                </c:pt>
                <c:pt idx="4">
                  <c:v>4.0614845492194809E-2</c:v>
                </c:pt>
                <c:pt idx="5">
                  <c:v>1.5421334632245522E-2</c:v>
                </c:pt>
              </c:numCache>
            </c:numRef>
          </c:val>
          <c:extLst>
            <c:ext xmlns:c16="http://schemas.microsoft.com/office/drawing/2014/chart" uri="{C3380CC4-5D6E-409C-BE32-E72D297353CC}">
              <c16:uniqueId val="{00000007-6BB6-4C10-9D2D-51456013888C}"/>
            </c:ext>
          </c:extLst>
        </c:ser>
        <c:ser>
          <c:idx val="8"/>
          <c:order val="8"/>
          <c:tx>
            <c:strRef>
              <c:f>List2!$AO$63</c:f>
              <c:strCache>
                <c:ptCount val="1"/>
                <c:pt idx="0">
                  <c:v>9.</c:v>
                </c:pt>
              </c:strCache>
            </c:strRef>
          </c:tx>
          <c:invertIfNegative val="0"/>
          <c:cat>
            <c:strRef>
              <c:f>List2!$AF$64:$AF$69</c:f>
              <c:strCache>
                <c:ptCount val="6"/>
                <c:pt idx="0">
                  <c:v>SR (SkyToll)</c:v>
                </c:pt>
                <c:pt idx="1">
                  <c:v>SR (NDS)</c:v>
                </c:pt>
                <c:pt idx="2">
                  <c:v>DE</c:v>
                </c:pt>
                <c:pt idx="3">
                  <c:v>ČR</c:v>
                </c:pt>
                <c:pt idx="4">
                  <c:v>AU</c:v>
                </c:pt>
                <c:pt idx="5">
                  <c:v>PL</c:v>
                </c:pt>
              </c:strCache>
            </c:strRef>
          </c:cat>
          <c:val>
            <c:numRef>
              <c:f>List2!$AO$64:$AO$69</c:f>
              <c:numCache>
                <c:formatCode>General</c:formatCode>
                <c:ptCount val="6"/>
                <c:pt idx="0">
                  <c:v>5.2227074235807892E-2</c:v>
                </c:pt>
                <c:pt idx="1">
                  <c:v>7.5873362445414844E-2</c:v>
                </c:pt>
                <c:pt idx="2">
                  <c:v>2.2402585478717606E-2</c:v>
                </c:pt>
                <c:pt idx="3">
                  <c:v>2.7228144989339051E-2</c:v>
                </c:pt>
                <c:pt idx="4">
                  <c:v>4.2277955271565394E-2</c:v>
                </c:pt>
              </c:numCache>
            </c:numRef>
          </c:val>
          <c:extLst>
            <c:ext xmlns:c16="http://schemas.microsoft.com/office/drawing/2014/chart" uri="{C3380CC4-5D6E-409C-BE32-E72D297353CC}">
              <c16:uniqueId val="{00000008-6BB6-4C10-9D2D-51456013888C}"/>
            </c:ext>
          </c:extLst>
        </c:ser>
        <c:dLbls>
          <c:showLegendKey val="0"/>
          <c:showVal val="0"/>
          <c:showCatName val="0"/>
          <c:showSerName val="0"/>
          <c:showPercent val="0"/>
          <c:showBubbleSize val="0"/>
        </c:dLbls>
        <c:gapWidth val="150"/>
        <c:axId val="699733504"/>
        <c:axId val="699735040"/>
      </c:barChart>
      <c:catAx>
        <c:axId val="699733504"/>
        <c:scaling>
          <c:orientation val="minMax"/>
        </c:scaling>
        <c:delete val="0"/>
        <c:axPos val="b"/>
        <c:numFmt formatCode="General" sourceLinked="0"/>
        <c:majorTickMark val="out"/>
        <c:minorTickMark val="none"/>
        <c:tickLblPos val="nextTo"/>
        <c:crossAx val="699735040"/>
        <c:crosses val="autoZero"/>
        <c:auto val="1"/>
        <c:lblAlgn val="ctr"/>
        <c:lblOffset val="100"/>
        <c:noMultiLvlLbl val="0"/>
      </c:catAx>
      <c:valAx>
        <c:axId val="699735040"/>
        <c:scaling>
          <c:orientation val="minMax"/>
        </c:scaling>
        <c:delete val="0"/>
        <c:axPos val="l"/>
        <c:majorGridlines/>
        <c:numFmt formatCode="General" sourceLinked="1"/>
        <c:majorTickMark val="out"/>
        <c:minorTickMark val="none"/>
        <c:tickLblPos val="nextTo"/>
        <c:crossAx val="699733504"/>
        <c:crosses val="autoZero"/>
        <c:crossBetween val="between"/>
      </c:valAx>
    </c:plotArea>
    <c:legend>
      <c:legendPos val="r"/>
      <c:layout>
        <c:manualLayout>
          <c:xMode val="edge"/>
          <c:yMode val="edge"/>
          <c:x val="0.93463618868860698"/>
          <c:y val="0.1993294235315512"/>
          <c:w val="5.2538797350305554E-2"/>
          <c:h val="0.67310920167304056"/>
        </c:manualLayout>
      </c:layout>
      <c:overlay val="0"/>
    </c:legend>
    <c:plotVisOnly val="1"/>
    <c:dispBlanksAs val="gap"/>
    <c:showDLblsOverMax val="0"/>
  </c:chart>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200">
                <a:solidFill>
                  <a:srgbClr val="C00000"/>
                </a:solidFill>
              </a:rPr>
              <a:t>Priemerné</a:t>
            </a:r>
            <a:r>
              <a:rPr lang="sk-SK" sz="1200" baseline="0">
                <a:solidFill>
                  <a:srgbClr val="C00000"/>
                </a:solidFill>
              </a:rPr>
              <a:t> ročné vozokilometrické náklady (€/vkm)</a:t>
            </a:r>
          </a:p>
          <a:p>
            <a:pPr algn="l">
              <a:defRPr/>
            </a:pPr>
            <a:r>
              <a:rPr lang="sk-SK" sz="1050" i="1" baseline="0"/>
              <a:t>Základný scenár: 1. až 9. rok prevádzky</a:t>
            </a:r>
            <a:endParaRPr lang="en-US" sz="1050" i="1"/>
          </a:p>
        </c:rich>
      </c:tx>
      <c:layout>
        <c:manualLayout>
          <c:xMode val="edge"/>
          <c:yMode val="edge"/>
          <c:x val="1.0125178653546283E-2"/>
          <c:y val="1.4314927849100371E-2"/>
        </c:manualLayout>
      </c:layout>
      <c:overlay val="0"/>
    </c:title>
    <c:autoTitleDeleted val="0"/>
    <c:plotArea>
      <c:layout>
        <c:manualLayout>
          <c:layoutTarget val="inner"/>
          <c:xMode val="edge"/>
          <c:yMode val="edge"/>
          <c:x val="0.12107262663172209"/>
          <c:y val="0.29364397478206039"/>
          <c:w val="0.80386037459418413"/>
          <c:h val="0.55013985633763673"/>
        </c:manualLayout>
      </c:layout>
      <c:barChart>
        <c:barDir val="col"/>
        <c:grouping val="clustered"/>
        <c:varyColors val="0"/>
        <c:ser>
          <c:idx val="0"/>
          <c:order val="0"/>
          <c:tx>
            <c:strRef>
              <c:f>List1!$AB$111</c:f>
              <c:strCache>
                <c:ptCount val="1"/>
                <c:pt idx="0">
                  <c:v>1. - 9. rok </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F1B3-456E-8593-3A3BBFF25FC1}"/>
              </c:ext>
            </c:extLst>
          </c:dPt>
          <c:dPt>
            <c:idx val="1"/>
            <c:invertIfNegative val="0"/>
            <c:bubble3D val="0"/>
            <c:spPr>
              <a:solidFill>
                <a:srgbClr val="C00000"/>
              </a:solidFill>
            </c:spPr>
            <c:extLst>
              <c:ext xmlns:c16="http://schemas.microsoft.com/office/drawing/2014/chart" uri="{C3380CC4-5D6E-409C-BE32-E72D297353CC}">
                <c16:uniqueId val="{00000003-F1B3-456E-8593-3A3BBFF25FC1}"/>
              </c:ext>
            </c:extLst>
          </c:dPt>
          <c:dPt>
            <c:idx val="2"/>
            <c:invertIfNegative val="0"/>
            <c:bubble3D val="0"/>
            <c:spPr>
              <a:solidFill>
                <a:srgbClr val="FFC000"/>
              </a:solidFill>
            </c:spPr>
            <c:extLst>
              <c:ext xmlns:c16="http://schemas.microsoft.com/office/drawing/2014/chart" uri="{C3380CC4-5D6E-409C-BE32-E72D297353CC}">
                <c16:uniqueId val="{00000005-F1B3-456E-8593-3A3BBFF25FC1}"/>
              </c:ext>
            </c:extLst>
          </c:dPt>
          <c:dPt>
            <c:idx val="3"/>
            <c:invertIfNegative val="0"/>
            <c:bubble3D val="0"/>
            <c:spPr>
              <a:solidFill>
                <a:schemeClr val="tx2"/>
              </a:solidFill>
            </c:spPr>
            <c:extLst>
              <c:ext xmlns:c16="http://schemas.microsoft.com/office/drawing/2014/chart" uri="{C3380CC4-5D6E-409C-BE32-E72D297353CC}">
                <c16:uniqueId val="{00000007-F1B3-456E-8593-3A3BBFF25FC1}"/>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F1B3-456E-8593-3A3BBFF25FC1}"/>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F1B3-456E-8593-3A3BBFF25FC1}"/>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List1!$AC$108:$AH$108</c:f>
              <c:strCache>
                <c:ptCount val="6"/>
                <c:pt idx="0">
                  <c:v>SR (SkyToll)</c:v>
                </c:pt>
                <c:pt idx="1">
                  <c:v>SR (NDS)</c:v>
                </c:pt>
                <c:pt idx="2">
                  <c:v>DE</c:v>
                </c:pt>
                <c:pt idx="3">
                  <c:v>ČR</c:v>
                </c:pt>
                <c:pt idx="4">
                  <c:v>AU</c:v>
                </c:pt>
                <c:pt idx="5">
                  <c:v>PL</c:v>
                </c:pt>
              </c:strCache>
            </c:strRef>
          </c:cat>
          <c:val>
            <c:numRef>
              <c:f>List1!$AC$111:$AH$111</c:f>
              <c:numCache>
                <c:formatCode>#,##0.000</c:formatCode>
                <c:ptCount val="6"/>
                <c:pt idx="0">
                  <c:v>7.999853296316313E-2</c:v>
                </c:pt>
                <c:pt idx="1">
                  <c:v>8.2636119014209197E-2</c:v>
                </c:pt>
                <c:pt idx="2">
                  <c:v>2.1158085186114752E-2</c:v>
                </c:pt>
                <c:pt idx="3">
                  <c:v>5.5349366345678663E-2</c:v>
                </c:pt>
                <c:pt idx="4">
                  <c:v>3.8010794683347192E-2</c:v>
                </c:pt>
                <c:pt idx="5">
                  <c:v>3.0123421050538324E-2</c:v>
                </c:pt>
              </c:numCache>
            </c:numRef>
          </c:val>
          <c:extLst>
            <c:ext xmlns:c16="http://schemas.microsoft.com/office/drawing/2014/chart" uri="{C3380CC4-5D6E-409C-BE32-E72D297353CC}">
              <c16:uniqueId val="{0000000C-F1B3-456E-8593-3A3BBFF25FC1}"/>
            </c:ext>
          </c:extLst>
        </c:ser>
        <c:dLbls>
          <c:showLegendKey val="0"/>
          <c:showVal val="0"/>
          <c:showCatName val="0"/>
          <c:showSerName val="0"/>
          <c:showPercent val="0"/>
          <c:showBubbleSize val="0"/>
        </c:dLbls>
        <c:gapWidth val="150"/>
        <c:axId val="699806080"/>
        <c:axId val="699807616"/>
      </c:barChart>
      <c:catAx>
        <c:axId val="699806080"/>
        <c:scaling>
          <c:orientation val="minMax"/>
        </c:scaling>
        <c:delete val="0"/>
        <c:axPos val="b"/>
        <c:numFmt formatCode="General" sourceLinked="0"/>
        <c:majorTickMark val="out"/>
        <c:minorTickMark val="none"/>
        <c:tickLblPos val="nextTo"/>
        <c:crossAx val="699807616"/>
        <c:crosses val="autoZero"/>
        <c:auto val="1"/>
        <c:lblAlgn val="ctr"/>
        <c:lblOffset val="100"/>
        <c:noMultiLvlLbl val="0"/>
      </c:catAx>
      <c:valAx>
        <c:axId val="699807616"/>
        <c:scaling>
          <c:orientation val="minMax"/>
        </c:scaling>
        <c:delete val="0"/>
        <c:axPos val="l"/>
        <c:numFmt formatCode="#,##0.000" sourceLinked="1"/>
        <c:majorTickMark val="out"/>
        <c:minorTickMark val="none"/>
        <c:tickLblPos val="nextTo"/>
        <c:crossAx val="699806080"/>
        <c:crosses val="autoZero"/>
        <c:crossBetween val="between"/>
      </c:valAx>
    </c:plotArea>
    <c:plotVisOnly val="1"/>
    <c:dispBlanksAs val="gap"/>
    <c:showDLblsOverMax val="0"/>
  </c:chart>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A: 1. až 5. rok prevádzky</a:t>
            </a:r>
            <a:endParaRPr lang="en-US" sz="1050" i="1"/>
          </a:p>
        </c:rich>
      </c:tx>
      <c:layout>
        <c:manualLayout>
          <c:xMode val="edge"/>
          <c:yMode val="edge"/>
          <c:x val="1.8779342723004749E-4"/>
          <c:y val="4.3609937171593038E-3"/>
        </c:manualLayout>
      </c:layout>
      <c:overlay val="0"/>
    </c:title>
    <c:autoTitleDeleted val="0"/>
    <c:plotArea>
      <c:layout>
        <c:manualLayout>
          <c:layoutTarget val="inner"/>
          <c:xMode val="edge"/>
          <c:yMode val="edge"/>
          <c:x val="0.12107262663172209"/>
          <c:y val="0.2936439747820605"/>
          <c:w val="0.80386037459418436"/>
          <c:h val="0.55013985633763673"/>
        </c:manualLayout>
      </c:layout>
      <c:barChart>
        <c:barDir val="col"/>
        <c:grouping val="clustered"/>
        <c:varyColors val="0"/>
        <c:ser>
          <c:idx val="0"/>
          <c:order val="0"/>
          <c:tx>
            <c:strRef>
              <c:f>List1!$AB$109</c:f>
              <c:strCache>
                <c:ptCount val="1"/>
                <c:pt idx="0">
                  <c:v>1. - 5.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882E-49B6-AD3D-B3832BA93038}"/>
              </c:ext>
            </c:extLst>
          </c:dPt>
          <c:dPt>
            <c:idx val="1"/>
            <c:invertIfNegative val="0"/>
            <c:bubble3D val="0"/>
            <c:spPr>
              <a:solidFill>
                <a:srgbClr val="C00000"/>
              </a:solidFill>
            </c:spPr>
            <c:extLst>
              <c:ext xmlns:c16="http://schemas.microsoft.com/office/drawing/2014/chart" uri="{C3380CC4-5D6E-409C-BE32-E72D297353CC}">
                <c16:uniqueId val="{00000003-882E-49B6-AD3D-B3832BA93038}"/>
              </c:ext>
            </c:extLst>
          </c:dPt>
          <c:dPt>
            <c:idx val="2"/>
            <c:invertIfNegative val="0"/>
            <c:bubble3D val="0"/>
            <c:spPr>
              <a:solidFill>
                <a:srgbClr val="FFC000"/>
              </a:solidFill>
            </c:spPr>
            <c:extLst>
              <c:ext xmlns:c16="http://schemas.microsoft.com/office/drawing/2014/chart" uri="{C3380CC4-5D6E-409C-BE32-E72D297353CC}">
                <c16:uniqueId val="{00000005-882E-49B6-AD3D-B3832BA93038}"/>
              </c:ext>
            </c:extLst>
          </c:dPt>
          <c:dPt>
            <c:idx val="3"/>
            <c:invertIfNegative val="0"/>
            <c:bubble3D val="0"/>
            <c:spPr>
              <a:solidFill>
                <a:schemeClr val="tx2"/>
              </a:solidFill>
            </c:spPr>
            <c:extLst>
              <c:ext xmlns:c16="http://schemas.microsoft.com/office/drawing/2014/chart" uri="{C3380CC4-5D6E-409C-BE32-E72D297353CC}">
                <c16:uniqueId val="{00000007-882E-49B6-AD3D-B3832BA93038}"/>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882E-49B6-AD3D-B3832BA93038}"/>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882E-49B6-AD3D-B3832BA93038}"/>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List1!$AC$108:$AH$108</c:f>
              <c:strCache>
                <c:ptCount val="6"/>
                <c:pt idx="0">
                  <c:v>SR (SkyToll)</c:v>
                </c:pt>
                <c:pt idx="1">
                  <c:v>SR (NDS)</c:v>
                </c:pt>
                <c:pt idx="2">
                  <c:v>DE</c:v>
                </c:pt>
                <c:pt idx="3">
                  <c:v>ČR</c:v>
                </c:pt>
                <c:pt idx="4">
                  <c:v>AU</c:v>
                </c:pt>
                <c:pt idx="5">
                  <c:v>PL</c:v>
                </c:pt>
              </c:strCache>
            </c:strRef>
          </c:cat>
          <c:val>
            <c:numRef>
              <c:f>List1!$AC$109:$AH$109</c:f>
              <c:numCache>
                <c:formatCode>#,##0.000</c:formatCode>
                <c:ptCount val="6"/>
                <c:pt idx="0">
                  <c:v>9.9961692585134584E-2</c:v>
                </c:pt>
                <c:pt idx="1">
                  <c:v>8.5818893000807028E-2</c:v>
                </c:pt>
                <c:pt idx="2">
                  <c:v>2.1986072452718174E-2</c:v>
                </c:pt>
                <c:pt idx="3">
                  <c:v>7.4966450145430186E-2</c:v>
                </c:pt>
                <c:pt idx="4">
                  <c:v>3.5834163897551542E-2</c:v>
                </c:pt>
                <c:pt idx="5">
                  <c:v>4.1291370321740489E-2</c:v>
                </c:pt>
              </c:numCache>
            </c:numRef>
          </c:val>
          <c:extLst>
            <c:ext xmlns:c16="http://schemas.microsoft.com/office/drawing/2014/chart" uri="{C3380CC4-5D6E-409C-BE32-E72D297353CC}">
              <c16:uniqueId val="{0000000C-882E-49B6-AD3D-B3832BA93038}"/>
            </c:ext>
          </c:extLst>
        </c:ser>
        <c:dLbls>
          <c:showLegendKey val="0"/>
          <c:showVal val="0"/>
          <c:showCatName val="0"/>
          <c:showSerName val="0"/>
          <c:showPercent val="0"/>
          <c:showBubbleSize val="0"/>
        </c:dLbls>
        <c:gapWidth val="150"/>
        <c:axId val="699857536"/>
        <c:axId val="699875712"/>
      </c:barChart>
      <c:catAx>
        <c:axId val="699857536"/>
        <c:scaling>
          <c:orientation val="minMax"/>
        </c:scaling>
        <c:delete val="0"/>
        <c:axPos val="b"/>
        <c:numFmt formatCode="General" sourceLinked="0"/>
        <c:majorTickMark val="out"/>
        <c:minorTickMark val="none"/>
        <c:tickLblPos val="nextTo"/>
        <c:crossAx val="699875712"/>
        <c:crosses val="autoZero"/>
        <c:auto val="1"/>
        <c:lblAlgn val="ctr"/>
        <c:lblOffset val="100"/>
        <c:noMultiLvlLbl val="0"/>
      </c:catAx>
      <c:valAx>
        <c:axId val="699875712"/>
        <c:scaling>
          <c:orientation val="minMax"/>
        </c:scaling>
        <c:delete val="0"/>
        <c:axPos val="l"/>
        <c:numFmt formatCode="#,##0.000" sourceLinked="1"/>
        <c:majorTickMark val="out"/>
        <c:minorTickMark val="none"/>
        <c:tickLblPos val="nextTo"/>
        <c:crossAx val="699857536"/>
        <c:crosses val="autoZero"/>
        <c:crossBetween val="between"/>
      </c:valAx>
    </c:plotArea>
    <c:plotVisOnly val="1"/>
    <c:dispBlanksAs val="gap"/>
    <c:showDLblsOverMax val="0"/>
  </c:chart>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l">
              <a:defRPr/>
            </a:pPr>
            <a:r>
              <a:rPr lang="sk-SK" sz="1050" i="1" baseline="0"/>
              <a:t>Subscenár B: 5. až 9. rok prevádzky</a:t>
            </a:r>
            <a:endParaRPr lang="en-US" sz="1050" i="1"/>
          </a:p>
        </c:rich>
      </c:tx>
      <c:layout>
        <c:manualLayout>
          <c:xMode val="edge"/>
          <c:yMode val="edge"/>
          <c:x val="9.0571205007824746E-5"/>
          <c:y val="4.6071029959493933E-3"/>
        </c:manualLayout>
      </c:layout>
      <c:overlay val="0"/>
    </c:title>
    <c:autoTitleDeleted val="0"/>
    <c:plotArea>
      <c:layout>
        <c:manualLayout>
          <c:layoutTarget val="inner"/>
          <c:xMode val="edge"/>
          <c:yMode val="edge"/>
          <c:x val="0.12107262663172209"/>
          <c:y val="0.29364397478206061"/>
          <c:w val="0.8038603745941848"/>
          <c:h val="0.55013985633763673"/>
        </c:manualLayout>
      </c:layout>
      <c:barChart>
        <c:barDir val="col"/>
        <c:grouping val="clustered"/>
        <c:varyColors val="0"/>
        <c:ser>
          <c:idx val="0"/>
          <c:order val="0"/>
          <c:tx>
            <c:strRef>
              <c:f>List1!$AB$110</c:f>
              <c:strCache>
                <c:ptCount val="1"/>
                <c:pt idx="0">
                  <c:v>5. - 9. rok</c:v>
                </c:pt>
              </c:strCache>
            </c:strRef>
          </c:tx>
          <c:invertIfNegative val="0"/>
          <c:dPt>
            <c:idx val="0"/>
            <c:invertIfNegative val="0"/>
            <c:bubble3D val="0"/>
            <c:spPr>
              <a:solidFill>
                <a:srgbClr val="C00000"/>
              </a:solidFill>
            </c:spPr>
            <c:extLst>
              <c:ext xmlns:c16="http://schemas.microsoft.com/office/drawing/2014/chart" uri="{C3380CC4-5D6E-409C-BE32-E72D297353CC}">
                <c16:uniqueId val="{00000001-FC12-4B2B-8DAA-3E1D6D18B40A}"/>
              </c:ext>
            </c:extLst>
          </c:dPt>
          <c:dPt>
            <c:idx val="1"/>
            <c:invertIfNegative val="0"/>
            <c:bubble3D val="0"/>
            <c:spPr>
              <a:solidFill>
                <a:srgbClr val="C00000"/>
              </a:solidFill>
            </c:spPr>
            <c:extLst>
              <c:ext xmlns:c16="http://schemas.microsoft.com/office/drawing/2014/chart" uri="{C3380CC4-5D6E-409C-BE32-E72D297353CC}">
                <c16:uniqueId val="{00000003-FC12-4B2B-8DAA-3E1D6D18B40A}"/>
              </c:ext>
            </c:extLst>
          </c:dPt>
          <c:dPt>
            <c:idx val="2"/>
            <c:invertIfNegative val="0"/>
            <c:bubble3D val="0"/>
            <c:spPr>
              <a:solidFill>
                <a:srgbClr val="FFC000"/>
              </a:solidFill>
            </c:spPr>
            <c:extLst>
              <c:ext xmlns:c16="http://schemas.microsoft.com/office/drawing/2014/chart" uri="{C3380CC4-5D6E-409C-BE32-E72D297353CC}">
                <c16:uniqueId val="{00000005-FC12-4B2B-8DAA-3E1D6D18B40A}"/>
              </c:ext>
            </c:extLst>
          </c:dPt>
          <c:dPt>
            <c:idx val="3"/>
            <c:invertIfNegative val="0"/>
            <c:bubble3D val="0"/>
            <c:spPr>
              <a:solidFill>
                <a:schemeClr val="tx2"/>
              </a:solidFill>
            </c:spPr>
            <c:extLst>
              <c:ext xmlns:c16="http://schemas.microsoft.com/office/drawing/2014/chart" uri="{C3380CC4-5D6E-409C-BE32-E72D297353CC}">
                <c16:uniqueId val="{00000007-FC12-4B2B-8DAA-3E1D6D18B40A}"/>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9-FC12-4B2B-8DAA-3E1D6D18B40A}"/>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B-FC12-4B2B-8DAA-3E1D6D18B40A}"/>
              </c:ext>
            </c:extLst>
          </c:dPt>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List1!$AC$108:$AH$108</c:f>
              <c:strCache>
                <c:ptCount val="6"/>
                <c:pt idx="0">
                  <c:v>SR (SkyToll)</c:v>
                </c:pt>
                <c:pt idx="1">
                  <c:v>SR (NDS)</c:v>
                </c:pt>
                <c:pt idx="2">
                  <c:v>DE</c:v>
                </c:pt>
                <c:pt idx="3">
                  <c:v>ČR</c:v>
                </c:pt>
                <c:pt idx="4">
                  <c:v>AU</c:v>
                </c:pt>
                <c:pt idx="5">
                  <c:v>PL</c:v>
                </c:pt>
              </c:strCache>
            </c:strRef>
          </c:cat>
          <c:val>
            <c:numRef>
              <c:f>List1!$AC$110:$AH$110</c:f>
              <c:numCache>
                <c:formatCode>#,##0.000</c:formatCode>
                <c:ptCount val="6"/>
                <c:pt idx="0">
                  <c:v>5.6346430637448153E-2</c:v>
                </c:pt>
                <c:pt idx="1">
                  <c:v>7.6669176780325227E-2</c:v>
                </c:pt>
                <c:pt idx="2">
                  <c:v>2.0531978419234289E-2</c:v>
                </c:pt>
                <c:pt idx="3">
                  <c:v>3.5250994884732031E-2</c:v>
                </c:pt>
                <c:pt idx="4">
                  <c:v>4.0418087675681814E-2</c:v>
                </c:pt>
                <c:pt idx="5">
                  <c:v>1.5752415666327148E-2</c:v>
                </c:pt>
              </c:numCache>
            </c:numRef>
          </c:val>
          <c:extLst>
            <c:ext xmlns:c16="http://schemas.microsoft.com/office/drawing/2014/chart" uri="{C3380CC4-5D6E-409C-BE32-E72D297353CC}">
              <c16:uniqueId val="{0000000C-FC12-4B2B-8DAA-3E1D6D18B40A}"/>
            </c:ext>
          </c:extLst>
        </c:ser>
        <c:dLbls>
          <c:showLegendKey val="0"/>
          <c:showVal val="0"/>
          <c:showCatName val="0"/>
          <c:showSerName val="0"/>
          <c:showPercent val="0"/>
          <c:showBubbleSize val="0"/>
        </c:dLbls>
        <c:gapWidth val="150"/>
        <c:axId val="699896960"/>
        <c:axId val="699898496"/>
      </c:barChart>
      <c:catAx>
        <c:axId val="699896960"/>
        <c:scaling>
          <c:orientation val="minMax"/>
        </c:scaling>
        <c:delete val="0"/>
        <c:axPos val="b"/>
        <c:numFmt formatCode="General" sourceLinked="0"/>
        <c:majorTickMark val="out"/>
        <c:minorTickMark val="none"/>
        <c:tickLblPos val="nextTo"/>
        <c:crossAx val="699898496"/>
        <c:crosses val="autoZero"/>
        <c:auto val="1"/>
        <c:lblAlgn val="ctr"/>
        <c:lblOffset val="100"/>
        <c:noMultiLvlLbl val="0"/>
      </c:catAx>
      <c:valAx>
        <c:axId val="699898496"/>
        <c:scaling>
          <c:orientation val="minMax"/>
        </c:scaling>
        <c:delete val="0"/>
        <c:axPos val="l"/>
        <c:numFmt formatCode="#,##0.000" sourceLinked="1"/>
        <c:majorTickMark val="out"/>
        <c:minorTickMark val="none"/>
        <c:tickLblPos val="nextTo"/>
        <c:crossAx val="699896960"/>
        <c:crosses val="autoZero"/>
        <c:crossBetween val="between"/>
      </c:valAx>
    </c:plotArea>
    <c:plotVisOnly val="1"/>
    <c:dispBlanksAs val="gap"/>
    <c:showDLblsOverMax val="0"/>
  </c:chart>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sk-SK" sz="1100"/>
              <a:t>Prepočítané (2009) tržby z mýta 2010 - 2022 (mil. €)</a:t>
            </a:r>
          </a:p>
        </c:rich>
      </c:tx>
      <c:layout>
        <c:manualLayout>
          <c:xMode val="edge"/>
          <c:yMode val="edge"/>
          <c:x val="0.25035410318059442"/>
          <c:y val="1.2299145299145301E-3"/>
        </c:manualLayout>
      </c:layout>
      <c:overlay val="0"/>
    </c:title>
    <c:autoTitleDeleted val="0"/>
    <c:plotArea>
      <c:layout>
        <c:manualLayout>
          <c:layoutTarget val="inner"/>
          <c:xMode val="edge"/>
          <c:yMode val="edge"/>
          <c:x val="6.5742437932963887E-2"/>
          <c:y val="9.9534234521263601E-2"/>
          <c:w val="0.91319757148896952"/>
          <c:h val="0.70769444444444762"/>
        </c:manualLayout>
      </c:layout>
      <c:barChart>
        <c:barDir val="col"/>
        <c:grouping val="clustered"/>
        <c:varyColors val="0"/>
        <c:ser>
          <c:idx val="2"/>
          <c:order val="0"/>
          <c:tx>
            <c:strRef>
              <c:f>Hárok5!$A$33</c:f>
              <c:strCache>
                <c:ptCount val="1"/>
                <c:pt idx="0">
                  <c:v>Tržby z D+R</c:v>
                </c:pt>
              </c:strCache>
            </c:strRef>
          </c:tx>
          <c:spPr>
            <a:solidFill>
              <a:srgbClr val="C00000"/>
            </a:solidFill>
          </c:spPr>
          <c:invertIfNegative val="0"/>
          <c:dPt>
            <c:idx val="9"/>
            <c:invertIfNegative val="0"/>
            <c:bubble3D val="0"/>
            <c:spPr>
              <a:solidFill>
                <a:srgbClr val="C00000">
                  <a:alpha val="60000"/>
                </a:srgbClr>
              </a:solidFill>
            </c:spPr>
            <c:extLst>
              <c:ext xmlns:c16="http://schemas.microsoft.com/office/drawing/2014/chart" uri="{C3380CC4-5D6E-409C-BE32-E72D297353CC}">
                <c16:uniqueId val="{00000001-2C59-47F1-9E60-64317624D457}"/>
              </c:ext>
            </c:extLst>
          </c:dPt>
          <c:dPt>
            <c:idx val="10"/>
            <c:invertIfNegative val="0"/>
            <c:bubble3D val="0"/>
            <c:spPr>
              <a:solidFill>
                <a:srgbClr val="C00000">
                  <a:alpha val="60000"/>
                </a:srgbClr>
              </a:solidFill>
            </c:spPr>
            <c:extLst>
              <c:ext xmlns:c16="http://schemas.microsoft.com/office/drawing/2014/chart" uri="{C3380CC4-5D6E-409C-BE32-E72D297353CC}">
                <c16:uniqueId val="{00000003-2C59-47F1-9E60-64317624D457}"/>
              </c:ext>
            </c:extLst>
          </c:dPt>
          <c:dPt>
            <c:idx val="11"/>
            <c:invertIfNegative val="0"/>
            <c:bubble3D val="0"/>
            <c:spPr>
              <a:solidFill>
                <a:srgbClr val="C00000">
                  <a:alpha val="60000"/>
                </a:srgbClr>
              </a:solidFill>
            </c:spPr>
            <c:extLst>
              <c:ext xmlns:c16="http://schemas.microsoft.com/office/drawing/2014/chart" uri="{C3380CC4-5D6E-409C-BE32-E72D297353CC}">
                <c16:uniqueId val="{00000005-2C59-47F1-9E60-64317624D457}"/>
              </c:ext>
            </c:extLst>
          </c:dPt>
          <c:dPt>
            <c:idx val="12"/>
            <c:invertIfNegative val="0"/>
            <c:bubble3D val="0"/>
            <c:spPr>
              <a:solidFill>
                <a:srgbClr val="C00000">
                  <a:alpha val="60000"/>
                </a:srgbClr>
              </a:solidFill>
            </c:spPr>
            <c:extLst>
              <c:ext xmlns:c16="http://schemas.microsoft.com/office/drawing/2014/chart" uri="{C3380CC4-5D6E-409C-BE32-E72D297353CC}">
                <c16:uniqueId val="{00000007-2C59-47F1-9E60-64317624D457}"/>
              </c:ext>
            </c:extLst>
          </c:dPt>
          <c:dLbls>
            <c:numFmt formatCode="#,##0" sourceLinked="0"/>
            <c:spPr>
              <a:noFill/>
              <a:ln>
                <a:noFill/>
              </a:ln>
              <a:effectLst/>
            </c:spPr>
            <c:txPr>
              <a:bodyPr rot="0" vert="horz"/>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Hárok5!$B$32:$N$32</c:f>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f>Hárok5!$B$33:$N$33</c:f>
              <c:numCache>
                <c:formatCode>General</c:formatCode>
                <c:ptCount val="13"/>
                <c:pt idx="0">
                  <c:v>89</c:v>
                </c:pt>
                <c:pt idx="1">
                  <c:v>99</c:v>
                </c:pt>
                <c:pt idx="2">
                  <c:v>112</c:v>
                </c:pt>
                <c:pt idx="3">
                  <c:v>115</c:v>
                </c:pt>
                <c:pt idx="4">
                  <c:v>121</c:v>
                </c:pt>
                <c:pt idx="5">
                  <c:v>133</c:v>
                </c:pt>
                <c:pt idx="6">
                  <c:v>148</c:v>
                </c:pt>
                <c:pt idx="7">
                  <c:v>161</c:v>
                </c:pt>
                <c:pt idx="8">
                  <c:v>196</c:v>
                </c:pt>
                <c:pt idx="9">
                  <c:v>255</c:v>
                </c:pt>
                <c:pt idx="10">
                  <c:v>286</c:v>
                </c:pt>
                <c:pt idx="11">
                  <c:v>338</c:v>
                </c:pt>
                <c:pt idx="12">
                  <c:v>356</c:v>
                </c:pt>
              </c:numCache>
            </c:numRef>
          </c:val>
          <c:extLst>
            <c:ext xmlns:c16="http://schemas.microsoft.com/office/drawing/2014/chart" uri="{C3380CC4-5D6E-409C-BE32-E72D297353CC}">
              <c16:uniqueId val="{00000008-2C59-47F1-9E60-64317624D457}"/>
            </c:ext>
          </c:extLst>
        </c:ser>
        <c:ser>
          <c:idx val="0"/>
          <c:order val="1"/>
          <c:tx>
            <c:strRef>
              <c:f>Hárok5!$A$34</c:f>
              <c:strCache>
                <c:ptCount val="1"/>
                <c:pt idx="0">
                  <c:v>Tržby z ciest I. triedy</c:v>
                </c:pt>
              </c:strCache>
            </c:strRef>
          </c:tx>
          <c:spPr>
            <a:solidFill>
              <a:schemeClr val="accent5">
                <a:lumMod val="75000"/>
              </a:schemeClr>
            </a:solidFill>
          </c:spPr>
          <c:invertIfNegative val="0"/>
          <c:dPt>
            <c:idx val="9"/>
            <c:invertIfNegative val="0"/>
            <c:bubble3D val="0"/>
            <c:spPr>
              <a:solidFill>
                <a:srgbClr val="4BACC6">
                  <a:lumMod val="75000"/>
                  <a:alpha val="60000"/>
                </a:srgbClr>
              </a:solidFill>
            </c:spPr>
            <c:extLst>
              <c:ext xmlns:c16="http://schemas.microsoft.com/office/drawing/2014/chart" uri="{C3380CC4-5D6E-409C-BE32-E72D297353CC}">
                <c16:uniqueId val="{0000000A-2C59-47F1-9E60-64317624D457}"/>
              </c:ext>
            </c:extLst>
          </c:dPt>
          <c:dPt>
            <c:idx val="10"/>
            <c:invertIfNegative val="0"/>
            <c:bubble3D val="0"/>
            <c:spPr>
              <a:solidFill>
                <a:srgbClr val="4BACC6">
                  <a:lumMod val="75000"/>
                  <a:alpha val="60000"/>
                </a:srgbClr>
              </a:solidFill>
            </c:spPr>
            <c:extLst>
              <c:ext xmlns:c16="http://schemas.microsoft.com/office/drawing/2014/chart" uri="{C3380CC4-5D6E-409C-BE32-E72D297353CC}">
                <c16:uniqueId val="{0000000C-2C59-47F1-9E60-64317624D457}"/>
              </c:ext>
            </c:extLst>
          </c:dPt>
          <c:dPt>
            <c:idx val="11"/>
            <c:invertIfNegative val="0"/>
            <c:bubble3D val="0"/>
            <c:spPr>
              <a:solidFill>
                <a:srgbClr val="4BACC6">
                  <a:lumMod val="75000"/>
                  <a:alpha val="60000"/>
                </a:srgbClr>
              </a:solidFill>
            </c:spPr>
            <c:extLst>
              <c:ext xmlns:c16="http://schemas.microsoft.com/office/drawing/2014/chart" uri="{C3380CC4-5D6E-409C-BE32-E72D297353CC}">
                <c16:uniqueId val="{0000000E-2C59-47F1-9E60-64317624D457}"/>
              </c:ext>
            </c:extLst>
          </c:dPt>
          <c:dPt>
            <c:idx val="12"/>
            <c:invertIfNegative val="0"/>
            <c:bubble3D val="0"/>
            <c:spPr>
              <a:solidFill>
                <a:srgbClr val="4BACC6">
                  <a:lumMod val="75000"/>
                  <a:alpha val="60000"/>
                </a:srgbClr>
              </a:solidFill>
            </c:spPr>
            <c:extLst>
              <c:ext xmlns:c16="http://schemas.microsoft.com/office/drawing/2014/chart" uri="{C3380CC4-5D6E-409C-BE32-E72D297353CC}">
                <c16:uniqueId val="{00000010-2C59-47F1-9E60-64317624D457}"/>
              </c:ext>
            </c:extLst>
          </c:dPt>
          <c:dLbls>
            <c:spPr>
              <a:noFill/>
              <a:ln>
                <a:noFill/>
              </a:ln>
              <a:effectLst/>
            </c:spPr>
            <c:txPr>
              <a:bodyPr rot="0" vert="horz"/>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Hárok5!$B$32:$N$32</c:f>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f>Hárok5!$B$34:$N$34</c:f>
              <c:numCache>
                <c:formatCode>General</c:formatCode>
                <c:ptCount val="13"/>
                <c:pt idx="0">
                  <c:v>64</c:v>
                </c:pt>
                <c:pt idx="1">
                  <c:v>66</c:v>
                </c:pt>
                <c:pt idx="2">
                  <c:v>68</c:v>
                </c:pt>
                <c:pt idx="3">
                  <c:v>69</c:v>
                </c:pt>
                <c:pt idx="4">
                  <c:v>71</c:v>
                </c:pt>
                <c:pt idx="5">
                  <c:v>73</c:v>
                </c:pt>
                <c:pt idx="6">
                  <c:v>75</c:v>
                </c:pt>
                <c:pt idx="7">
                  <c:v>77</c:v>
                </c:pt>
                <c:pt idx="8">
                  <c:v>79</c:v>
                </c:pt>
                <c:pt idx="9">
                  <c:v>81</c:v>
                </c:pt>
                <c:pt idx="10">
                  <c:v>84</c:v>
                </c:pt>
                <c:pt idx="11">
                  <c:v>85</c:v>
                </c:pt>
                <c:pt idx="12">
                  <c:v>87</c:v>
                </c:pt>
              </c:numCache>
            </c:numRef>
          </c:val>
          <c:extLst>
            <c:ext xmlns:c16="http://schemas.microsoft.com/office/drawing/2014/chart" uri="{C3380CC4-5D6E-409C-BE32-E72D297353CC}">
              <c16:uniqueId val="{00000011-2C59-47F1-9E60-64317624D457}"/>
            </c:ext>
          </c:extLst>
        </c:ser>
        <c:dLbls>
          <c:showLegendKey val="0"/>
          <c:showVal val="0"/>
          <c:showCatName val="0"/>
          <c:showSerName val="0"/>
          <c:showPercent val="0"/>
          <c:showBubbleSize val="0"/>
        </c:dLbls>
        <c:gapWidth val="48"/>
        <c:axId val="700018688"/>
        <c:axId val="700020224"/>
      </c:barChart>
      <c:catAx>
        <c:axId val="700018688"/>
        <c:scaling>
          <c:orientation val="minMax"/>
        </c:scaling>
        <c:delete val="0"/>
        <c:axPos val="b"/>
        <c:numFmt formatCode="General" sourceLinked="1"/>
        <c:majorTickMark val="out"/>
        <c:minorTickMark val="none"/>
        <c:tickLblPos val="nextTo"/>
        <c:txPr>
          <a:bodyPr/>
          <a:lstStyle/>
          <a:p>
            <a:pPr>
              <a:defRPr sz="900"/>
            </a:pPr>
            <a:endParaRPr lang="sk-SK"/>
          </a:p>
        </c:txPr>
        <c:crossAx val="700020224"/>
        <c:crosses val="autoZero"/>
        <c:auto val="1"/>
        <c:lblAlgn val="ctr"/>
        <c:lblOffset val="100"/>
        <c:noMultiLvlLbl val="0"/>
      </c:catAx>
      <c:valAx>
        <c:axId val="700020224"/>
        <c:scaling>
          <c:orientation val="minMax"/>
        </c:scaling>
        <c:delete val="0"/>
        <c:axPos val="l"/>
        <c:numFmt formatCode="0" sourceLinked="0"/>
        <c:majorTickMark val="out"/>
        <c:minorTickMark val="none"/>
        <c:tickLblPos val="nextTo"/>
        <c:txPr>
          <a:bodyPr/>
          <a:lstStyle/>
          <a:p>
            <a:pPr>
              <a:defRPr sz="900"/>
            </a:pPr>
            <a:endParaRPr lang="sk-SK"/>
          </a:p>
        </c:txPr>
        <c:crossAx val="700018688"/>
        <c:crosses val="autoZero"/>
        <c:crossBetween val="between"/>
      </c:valAx>
      <c:spPr>
        <a:noFill/>
        <a:ln w="25400">
          <a:noFill/>
        </a:ln>
      </c:spPr>
    </c:plotArea>
    <c:legend>
      <c:legendPos val="b"/>
      <c:layout>
        <c:manualLayout>
          <c:xMode val="edge"/>
          <c:yMode val="edge"/>
          <c:x val="0.31184968691140885"/>
          <c:y val="0.92543618299913566"/>
          <c:w val="0.35000886278311588"/>
          <c:h val="7.456388888888893E-2"/>
        </c:manualLayout>
      </c:layout>
      <c:overlay val="0"/>
      <c:txPr>
        <a:bodyPr/>
        <a:lstStyle/>
        <a:p>
          <a:pPr>
            <a:defRPr sz="900"/>
          </a:pPr>
          <a:endParaRPr lang="sk-SK"/>
        </a:p>
      </c:txPr>
    </c:legend>
    <c:plotVisOnly val="1"/>
    <c:dispBlanksAs val="gap"/>
    <c:showDLblsOverMax val="0"/>
  </c:chart>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t>Skutočné </a:t>
            </a:r>
            <a:r>
              <a:rPr lang="sk-SK" sz="1100"/>
              <a:t>tržby z mýta 2010 - 2018</a:t>
            </a:r>
            <a:r>
              <a:rPr lang="sk-SK" sz="1100" baseline="0"/>
              <a:t>  (mil. €)</a:t>
            </a:r>
            <a:endParaRPr lang="en-US" sz="1100"/>
          </a:p>
        </c:rich>
      </c:tx>
      <c:layout>
        <c:manualLayout>
          <c:xMode val="edge"/>
          <c:yMode val="edge"/>
          <c:x val="0.28454040860391705"/>
          <c:y val="1.2084595978018101E-2"/>
        </c:manualLayout>
      </c:layout>
      <c:overlay val="0"/>
    </c:title>
    <c:autoTitleDeleted val="0"/>
    <c:plotArea>
      <c:layout>
        <c:manualLayout>
          <c:layoutTarget val="inner"/>
          <c:xMode val="edge"/>
          <c:yMode val="edge"/>
          <c:x val="5.9329995687967763E-2"/>
          <c:y val="0.13209829059829176"/>
          <c:w val="0.91107552721410978"/>
          <c:h val="0.67811239316239313"/>
        </c:manualLayout>
      </c:layout>
      <c:barChart>
        <c:barDir val="col"/>
        <c:grouping val="clustered"/>
        <c:varyColors val="0"/>
        <c:ser>
          <c:idx val="2"/>
          <c:order val="0"/>
          <c:tx>
            <c:strRef>
              <c:f>Hárok5!$A$2</c:f>
              <c:strCache>
                <c:ptCount val="1"/>
                <c:pt idx="0">
                  <c:v>Tržby z D+R</c:v>
                </c:pt>
              </c:strCache>
            </c:strRef>
          </c:tx>
          <c:spPr>
            <a:solidFill>
              <a:srgbClr val="C00000"/>
            </a:solidFill>
          </c:spPr>
          <c:invertIfNegative val="0"/>
          <c:dLbls>
            <c:spPr>
              <a:noFill/>
              <a:ln>
                <a:noFill/>
              </a:ln>
              <a:effectLst/>
            </c:spPr>
            <c:txPr>
              <a:bodyPr rot="0" vert="horz"/>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(Hárok5!$B$1,Hárok5!$C$1,Hárok5!$E$1,Hárok5!$G$1,Hárok5!$I$1,Hárok5!$K$1,Hárok5!$M$1,Hárok5!$O$1,Hárok5!$Q$1)</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(Hárok5!$B$6,Hárok5!$C$6,Hárok5!$E$6,Hárok5!$G$6,Hárok5!$I$6,Hárok5!$K$6,Hárok5!$M$6,Hárok5!$O$6,Hárok5!$Q$6)</c:f>
              <c:numCache>
                <c:formatCode>0</c:formatCode>
                <c:ptCount val="9"/>
                <c:pt idx="0">
                  <c:v>91.7</c:v>
                </c:pt>
                <c:pt idx="1">
                  <c:v>98.67992293999967</c:v>
                </c:pt>
                <c:pt idx="2">
                  <c:v>88.859276059999758</c:v>
                </c:pt>
                <c:pt idx="3">
                  <c:v>104.94969964000062</c:v>
                </c:pt>
                <c:pt idx="4">
                  <c:v>113.55819959999998</c:v>
                </c:pt>
                <c:pt idx="5">
                  <c:v>119.59369335000009</c:v>
                </c:pt>
                <c:pt idx="6">
                  <c:v>128.10864333000001</c:v>
                </c:pt>
                <c:pt idx="7">
                  <c:v>134.84992805000007</c:v>
                </c:pt>
                <c:pt idx="8">
                  <c:v>144.82260200000007</c:v>
                </c:pt>
              </c:numCache>
            </c:numRef>
          </c:val>
          <c:extLst>
            <c:ext xmlns:c16="http://schemas.microsoft.com/office/drawing/2014/chart" uri="{C3380CC4-5D6E-409C-BE32-E72D297353CC}">
              <c16:uniqueId val="{00000000-C87A-44DA-9497-782442F3F8DE}"/>
            </c:ext>
          </c:extLst>
        </c:ser>
        <c:ser>
          <c:idx val="0"/>
          <c:order val="1"/>
          <c:tx>
            <c:strRef>
              <c:f>Hárok5!$A$3</c:f>
              <c:strCache>
                <c:ptCount val="1"/>
                <c:pt idx="0">
                  <c:v>Tržby z ciest I. triedy</c:v>
                </c:pt>
              </c:strCache>
            </c:strRef>
          </c:tx>
          <c:spPr>
            <a:solidFill>
              <a:schemeClr val="accent5">
                <a:lumMod val="75000"/>
              </a:schemeClr>
            </a:solidFill>
          </c:spPr>
          <c:invertIfNegative val="0"/>
          <c:dLbls>
            <c:spPr>
              <a:noFill/>
              <a:ln>
                <a:noFill/>
              </a:ln>
              <a:effectLst/>
            </c:spPr>
            <c:txPr>
              <a:bodyPr rot="0" vert="horz"/>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(Hárok5!$B$1,Hárok5!$C$1,Hárok5!$E$1,Hárok5!$G$1,Hárok5!$I$1,Hárok5!$K$1,Hárok5!$M$1,Hárok5!$O$1,Hárok5!$Q$1)</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(Hárok5!$B$7,Hárok5!$C$7,Hárok5!$E$7,Hárok5!$G$7,Hárok5!$I$7,Hárok5!$K$7,Hárok5!$M$7,Hárok5!$O$7,Hárok5!$Q$7)</c:f>
              <c:numCache>
                <c:formatCode>0</c:formatCode>
                <c:ptCount val="9"/>
                <c:pt idx="0">
                  <c:v>49.8</c:v>
                </c:pt>
                <c:pt idx="1">
                  <c:v>55.188566130000012</c:v>
                </c:pt>
                <c:pt idx="2">
                  <c:v>66.662575480000001</c:v>
                </c:pt>
                <c:pt idx="3">
                  <c:v>53.945000709999988</c:v>
                </c:pt>
                <c:pt idx="4">
                  <c:v>69.735691330000009</c:v>
                </c:pt>
                <c:pt idx="5">
                  <c:v>67.794310119999949</c:v>
                </c:pt>
                <c:pt idx="6">
                  <c:v>65.159826070000008</c:v>
                </c:pt>
                <c:pt idx="7">
                  <c:v>66.228487099999597</c:v>
                </c:pt>
                <c:pt idx="8">
                  <c:v>68.553491099999988</c:v>
                </c:pt>
              </c:numCache>
            </c:numRef>
          </c:val>
          <c:extLst>
            <c:ext xmlns:c16="http://schemas.microsoft.com/office/drawing/2014/chart" uri="{C3380CC4-5D6E-409C-BE32-E72D297353CC}">
              <c16:uniqueId val="{00000001-C87A-44DA-9497-782442F3F8DE}"/>
            </c:ext>
          </c:extLst>
        </c:ser>
        <c:dLbls>
          <c:showLegendKey val="0"/>
          <c:showVal val="0"/>
          <c:showCatName val="0"/>
          <c:showSerName val="0"/>
          <c:showPercent val="0"/>
          <c:showBubbleSize val="0"/>
        </c:dLbls>
        <c:gapWidth val="48"/>
        <c:axId val="700190080"/>
        <c:axId val="700191872"/>
      </c:barChart>
      <c:catAx>
        <c:axId val="700190080"/>
        <c:scaling>
          <c:orientation val="minMax"/>
        </c:scaling>
        <c:delete val="0"/>
        <c:axPos val="b"/>
        <c:numFmt formatCode="General" sourceLinked="1"/>
        <c:majorTickMark val="out"/>
        <c:minorTickMark val="none"/>
        <c:tickLblPos val="nextTo"/>
        <c:txPr>
          <a:bodyPr/>
          <a:lstStyle/>
          <a:p>
            <a:pPr>
              <a:defRPr sz="900"/>
            </a:pPr>
            <a:endParaRPr lang="sk-SK"/>
          </a:p>
        </c:txPr>
        <c:crossAx val="700191872"/>
        <c:crosses val="autoZero"/>
        <c:auto val="1"/>
        <c:lblAlgn val="ctr"/>
        <c:lblOffset val="100"/>
        <c:noMultiLvlLbl val="0"/>
      </c:catAx>
      <c:valAx>
        <c:axId val="700191872"/>
        <c:scaling>
          <c:orientation val="minMax"/>
          <c:max val="400"/>
        </c:scaling>
        <c:delete val="0"/>
        <c:axPos val="l"/>
        <c:numFmt formatCode="0" sourceLinked="0"/>
        <c:majorTickMark val="out"/>
        <c:minorTickMark val="none"/>
        <c:tickLblPos val="nextTo"/>
        <c:txPr>
          <a:bodyPr/>
          <a:lstStyle/>
          <a:p>
            <a:pPr>
              <a:defRPr sz="900"/>
            </a:pPr>
            <a:endParaRPr lang="sk-SK"/>
          </a:p>
        </c:txPr>
        <c:crossAx val="700190080"/>
        <c:crosses val="autoZero"/>
        <c:crossBetween val="between"/>
      </c:valAx>
      <c:spPr>
        <a:noFill/>
        <a:ln w="25400">
          <a:noFill/>
        </a:ln>
      </c:spPr>
    </c:plotArea>
    <c:legend>
      <c:legendPos val="b"/>
      <c:layout>
        <c:manualLayout>
          <c:xMode val="edge"/>
          <c:yMode val="edge"/>
          <c:x val="0.31184968691140874"/>
          <c:y val="0.92543618299913577"/>
          <c:w val="0.35015829553486494"/>
          <c:h val="7.456388888888893E-2"/>
        </c:manualLayout>
      </c:layout>
      <c:overlay val="0"/>
      <c:txPr>
        <a:bodyPr/>
        <a:lstStyle/>
        <a:p>
          <a:pPr>
            <a:defRPr sz="900"/>
          </a:pPr>
          <a:endParaRPr lang="sk-SK"/>
        </a:p>
      </c:txPr>
    </c:legend>
    <c:plotVisOnly val="1"/>
    <c:dispBlanksAs val="gap"/>
    <c:showDLblsOverMax val="0"/>
  </c:chart>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sk-SK" sz="1100"/>
              <a:t>Plánovaná a skutočná </a:t>
            </a:r>
            <a:r>
              <a:rPr lang="sk-SK" sz="1100" baseline="0"/>
              <a:t>(2009, 2011) dĺžka disponibilnej siete D a RC (km)</a:t>
            </a:r>
            <a:endParaRPr lang="sk-SK" sz="1100"/>
          </a:p>
        </c:rich>
      </c:tx>
      <c:layout>
        <c:manualLayout>
          <c:xMode val="edge"/>
          <c:yMode val="edge"/>
          <c:x val="0.13368401608394065"/>
          <c:y val="5.2429619974572392E-2"/>
        </c:manualLayout>
      </c:layout>
      <c:overlay val="0"/>
    </c:title>
    <c:autoTitleDeleted val="0"/>
    <c:plotArea>
      <c:layout/>
      <c:barChart>
        <c:barDir val="col"/>
        <c:grouping val="clustered"/>
        <c:varyColors val="0"/>
        <c:ser>
          <c:idx val="0"/>
          <c:order val="0"/>
          <c:tx>
            <c:strRef>
              <c:f>'plán dispo siete'!$A$20</c:f>
              <c:strCache>
                <c:ptCount val="1"/>
                <c:pt idx="0">
                  <c:v>skutočnosť</c:v>
                </c:pt>
              </c:strCache>
            </c:strRef>
          </c:tx>
          <c:spPr>
            <a:solidFill>
              <a:srgbClr val="C00000"/>
            </a:solidFill>
          </c:spPr>
          <c:invertIfNegative val="0"/>
          <c:dLbls>
            <c:spPr>
              <a:noFill/>
              <a:ln>
                <a:noFill/>
              </a:ln>
              <a:effectLst/>
            </c:spPr>
            <c:txPr>
              <a:bodyPr rot="0" vert="horz"/>
              <a:lstStyle/>
              <a:p>
                <a:pPr>
                  <a:defRPr sz="800" b="1"/>
                </a:pPr>
                <a:endParaRPr lang="sk-S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'plán dispo siete'!$B$19:$J$19</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'plán dispo siete'!$B$20:$J$20</c:f>
              <c:numCache>
                <c:formatCode>0</c:formatCode>
                <c:ptCount val="9"/>
                <c:pt idx="0">
                  <c:v>563.505</c:v>
                </c:pt>
                <c:pt idx="1">
                  <c:v>620.154</c:v>
                </c:pt>
                <c:pt idx="2">
                  <c:v>618.8279999999985</c:v>
                </c:pt>
                <c:pt idx="3">
                  <c:v>633.00300000000004</c:v>
                </c:pt>
                <c:pt idx="4">
                  <c:v>686.226</c:v>
                </c:pt>
                <c:pt idx="5">
                  <c:v>741.22699999999998</c:v>
                </c:pt>
                <c:pt idx="6">
                  <c:v>751.28200000000004</c:v>
                </c:pt>
                <c:pt idx="7">
                  <c:v>778.49599999999998</c:v>
                </c:pt>
                <c:pt idx="8">
                  <c:v>778.27400000000114</c:v>
                </c:pt>
              </c:numCache>
            </c:numRef>
          </c:val>
          <c:extLst>
            <c:ext xmlns:c16="http://schemas.microsoft.com/office/drawing/2014/chart" uri="{C3380CC4-5D6E-409C-BE32-E72D297353CC}">
              <c16:uniqueId val="{00000000-0515-4B83-A5C4-0638771DFC85}"/>
            </c:ext>
          </c:extLst>
        </c:ser>
        <c:ser>
          <c:idx val="1"/>
          <c:order val="1"/>
          <c:tx>
            <c:strRef>
              <c:f>'plán dispo siete'!$A$21</c:f>
              <c:strCache>
                <c:ptCount val="1"/>
                <c:pt idx="0">
                  <c:v>plán 2009</c:v>
                </c:pt>
              </c:strCache>
            </c:strRef>
          </c:tx>
          <c:spPr>
            <a:solidFill>
              <a:srgbClr val="C00000">
                <a:alpha val="43000"/>
              </a:srgbClr>
            </a:solidFill>
          </c:spPr>
          <c:invertIfNegative val="0"/>
          <c:dLbls>
            <c:dLbl>
              <c:idx val="0"/>
              <c:layout>
                <c:manualLayout>
                  <c:x val="0"/>
                  <c:y val="-1.628595573554167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515-4B83-A5C4-0638771DFC85}"/>
                </c:ext>
              </c:extLst>
            </c:dLbl>
            <c:dLbl>
              <c:idx val="1"/>
              <c:layout>
                <c:manualLayout>
                  <c:x val="0"/>
                  <c:y val="-1.627954394194505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515-4B83-A5C4-0638771DFC85}"/>
                </c:ext>
              </c:extLst>
            </c:dLbl>
            <c:spPr>
              <a:noFill/>
              <a:ln>
                <a:noFill/>
              </a:ln>
              <a:effectLst/>
            </c:spPr>
            <c:txPr>
              <a:bodyPr rot="0" vert="horz"/>
              <a:lstStyle/>
              <a:p>
                <a:pPr>
                  <a:defRPr sz="800" b="1"/>
                </a:pPr>
                <a:endParaRPr lang="sk-S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'plán dispo siete'!$B$19:$J$19</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'plán dispo siete'!$B$21:$J$21</c:f>
              <c:numCache>
                <c:formatCode>0</c:formatCode>
                <c:ptCount val="9"/>
                <c:pt idx="0">
                  <c:v>635.0949999999998</c:v>
                </c:pt>
                <c:pt idx="1">
                  <c:v>691.77499999999975</c:v>
                </c:pt>
                <c:pt idx="2">
                  <c:v>795.82499999999948</c:v>
                </c:pt>
                <c:pt idx="3">
                  <c:v>834.24499999999989</c:v>
                </c:pt>
                <c:pt idx="4">
                  <c:v>946.52499999999941</c:v>
                </c:pt>
                <c:pt idx="5">
                  <c:v>994.84499999999946</c:v>
                </c:pt>
                <c:pt idx="6">
                  <c:v>1049.8449999999998</c:v>
                </c:pt>
                <c:pt idx="7">
                  <c:v>1166.7750000000003</c:v>
                </c:pt>
                <c:pt idx="8">
                  <c:v>1334.8050000000001</c:v>
                </c:pt>
              </c:numCache>
            </c:numRef>
          </c:val>
          <c:extLst>
            <c:ext xmlns:c16="http://schemas.microsoft.com/office/drawing/2014/chart" uri="{C3380CC4-5D6E-409C-BE32-E72D297353CC}">
              <c16:uniqueId val="{00000003-0515-4B83-A5C4-0638771DFC85}"/>
            </c:ext>
          </c:extLst>
        </c:ser>
        <c:ser>
          <c:idx val="2"/>
          <c:order val="2"/>
          <c:tx>
            <c:strRef>
              <c:f>'plán dispo siete'!$A$22</c:f>
              <c:strCache>
                <c:ptCount val="1"/>
                <c:pt idx="0">
                  <c:v>plán 2011 (NDS, a.s.)</c:v>
                </c:pt>
              </c:strCache>
            </c:strRef>
          </c:tx>
          <c:spPr>
            <a:solidFill>
              <a:srgbClr val="FFC000"/>
            </a:solidFill>
          </c:spPr>
          <c:invertIfNegative val="0"/>
          <c:dLbls>
            <c:spPr>
              <a:noFill/>
              <a:ln>
                <a:noFill/>
              </a:ln>
              <a:effectLst/>
            </c:spPr>
            <c:txPr>
              <a:bodyPr rot="-5400000" vert="horz"/>
              <a:lstStyle/>
              <a:p>
                <a:pPr>
                  <a:defRPr sz="800" b="1"/>
                </a:pPr>
                <a:endParaRPr lang="sk-SK"/>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'plán dispo siete'!$B$19:$J$19</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'plán dispo siete'!$B$22:$J$22</c:f>
              <c:numCache>
                <c:formatCode>0</c:formatCode>
                <c:ptCount val="9"/>
                <c:pt idx="1">
                  <c:v>623.79999999999995</c:v>
                </c:pt>
                <c:pt idx="2">
                  <c:v>629.5</c:v>
                </c:pt>
                <c:pt idx="3">
                  <c:v>650.5</c:v>
                </c:pt>
                <c:pt idx="4">
                  <c:v>696.7</c:v>
                </c:pt>
                <c:pt idx="5">
                  <c:v>749.40000000000009</c:v>
                </c:pt>
                <c:pt idx="6">
                  <c:v>826.10000000000014</c:v>
                </c:pt>
                <c:pt idx="7">
                  <c:v>949.50000000000011</c:v>
                </c:pt>
                <c:pt idx="8">
                  <c:v>1028.4000000000001</c:v>
                </c:pt>
              </c:numCache>
            </c:numRef>
          </c:val>
          <c:extLst>
            <c:ext xmlns:c16="http://schemas.microsoft.com/office/drawing/2014/chart" uri="{C3380CC4-5D6E-409C-BE32-E72D297353CC}">
              <c16:uniqueId val="{00000004-0515-4B83-A5C4-0638771DFC85}"/>
            </c:ext>
          </c:extLst>
        </c:ser>
        <c:ser>
          <c:idx val="3"/>
          <c:order val="3"/>
          <c:tx>
            <c:strRef>
              <c:f>'plán dispo siete'!$A$23</c:f>
              <c:strCache>
                <c:ptCount val="1"/>
                <c:pt idx="0">
                  <c:v>plán 2011 (MD VRR)</c:v>
                </c:pt>
              </c:strCache>
            </c:strRef>
          </c:tx>
          <c:spPr>
            <a:solidFill>
              <a:schemeClr val="accent6"/>
            </a:solidFill>
          </c:spPr>
          <c:invertIfNegative val="0"/>
          <c:dLbls>
            <c:spPr>
              <a:noFill/>
              <a:ln>
                <a:noFill/>
              </a:ln>
              <a:effectLst/>
            </c:spPr>
            <c:txPr>
              <a:bodyPr rot="-5400000" vert="horz"/>
              <a:lstStyle/>
              <a:p>
                <a:pPr>
                  <a:defRPr sz="800" b="1"/>
                </a:pPr>
                <a:endParaRPr lang="sk-SK"/>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'plán dispo siete'!$B$19:$J$19</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'plán dispo siete'!$B$23:$J$23</c:f>
              <c:numCache>
                <c:formatCode>0</c:formatCode>
                <c:ptCount val="9"/>
                <c:pt idx="1">
                  <c:v>620.349999999999</c:v>
                </c:pt>
                <c:pt idx="2">
                  <c:v>620.349999999999</c:v>
                </c:pt>
                <c:pt idx="3">
                  <c:v>636.15</c:v>
                </c:pt>
                <c:pt idx="4">
                  <c:v>682.349999999999</c:v>
                </c:pt>
                <c:pt idx="5">
                  <c:v>739.88</c:v>
                </c:pt>
                <c:pt idx="6">
                  <c:v>790.02</c:v>
                </c:pt>
                <c:pt idx="7">
                  <c:v>937.85999999999899</c:v>
                </c:pt>
                <c:pt idx="8">
                  <c:v>1180.8399999999999</c:v>
                </c:pt>
              </c:numCache>
            </c:numRef>
          </c:val>
          <c:extLst>
            <c:ext xmlns:c16="http://schemas.microsoft.com/office/drawing/2014/chart" uri="{C3380CC4-5D6E-409C-BE32-E72D297353CC}">
              <c16:uniqueId val="{00000005-0515-4B83-A5C4-0638771DFC85}"/>
            </c:ext>
          </c:extLst>
        </c:ser>
        <c:dLbls>
          <c:showLegendKey val="0"/>
          <c:showVal val="0"/>
          <c:showCatName val="0"/>
          <c:showSerName val="0"/>
          <c:showPercent val="0"/>
          <c:showBubbleSize val="0"/>
        </c:dLbls>
        <c:gapWidth val="150"/>
        <c:axId val="700226560"/>
        <c:axId val="700322560"/>
      </c:barChart>
      <c:catAx>
        <c:axId val="700226560"/>
        <c:scaling>
          <c:orientation val="minMax"/>
        </c:scaling>
        <c:delete val="0"/>
        <c:axPos val="b"/>
        <c:numFmt formatCode="General" sourceLinked="1"/>
        <c:majorTickMark val="out"/>
        <c:minorTickMark val="none"/>
        <c:tickLblPos val="nextTo"/>
        <c:crossAx val="700322560"/>
        <c:crosses val="autoZero"/>
        <c:auto val="1"/>
        <c:lblAlgn val="ctr"/>
        <c:lblOffset val="100"/>
        <c:noMultiLvlLbl val="0"/>
      </c:catAx>
      <c:valAx>
        <c:axId val="700322560"/>
        <c:scaling>
          <c:orientation val="minMax"/>
        </c:scaling>
        <c:delete val="0"/>
        <c:axPos val="l"/>
        <c:numFmt formatCode="0" sourceLinked="1"/>
        <c:majorTickMark val="out"/>
        <c:minorTickMark val="none"/>
        <c:tickLblPos val="nextTo"/>
        <c:crossAx val="700226560"/>
        <c:crosses val="autoZero"/>
        <c:crossBetween val="between"/>
      </c:valAx>
    </c:plotArea>
    <c:legend>
      <c:legendPos val="b"/>
      <c:overlay val="0"/>
    </c:legend>
    <c:plotVisOnly val="1"/>
    <c:dispBlanksAs val="gap"/>
    <c:showDLblsOverMax val="0"/>
  </c:chart>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sk-SK"/>
              <a:t>Plánovaná a skutočná dĺžka spoplatnených úsekov D a RC (km)</a:t>
            </a:r>
          </a:p>
        </c:rich>
      </c:tx>
      <c:overlay val="0"/>
    </c:title>
    <c:autoTitleDeleted val="0"/>
    <c:plotArea>
      <c:layout/>
      <c:barChart>
        <c:barDir val="col"/>
        <c:grouping val="clustered"/>
        <c:varyColors val="0"/>
        <c:ser>
          <c:idx val="0"/>
          <c:order val="0"/>
          <c:tx>
            <c:strRef>
              <c:f>Report!$AC$10</c:f>
              <c:strCache>
                <c:ptCount val="1"/>
                <c:pt idx="0">
                  <c:v>plán 2009 </c:v>
                </c:pt>
              </c:strCache>
            </c:strRef>
          </c:tx>
          <c:spPr>
            <a:solidFill>
              <a:srgbClr val="C00000">
                <a:alpha val="43000"/>
              </a:srgbClr>
            </a:solidFill>
          </c:spPr>
          <c:invertIfNegative val="0"/>
          <c:dLbls>
            <c:dLbl>
              <c:idx val="0"/>
              <c:layout>
                <c:manualLayout>
                  <c:x val="0"/>
                  <c:y val="-1.62859557355416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468-4401-B1F1-03660A04DBCA}"/>
                </c:ext>
              </c:extLst>
            </c:dLbl>
            <c:dLbl>
              <c:idx val="1"/>
              <c:layout>
                <c:manualLayout>
                  <c:x val="0"/>
                  <c:y val="-1.0854816824966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468-4401-B1F1-03660A04DBCA}"/>
                </c:ext>
              </c:extLst>
            </c:dLbl>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Report!$AD$9:$AL$9</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Report!$AD$10:$AL$10</c:f>
              <c:numCache>
                <c:formatCode>0</c:formatCode>
                <c:ptCount val="9"/>
                <c:pt idx="0">
                  <c:v>617.76899999999978</c:v>
                </c:pt>
                <c:pt idx="1">
                  <c:v>674.44899999999939</c:v>
                </c:pt>
                <c:pt idx="2">
                  <c:v>778.49899999999991</c:v>
                </c:pt>
                <c:pt idx="3">
                  <c:v>816.9190000000001</c:v>
                </c:pt>
                <c:pt idx="4">
                  <c:v>929.19899999999984</c:v>
                </c:pt>
                <c:pt idx="5">
                  <c:v>977.51899999999978</c:v>
                </c:pt>
                <c:pt idx="6">
                  <c:v>1032.519</c:v>
                </c:pt>
                <c:pt idx="7">
                  <c:v>1149.4490000000001</c:v>
                </c:pt>
                <c:pt idx="8">
                  <c:v>1317.4790000000003</c:v>
                </c:pt>
              </c:numCache>
            </c:numRef>
          </c:val>
          <c:extLst>
            <c:ext xmlns:c16="http://schemas.microsoft.com/office/drawing/2014/chart" uri="{C3380CC4-5D6E-409C-BE32-E72D297353CC}">
              <c16:uniqueId val="{00000002-9468-4401-B1F1-03660A04DBCA}"/>
            </c:ext>
          </c:extLst>
        </c:ser>
        <c:ser>
          <c:idx val="1"/>
          <c:order val="1"/>
          <c:tx>
            <c:strRef>
              <c:f>Report!$AC$11</c:f>
              <c:strCache>
                <c:ptCount val="1"/>
                <c:pt idx="0">
                  <c:v>skutočnosť</c:v>
                </c:pt>
              </c:strCache>
            </c:strRef>
          </c:tx>
          <c:spPr>
            <a:solidFill>
              <a:srgbClr val="C00000"/>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Report!$AD$9:$AL$9</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Report!$AD$11:$AL$11</c:f>
              <c:numCache>
                <c:formatCode>0</c:formatCode>
                <c:ptCount val="9"/>
                <c:pt idx="0">
                  <c:v>563.505</c:v>
                </c:pt>
                <c:pt idx="1">
                  <c:v>620.154</c:v>
                </c:pt>
                <c:pt idx="2">
                  <c:v>618.8279999999985</c:v>
                </c:pt>
                <c:pt idx="3">
                  <c:v>633.00300000000004</c:v>
                </c:pt>
                <c:pt idx="4">
                  <c:v>633.81299999999885</c:v>
                </c:pt>
                <c:pt idx="5">
                  <c:v>687.73299999999949</c:v>
                </c:pt>
                <c:pt idx="6">
                  <c:v>707.37300000000005</c:v>
                </c:pt>
                <c:pt idx="7">
                  <c:v>735.59799999999996</c:v>
                </c:pt>
                <c:pt idx="8">
                  <c:v>735.59799999999996</c:v>
                </c:pt>
              </c:numCache>
            </c:numRef>
          </c:val>
          <c:extLst>
            <c:ext xmlns:c16="http://schemas.microsoft.com/office/drawing/2014/chart" uri="{C3380CC4-5D6E-409C-BE32-E72D297353CC}">
              <c16:uniqueId val="{00000003-9468-4401-B1F1-03660A04DBCA}"/>
            </c:ext>
          </c:extLst>
        </c:ser>
        <c:dLbls>
          <c:showLegendKey val="0"/>
          <c:showVal val="0"/>
          <c:showCatName val="0"/>
          <c:showSerName val="0"/>
          <c:showPercent val="0"/>
          <c:showBubbleSize val="0"/>
        </c:dLbls>
        <c:gapWidth val="150"/>
        <c:axId val="700358016"/>
        <c:axId val="700363904"/>
      </c:barChart>
      <c:catAx>
        <c:axId val="700358016"/>
        <c:scaling>
          <c:orientation val="minMax"/>
        </c:scaling>
        <c:delete val="0"/>
        <c:axPos val="b"/>
        <c:numFmt formatCode="0" sourceLinked="1"/>
        <c:majorTickMark val="out"/>
        <c:minorTickMark val="none"/>
        <c:tickLblPos val="nextTo"/>
        <c:crossAx val="700363904"/>
        <c:crosses val="autoZero"/>
        <c:auto val="1"/>
        <c:lblAlgn val="ctr"/>
        <c:lblOffset val="100"/>
        <c:noMultiLvlLbl val="0"/>
      </c:catAx>
      <c:valAx>
        <c:axId val="700363904"/>
        <c:scaling>
          <c:orientation val="minMax"/>
        </c:scaling>
        <c:delete val="0"/>
        <c:axPos val="l"/>
        <c:numFmt formatCode="#,##0_ ;\-#,##0\ " sourceLinked="0"/>
        <c:majorTickMark val="out"/>
        <c:minorTickMark val="none"/>
        <c:tickLblPos val="nextTo"/>
        <c:crossAx val="700358016"/>
        <c:crosses val="autoZero"/>
        <c:crossBetween val="between"/>
      </c:valAx>
    </c:plotArea>
    <c:legend>
      <c:legendPos val="b"/>
      <c:overlay val="0"/>
    </c:legend>
    <c:plotVisOnly val="1"/>
    <c:dispBlanksAs val="gap"/>
    <c:showDLblsOverMax val="0"/>
  </c:chart>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sk-SK" sz="1050" b="1" i="0" baseline="0"/>
              <a:t>Plánovaná a skutočná dĺžka spoplatnených úsekov ciest I. triedy (km)</a:t>
            </a:r>
          </a:p>
        </c:rich>
      </c:tx>
      <c:overlay val="0"/>
    </c:title>
    <c:autoTitleDeleted val="0"/>
    <c:plotArea>
      <c:layout>
        <c:manualLayout>
          <c:layoutTarget val="inner"/>
          <c:xMode val="edge"/>
          <c:yMode val="edge"/>
          <c:x val="7.7111333846613311E-2"/>
          <c:y val="0.20263199335574103"/>
          <c:w val="0.89936335143283552"/>
          <c:h val="0.51914103945556966"/>
        </c:manualLayout>
      </c:layout>
      <c:barChart>
        <c:barDir val="col"/>
        <c:grouping val="clustered"/>
        <c:varyColors val="0"/>
        <c:ser>
          <c:idx val="0"/>
          <c:order val="0"/>
          <c:tx>
            <c:strRef>
              <c:f>Report!$AC$66</c:f>
              <c:strCache>
                <c:ptCount val="1"/>
                <c:pt idx="0">
                  <c:v>plán I. tr. spolu (2009)</c:v>
                </c:pt>
              </c:strCache>
            </c:strRef>
          </c:tx>
          <c:spPr>
            <a:solidFill>
              <a:srgbClr val="4BACC6">
                <a:lumMod val="75000"/>
                <a:alpha val="43000"/>
              </a:srgbClr>
            </a:solidFill>
          </c:spPr>
          <c:invertIfNegative val="0"/>
          <c:dLbls>
            <c:numFmt formatCode="#,##0" sourceLinked="0"/>
            <c:spPr>
              <a:noFill/>
              <a:ln>
                <a:noFill/>
              </a:ln>
              <a:effectLst/>
            </c:spPr>
            <c:txPr>
              <a:bodyPr/>
              <a:lstStyle/>
              <a:p>
                <a:pPr indent="0">
                  <a:defRPr sz="800" b="1"/>
                </a:pPr>
                <a:endParaRPr lang="sk-SK"/>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Report!$AD$65:$AL$65</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Report!$AD$66:$AL$66</c:f>
              <c:numCache>
                <c:formatCode>#,##0.000</c:formatCode>
                <c:ptCount val="9"/>
                <c:pt idx="0">
                  <c:v>1341.5119999999993</c:v>
                </c:pt>
                <c:pt idx="1">
                  <c:v>1328.7170000000001</c:v>
                </c:pt>
                <c:pt idx="2">
                  <c:v>1296.1299999999978</c:v>
                </c:pt>
                <c:pt idx="3">
                  <c:v>1296.1299999999978</c:v>
                </c:pt>
                <c:pt idx="4">
                  <c:v>1255.5829999999978</c:v>
                </c:pt>
                <c:pt idx="5">
                  <c:v>1229.9180000000001</c:v>
                </c:pt>
                <c:pt idx="6">
                  <c:v>1209.4860000000001</c:v>
                </c:pt>
                <c:pt idx="7">
                  <c:v>1138.1549999999972</c:v>
                </c:pt>
                <c:pt idx="8">
                  <c:v>1068.9939999999992</c:v>
                </c:pt>
              </c:numCache>
            </c:numRef>
          </c:val>
          <c:extLst>
            <c:ext xmlns:c16="http://schemas.microsoft.com/office/drawing/2014/chart" uri="{C3380CC4-5D6E-409C-BE32-E72D297353CC}">
              <c16:uniqueId val="{00000000-83E0-4E85-8219-76A859F6E0D2}"/>
            </c:ext>
          </c:extLst>
        </c:ser>
        <c:ser>
          <c:idx val="1"/>
          <c:order val="1"/>
          <c:tx>
            <c:strRef>
              <c:f>Report!$AC$67</c:f>
              <c:strCache>
                <c:ptCount val="1"/>
                <c:pt idx="0">
                  <c:v>skutočnosť I. tr. spolu</c:v>
                </c:pt>
              </c:strCache>
            </c:strRef>
          </c:tx>
          <c:spPr>
            <a:solidFill>
              <a:srgbClr val="4BACC6">
                <a:lumMod val="75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Report!$AD$65:$AL$65</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Report!$AD$67:$AL$67</c:f>
              <c:numCache>
                <c:formatCode>0</c:formatCode>
                <c:ptCount val="9"/>
                <c:pt idx="0">
                  <c:v>1384.6934999999974</c:v>
                </c:pt>
                <c:pt idx="1">
                  <c:v>1378.9765000000011</c:v>
                </c:pt>
                <c:pt idx="2">
                  <c:v>1414.0854999999999</c:v>
                </c:pt>
                <c:pt idx="3">
                  <c:v>1423.1685</c:v>
                </c:pt>
                <c:pt idx="4">
                  <c:v>1635.6434999999974</c:v>
                </c:pt>
                <c:pt idx="5">
                  <c:v>1639.3485000000001</c:v>
                </c:pt>
                <c:pt idx="6">
                  <c:v>1637.7165000000011</c:v>
                </c:pt>
                <c:pt idx="7">
                  <c:v>1630.3515</c:v>
                </c:pt>
                <c:pt idx="8">
                  <c:v>1630.3515</c:v>
                </c:pt>
              </c:numCache>
            </c:numRef>
          </c:val>
          <c:extLst>
            <c:ext xmlns:c16="http://schemas.microsoft.com/office/drawing/2014/chart" uri="{C3380CC4-5D6E-409C-BE32-E72D297353CC}">
              <c16:uniqueId val="{00000001-83E0-4E85-8219-76A859F6E0D2}"/>
            </c:ext>
          </c:extLst>
        </c:ser>
        <c:ser>
          <c:idx val="2"/>
          <c:order val="2"/>
          <c:tx>
            <c:strRef>
              <c:f>Report!$AC$69</c:f>
              <c:strCache>
                <c:ptCount val="1"/>
                <c:pt idx="0">
                  <c:v>skutočnosť I. tr. súbežné</c:v>
                </c:pt>
              </c:strCache>
            </c:strRef>
          </c:tx>
          <c:spPr>
            <a:solidFill>
              <a:schemeClr val="accent4">
                <a:lumMod val="40000"/>
                <a:lumOff val="60000"/>
              </a:schemeClr>
            </a:solidFill>
          </c:spPr>
          <c:invertIfNegative val="0"/>
          <c:dLbls>
            <c:spPr>
              <a:noFill/>
              <a:ln>
                <a:noFill/>
              </a:ln>
              <a:effectLst/>
            </c:spPr>
            <c:txPr>
              <a:bodyPr rot="-5400000" vert="horz"/>
              <a:lstStyle/>
              <a:p>
                <a:pPr indent="0">
                  <a:defRPr sz="800" b="1"/>
                </a:pPr>
                <a:endParaRPr lang="sk-SK"/>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Report!$AD$65:$AL$65</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Report!$AD$69:$AL$69</c:f>
              <c:numCache>
                <c:formatCode>General</c:formatCode>
                <c:ptCount val="9"/>
                <c:pt idx="4" formatCode="0">
                  <c:v>370.97099999999944</c:v>
                </c:pt>
                <c:pt idx="5" formatCode="0">
                  <c:v>410.23299999999944</c:v>
                </c:pt>
                <c:pt idx="6" formatCode="0">
                  <c:v>412.50299999999999</c:v>
                </c:pt>
                <c:pt idx="7" formatCode="0">
                  <c:v>420.53899999999925</c:v>
                </c:pt>
                <c:pt idx="8" formatCode="0">
                  <c:v>420.53899999999925</c:v>
                </c:pt>
              </c:numCache>
            </c:numRef>
          </c:val>
          <c:extLst>
            <c:ext xmlns:c16="http://schemas.microsoft.com/office/drawing/2014/chart" uri="{C3380CC4-5D6E-409C-BE32-E72D297353CC}">
              <c16:uniqueId val="{00000002-83E0-4E85-8219-76A859F6E0D2}"/>
            </c:ext>
          </c:extLst>
        </c:ser>
        <c:ser>
          <c:idx val="3"/>
          <c:order val="3"/>
          <c:tx>
            <c:strRef>
              <c:f>Report!$AC$68</c:f>
              <c:strCache>
                <c:ptCount val="1"/>
                <c:pt idx="0">
                  <c:v>skutočnosť I. tr. nesúbežné </c:v>
                </c:pt>
              </c:strCache>
            </c:strRef>
          </c:tx>
          <c:spPr>
            <a:solidFill>
              <a:schemeClr val="accent4">
                <a:lumMod val="60000"/>
                <a:lumOff val="40000"/>
              </a:schemeClr>
            </a:solidFill>
          </c:spPr>
          <c:invertIfNegative val="0"/>
          <c:dLbls>
            <c:spPr>
              <a:noFill/>
              <a:ln>
                <a:noFill/>
              </a:ln>
              <a:effectLst/>
            </c:spPr>
            <c:txPr>
              <a:bodyPr rot="-5400000" vert="horz"/>
              <a:lstStyle/>
              <a:p>
                <a:pPr indent="0">
                  <a:defRPr sz="800" b="1"/>
                </a:pPr>
                <a:endParaRPr lang="sk-SK"/>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Report!$AD$65:$AL$65</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Report!$AD$68:$AL$68</c:f>
              <c:numCache>
                <c:formatCode>General</c:formatCode>
                <c:ptCount val="9"/>
                <c:pt idx="4" formatCode="0">
                  <c:v>1264.6724999999974</c:v>
                </c:pt>
                <c:pt idx="5" formatCode="0">
                  <c:v>1229.1155000000001</c:v>
                </c:pt>
                <c:pt idx="6" formatCode="0">
                  <c:v>1225.2135000000001</c:v>
                </c:pt>
                <c:pt idx="7" formatCode="0">
                  <c:v>1209.8125</c:v>
                </c:pt>
                <c:pt idx="8" formatCode="0">
                  <c:v>1209.8125</c:v>
                </c:pt>
              </c:numCache>
            </c:numRef>
          </c:val>
          <c:extLst>
            <c:ext xmlns:c16="http://schemas.microsoft.com/office/drawing/2014/chart" uri="{C3380CC4-5D6E-409C-BE32-E72D297353CC}">
              <c16:uniqueId val="{00000003-83E0-4E85-8219-76A859F6E0D2}"/>
            </c:ext>
          </c:extLst>
        </c:ser>
        <c:dLbls>
          <c:showLegendKey val="0"/>
          <c:showVal val="0"/>
          <c:showCatName val="0"/>
          <c:showSerName val="0"/>
          <c:showPercent val="0"/>
          <c:showBubbleSize val="0"/>
        </c:dLbls>
        <c:gapWidth val="150"/>
        <c:axId val="700414208"/>
        <c:axId val="700436480"/>
      </c:barChart>
      <c:catAx>
        <c:axId val="700414208"/>
        <c:scaling>
          <c:orientation val="minMax"/>
        </c:scaling>
        <c:delete val="0"/>
        <c:axPos val="b"/>
        <c:numFmt formatCode="General" sourceLinked="1"/>
        <c:majorTickMark val="out"/>
        <c:minorTickMark val="none"/>
        <c:tickLblPos val="nextTo"/>
        <c:crossAx val="700436480"/>
        <c:crosses val="autoZero"/>
        <c:auto val="1"/>
        <c:lblAlgn val="ctr"/>
        <c:lblOffset val="100"/>
        <c:noMultiLvlLbl val="0"/>
      </c:catAx>
      <c:valAx>
        <c:axId val="700436480"/>
        <c:scaling>
          <c:orientation val="minMax"/>
        </c:scaling>
        <c:delete val="0"/>
        <c:axPos val="l"/>
        <c:numFmt formatCode="#,##0" sourceLinked="0"/>
        <c:majorTickMark val="out"/>
        <c:minorTickMark val="none"/>
        <c:tickLblPos val="nextTo"/>
        <c:crossAx val="700414208"/>
        <c:crosses val="autoZero"/>
        <c:crossBetween val="between"/>
      </c:valAx>
    </c:plotArea>
    <c:legend>
      <c:legendPos val="b"/>
      <c:layout>
        <c:manualLayout>
          <c:xMode val="edge"/>
          <c:yMode val="edge"/>
          <c:x val="0"/>
          <c:y val="0.85985718883386197"/>
          <c:w val="1"/>
          <c:h val="0.13791290750146695"/>
        </c:manualLayout>
      </c:layout>
      <c:overlay val="0"/>
    </c:legend>
    <c:plotVisOnly val="1"/>
    <c:dispBlanksAs val="gap"/>
    <c:showDLblsOverMax val="0"/>
  </c:chart>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800"/>
            </a:pPr>
            <a:r>
              <a:rPr lang="sk-SK" sz="1050"/>
              <a:t>Skutočná a plánovaná dĺžka spoplatnených úsekov ciest EMS (km)</a:t>
            </a:r>
          </a:p>
        </c:rich>
      </c:tx>
      <c:overlay val="0"/>
    </c:title>
    <c:autoTitleDeleted val="0"/>
    <c:plotArea>
      <c:layout/>
      <c:barChart>
        <c:barDir val="col"/>
        <c:grouping val="clustered"/>
        <c:varyColors val="0"/>
        <c:ser>
          <c:idx val="0"/>
          <c:order val="0"/>
          <c:tx>
            <c:strRef>
              <c:f>Report!$AC$20</c:f>
              <c:strCache>
                <c:ptCount val="1"/>
                <c:pt idx="0">
                  <c:v>plán 2009</c:v>
                </c:pt>
              </c:strCache>
            </c:strRef>
          </c:tx>
          <c:spPr>
            <a:solidFill>
              <a:srgbClr val="EEECE1">
                <a:lumMod val="50000"/>
                <a:alpha val="84000"/>
              </a:srgbClr>
            </a:solidFill>
          </c:spPr>
          <c:invertIfNegative val="0"/>
          <c:dLbls>
            <c:spPr>
              <a:noFill/>
              <a:ln>
                <a:noFill/>
              </a:ln>
              <a:effectLst/>
            </c:spPr>
            <c:txPr>
              <a:bodyPr/>
              <a:lstStyle/>
              <a:p>
                <a:pPr>
                  <a:defRPr sz="800" b="1"/>
                </a:pPr>
                <a:endParaRPr lang="sk-SK"/>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Report!$AD$19:$AL$19</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Report!$AD$20:$AL$20</c:f>
              <c:numCache>
                <c:formatCode>0</c:formatCode>
                <c:ptCount val="9"/>
                <c:pt idx="0">
                  <c:v>1959.280999999999</c:v>
                </c:pt>
                <c:pt idx="1">
                  <c:v>2003.1659999999988</c:v>
                </c:pt>
                <c:pt idx="2">
                  <c:v>2074.628999999994</c:v>
                </c:pt>
                <c:pt idx="3">
                  <c:v>2113.0489999999941</c:v>
                </c:pt>
                <c:pt idx="4">
                  <c:v>2184.7819999999983</c:v>
                </c:pt>
                <c:pt idx="5">
                  <c:v>2207.436999999999</c:v>
                </c:pt>
                <c:pt idx="6">
                  <c:v>2242.0049999999987</c:v>
                </c:pt>
                <c:pt idx="7">
                  <c:v>2287.6039999999994</c:v>
                </c:pt>
                <c:pt idx="8">
                  <c:v>2386.4729999999995</c:v>
                </c:pt>
              </c:numCache>
            </c:numRef>
          </c:val>
          <c:extLst>
            <c:ext xmlns:c16="http://schemas.microsoft.com/office/drawing/2014/chart" uri="{C3380CC4-5D6E-409C-BE32-E72D297353CC}">
              <c16:uniqueId val="{00000000-E9BF-459F-A77A-976C32FF8942}"/>
            </c:ext>
          </c:extLst>
        </c:ser>
        <c:ser>
          <c:idx val="1"/>
          <c:order val="1"/>
          <c:tx>
            <c:strRef>
              <c:f>Report!$AC$21</c:f>
              <c:strCache>
                <c:ptCount val="1"/>
                <c:pt idx="0">
                  <c:v>skutočnosť</c:v>
                </c:pt>
              </c:strCache>
            </c:strRef>
          </c:tx>
          <c:spPr>
            <a:solidFill>
              <a:srgbClr val="EEECE1">
                <a:lumMod val="25000"/>
                <a:alpha val="88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Report!$AD$19:$AL$19</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Report!$AD$21:$AL$21</c:f>
              <c:numCache>
                <c:formatCode>0</c:formatCode>
                <c:ptCount val="9"/>
                <c:pt idx="0">
                  <c:v>1948.1985</c:v>
                </c:pt>
                <c:pt idx="1">
                  <c:v>1999.1305</c:v>
                </c:pt>
                <c:pt idx="2">
                  <c:v>2032.9134999999999</c:v>
                </c:pt>
                <c:pt idx="3">
                  <c:v>2056.1714999999999</c:v>
                </c:pt>
                <c:pt idx="4">
                  <c:v>2269.4564999999998</c:v>
                </c:pt>
                <c:pt idx="5">
                  <c:v>2327.0815000000002</c:v>
                </c:pt>
                <c:pt idx="6">
                  <c:v>2345.0895</c:v>
                </c:pt>
                <c:pt idx="7">
                  <c:v>2365.9494999999997</c:v>
                </c:pt>
                <c:pt idx="8">
                  <c:v>2365.9494999999997</c:v>
                </c:pt>
              </c:numCache>
            </c:numRef>
          </c:val>
          <c:extLst>
            <c:ext xmlns:c16="http://schemas.microsoft.com/office/drawing/2014/chart" uri="{C3380CC4-5D6E-409C-BE32-E72D297353CC}">
              <c16:uniqueId val="{00000001-E9BF-459F-A77A-976C32FF8942}"/>
            </c:ext>
          </c:extLst>
        </c:ser>
        <c:dLbls>
          <c:showLegendKey val="0"/>
          <c:showVal val="0"/>
          <c:showCatName val="0"/>
          <c:showSerName val="0"/>
          <c:showPercent val="0"/>
          <c:showBubbleSize val="0"/>
        </c:dLbls>
        <c:gapWidth val="150"/>
        <c:axId val="700516224"/>
        <c:axId val="700517760"/>
      </c:barChart>
      <c:catAx>
        <c:axId val="700516224"/>
        <c:scaling>
          <c:orientation val="minMax"/>
        </c:scaling>
        <c:delete val="0"/>
        <c:axPos val="b"/>
        <c:numFmt formatCode="0" sourceLinked="1"/>
        <c:majorTickMark val="out"/>
        <c:minorTickMark val="none"/>
        <c:tickLblPos val="nextTo"/>
        <c:crossAx val="700517760"/>
        <c:crosses val="autoZero"/>
        <c:auto val="1"/>
        <c:lblAlgn val="ctr"/>
        <c:lblOffset val="100"/>
        <c:noMultiLvlLbl val="0"/>
      </c:catAx>
      <c:valAx>
        <c:axId val="700517760"/>
        <c:scaling>
          <c:orientation val="minMax"/>
        </c:scaling>
        <c:delete val="0"/>
        <c:axPos val="l"/>
        <c:numFmt formatCode="0" sourceLinked="1"/>
        <c:majorTickMark val="out"/>
        <c:minorTickMark val="none"/>
        <c:tickLblPos val="nextTo"/>
        <c:crossAx val="700516224"/>
        <c:crosses val="autoZero"/>
        <c:crossBetween val="between"/>
      </c:valAx>
    </c:plotArea>
    <c:legend>
      <c:legendPos val="b"/>
      <c:overlay val="0"/>
    </c:legend>
    <c:plotVisOnly val="1"/>
    <c:dispBlanksAs val="gap"/>
    <c:showDLblsOverMax val="0"/>
  </c:chart>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en-US" sz="1100" b="1" i="0" baseline="0"/>
              <a:t>Porovnan</a:t>
            </a:r>
            <a:r>
              <a:rPr lang="sk-SK" sz="1100" b="1" i="0" baseline="0"/>
              <a:t>i</a:t>
            </a:r>
            <a:r>
              <a:rPr lang="en-US" sz="1100" b="1" i="0" baseline="0"/>
              <a:t>e </a:t>
            </a:r>
            <a:r>
              <a:rPr lang="sk-SK" sz="1100" b="1" i="0" baseline="0"/>
              <a:t> skutočných a ekonomických </a:t>
            </a:r>
            <a:r>
              <a:rPr lang="en-US" sz="1100" b="1" i="0" baseline="0"/>
              <a:t>sadzieb mýta pre </a:t>
            </a:r>
            <a:r>
              <a:rPr lang="sk-SK" sz="1100" b="1" i="1" baseline="0"/>
              <a:t>nákladné vozidlá</a:t>
            </a:r>
            <a:r>
              <a:rPr lang="sk-SK" sz="1100" b="1" i="0" baseline="0"/>
              <a:t>  </a:t>
            </a:r>
          </a:p>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sk-SK" sz="1100" b="1" i="0" baseline="0"/>
              <a:t>s </a:t>
            </a:r>
            <a:r>
              <a:rPr lang="en-US" sz="1100" b="1" i="0" baseline="0"/>
              <a:t>hmotnosťou </a:t>
            </a:r>
            <a:r>
              <a:rPr lang="sk-SK" sz="1100" b="1" i="0" baseline="0"/>
              <a:t>od </a:t>
            </a:r>
            <a:r>
              <a:rPr lang="en-US" sz="1100" b="1" i="0" baseline="0"/>
              <a:t>3,5</a:t>
            </a:r>
            <a:r>
              <a:rPr lang="sk-SK" sz="1100" b="1" i="0" baseline="0"/>
              <a:t> do</a:t>
            </a:r>
            <a:r>
              <a:rPr lang="en-US" sz="1100" b="1" i="0" baseline="0"/>
              <a:t> 12</a:t>
            </a:r>
            <a:r>
              <a:rPr lang="sk-SK" sz="1100" b="1" i="0" baseline="0"/>
              <a:t> </a:t>
            </a:r>
            <a:r>
              <a:rPr lang="en-US" sz="1100" b="1" i="0" baseline="0"/>
              <a:t>t</a:t>
            </a:r>
            <a:r>
              <a:rPr lang="sk-SK" sz="1100" b="1" i="0" baseline="0"/>
              <a:t>on na D a RC (€/km)</a:t>
            </a:r>
            <a:endParaRPr lang="en-US" sz="1100" b="1" i="0" baseline="0"/>
          </a:p>
        </c:rich>
      </c:tx>
      <c:overlay val="0"/>
    </c:title>
    <c:autoTitleDeleted val="0"/>
    <c:plotArea>
      <c:layout>
        <c:manualLayout>
          <c:layoutTarget val="inner"/>
          <c:xMode val="edge"/>
          <c:yMode val="edge"/>
          <c:x val="5.8229043181736946E-2"/>
          <c:y val="0.24758418803418841"/>
          <c:w val="0.88435006111197256"/>
          <c:h val="0.5076773504273504"/>
        </c:manualLayout>
      </c:layout>
      <c:barChart>
        <c:barDir val="col"/>
        <c:grouping val="clustered"/>
        <c:varyColors val="0"/>
        <c:ser>
          <c:idx val="1"/>
          <c:order val="0"/>
          <c:tx>
            <c:strRef>
              <c:f>Hárok3!$A$1</c:f>
              <c:strCache>
                <c:ptCount val="1"/>
                <c:pt idx="0">
                  <c:v>2019</c:v>
                </c:pt>
              </c:strCache>
            </c:strRef>
          </c:tx>
          <c:spPr>
            <a:solidFill>
              <a:srgbClr val="C00000"/>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Hárok3!$D$5:$F$5</c:f>
              <c:numCache>
                <c:formatCode>#,##0.000\ [$€-41B]</c:formatCode>
                <c:ptCount val="3"/>
                <c:pt idx="0">
                  <c:v>0.10800000000000012</c:v>
                </c:pt>
                <c:pt idx="1">
                  <c:v>9.8000000000000212E-2</c:v>
                </c:pt>
                <c:pt idx="2">
                  <c:v>8.5000000000000006E-2</c:v>
                </c:pt>
              </c:numCache>
            </c:numRef>
          </c:val>
          <c:extLst>
            <c:ext xmlns:c16="http://schemas.microsoft.com/office/drawing/2014/chart" uri="{C3380CC4-5D6E-409C-BE32-E72D297353CC}">
              <c16:uniqueId val="{00000000-4663-462E-A90A-22D6238B3954}"/>
            </c:ext>
          </c:extLst>
        </c:ser>
        <c:ser>
          <c:idx val="2"/>
          <c:order val="1"/>
          <c:tx>
            <c:strRef>
              <c:f>Hárok3!$A$36</c:f>
              <c:strCache>
                <c:ptCount val="1"/>
                <c:pt idx="0">
                  <c:v>2009</c:v>
                </c:pt>
              </c:strCache>
            </c:strRef>
          </c:tx>
          <c:spPr>
            <a:solidFill>
              <a:srgbClr val="C00000">
                <a:alpha val="43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Hárok3!$C$38:$E$38</c:f>
              <c:numCache>
                <c:formatCode>#,##0.000\ [$€-1];[Red]\-#,##0.000\ [$€-1]</c:formatCode>
                <c:ptCount val="3"/>
                <c:pt idx="0">
                  <c:v>9.3000000000000208E-2</c:v>
                </c:pt>
                <c:pt idx="1">
                  <c:v>8.6000000000000021E-2</c:v>
                </c:pt>
                <c:pt idx="2">
                  <c:v>8.3000000000000046E-2</c:v>
                </c:pt>
              </c:numCache>
            </c:numRef>
          </c:val>
          <c:extLst>
            <c:ext xmlns:c16="http://schemas.microsoft.com/office/drawing/2014/chart" uri="{C3380CC4-5D6E-409C-BE32-E72D297353CC}">
              <c16:uniqueId val="{00000001-4663-462E-A90A-22D6238B3954}"/>
            </c:ext>
          </c:extLst>
        </c:ser>
        <c:ser>
          <c:idx val="0"/>
          <c:order val="2"/>
          <c:tx>
            <c:strRef>
              <c:f>Hárok3!$A$14</c:f>
              <c:strCache>
                <c:ptCount val="1"/>
                <c:pt idx="0">
                  <c:v>Ekonomické mýto D,R</c:v>
                </c:pt>
              </c:strCache>
            </c:strRef>
          </c:tx>
          <c:spPr>
            <a:solidFill>
              <a:schemeClr val="bg2">
                <a:lumMod val="25000"/>
                <a:alpha val="65000"/>
              </a:scheme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Hárok3!$C$26:$E$26</c:f>
              <c:numCache>
                <c:formatCode>#,##0.000\ [$€-41B]</c:formatCode>
                <c:ptCount val="3"/>
                <c:pt idx="0">
                  <c:v>0.22837416185354817</c:v>
                </c:pt>
                <c:pt idx="1">
                  <c:v>0.21476465511518314</c:v>
                </c:pt>
                <c:pt idx="2">
                  <c:v>0.21111332403903604</c:v>
                </c:pt>
              </c:numCache>
            </c:numRef>
          </c:val>
          <c:extLst>
            <c:ext xmlns:c16="http://schemas.microsoft.com/office/drawing/2014/chart" uri="{C3380CC4-5D6E-409C-BE32-E72D297353CC}">
              <c16:uniqueId val="{00000002-4663-462E-A90A-22D6238B3954}"/>
            </c:ext>
          </c:extLst>
        </c:ser>
        <c:dLbls>
          <c:showLegendKey val="0"/>
          <c:showVal val="0"/>
          <c:showCatName val="0"/>
          <c:showSerName val="0"/>
          <c:showPercent val="0"/>
          <c:showBubbleSize val="0"/>
        </c:dLbls>
        <c:gapWidth val="150"/>
        <c:axId val="700546048"/>
        <c:axId val="700568320"/>
      </c:barChart>
      <c:catAx>
        <c:axId val="700546048"/>
        <c:scaling>
          <c:orientation val="minMax"/>
        </c:scaling>
        <c:delete val="0"/>
        <c:axPos val="b"/>
        <c:numFmt formatCode="General" sourceLinked="0"/>
        <c:majorTickMark val="out"/>
        <c:minorTickMark val="none"/>
        <c:tickLblPos val="nextTo"/>
        <c:crossAx val="700568320"/>
        <c:crosses val="autoZero"/>
        <c:auto val="1"/>
        <c:lblAlgn val="ctr"/>
        <c:lblOffset val="100"/>
        <c:noMultiLvlLbl val="0"/>
      </c:catAx>
      <c:valAx>
        <c:axId val="700568320"/>
        <c:scaling>
          <c:orientation val="minMax"/>
        </c:scaling>
        <c:delete val="0"/>
        <c:axPos val="l"/>
        <c:numFmt formatCode="#,##0.00\ [$€-41B]" sourceLinked="0"/>
        <c:majorTickMark val="out"/>
        <c:minorTickMark val="none"/>
        <c:tickLblPos val="nextTo"/>
        <c:crossAx val="700546048"/>
        <c:crosses val="autoZero"/>
        <c:crossBetween val="between"/>
      </c:valAx>
    </c:plotArea>
    <c:legend>
      <c:legendPos val="b"/>
      <c:layout>
        <c:manualLayout>
          <c:xMode val="edge"/>
          <c:yMode val="edge"/>
          <c:x val="0.29177593957903131"/>
          <c:y val="0.87759944444444582"/>
          <c:w val="0.41644813965641436"/>
          <c:h val="0.1159863636363635"/>
        </c:manualLayout>
      </c:layout>
      <c:overlay val="0"/>
    </c:legend>
    <c:plotVisOnly val="1"/>
    <c:dispBlanksAs val="gap"/>
    <c:showDLblsOverMax val="0"/>
  </c:chart>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en-US" sz="1100"/>
              <a:t>Porovnan</a:t>
            </a:r>
            <a:r>
              <a:rPr lang="sk-SK" sz="1100"/>
              <a:t>i</a:t>
            </a:r>
            <a:r>
              <a:rPr lang="en-US" sz="1100"/>
              <a:t>e </a:t>
            </a:r>
            <a:r>
              <a:rPr lang="sk-SK" sz="1100"/>
              <a:t> skutočných</a:t>
            </a:r>
            <a:r>
              <a:rPr lang="sk-SK" sz="1100" baseline="0"/>
              <a:t> a ekonomických </a:t>
            </a:r>
            <a:r>
              <a:rPr lang="en-US" sz="1100"/>
              <a:t>sadzieb mýta pre </a:t>
            </a:r>
            <a:r>
              <a:rPr lang="sk-SK" sz="1100" i="1"/>
              <a:t>autobusy</a:t>
            </a:r>
            <a:r>
              <a:rPr lang="sk-SK" sz="1100"/>
              <a:t> </a:t>
            </a:r>
            <a:endParaRPr lang="sk-SK" sz="1100" i="1"/>
          </a:p>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en-US" sz="1100"/>
              <a:t>s hmotnosťou </a:t>
            </a:r>
            <a:r>
              <a:rPr lang="sk-SK" sz="1100"/>
              <a:t>od </a:t>
            </a:r>
            <a:r>
              <a:rPr lang="en-US" sz="1100"/>
              <a:t>3,5</a:t>
            </a:r>
            <a:r>
              <a:rPr lang="sk-SK" sz="1100"/>
              <a:t> do</a:t>
            </a:r>
            <a:r>
              <a:rPr lang="en-US" sz="1100"/>
              <a:t> 12</a:t>
            </a:r>
            <a:r>
              <a:rPr lang="sk-SK" sz="1100"/>
              <a:t> </a:t>
            </a:r>
            <a:r>
              <a:rPr lang="en-US" sz="1100"/>
              <a:t>t</a:t>
            </a:r>
            <a:r>
              <a:rPr lang="sk-SK" sz="1100"/>
              <a:t>on na D a RC (€/km)</a:t>
            </a:r>
            <a:endParaRPr lang="en-US" sz="1100"/>
          </a:p>
        </c:rich>
      </c:tx>
      <c:overlay val="0"/>
    </c:title>
    <c:autoTitleDeleted val="0"/>
    <c:plotArea>
      <c:layout>
        <c:manualLayout>
          <c:layoutTarget val="inner"/>
          <c:xMode val="edge"/>
          <c:yMode val="edge"/>
          <c:x val="5.8229043181736946E-2"/>
          <c:y val="0.23130213675213754"/>
          <c:w val="0.84523199211891265"/>
          <c:h val="0.53481410256410511"/>
        </c:manualLayout>
      </c:layout>
      <c:barChart>
        <c:barDir val="col"/>
        <c:grouping val="clustered"/>
        <c:varyColors val="0"/>
        <c:ser>
          <c:idx val="1"/>
          <c:order val="0"/>
          <c:tx>
            <c:strRef>
              <c:f>Hárok3!$A$1</c:f>
              <c:strCache>
                <c:ptCount val="1"/>
                <c:pt idx="0">
                  <c:v>2019</c:v>
                </c:pt>
              </c:strCache>
            </c:strRef>
          </c:tx>
          <c:spPr>
            <a:solidFill>
              <a:srgbClr val="C00000"/>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Hárok3!$D$10:$F$10</c:f>
              <c:numCache>
                <c:formatCode>#,##0.000\ [$€-41B]</c:formatCode>
                <c:ptCount val="3"/>
                <c:pt idx="0">
                  <c:v>6.4000000000000112E-2</c:v>
                </c:pt>
                <c:pt idx="1">
                  <c:v>5.3000000000000012E-2</c:v>
                </c:pt>
                <c:pt idx="2">
                  <c:v>3.2000000000000042E-2</c:v>
                </c:pt>
              </c:numCache>
            </c:numRef>
          </c:val>
          <c:extLst>
            <c:ext xmlns:c16="http://schemas.microsoft.com/office/drawing/2014/chart" uri="{C3380CC4-5D6E-409C-BE32-E72D297353CC}">
              <c16:uniqueId val="{00000000-097A-4A77-B626-00D9CD7CE8A9}"/>
            </c:ext>
          </c:extLst>
        </c:ser>
        <c:ser>
          <c:idx val="2"/>
          <c:order val="1"/>
          <c:tx>
            <c:strRef>
              <c:f>Hárok3!$A$36</c:f>
              <c:strCache>
                <c:ptCount val="1"/>
                <c:pt idx="0">
                  <c:v>2009</c:v>
                </c:pt>
              </c:strCache>
            </c:strRef>
          </c:tx>
          <c:spPr>
            <a:solidFill>
              <a:srgbClr val="C00000">
                <a:alpha val="43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Hárok3!$C$43:$E$43</c:f>
              <c:numCache>
                <c:formatCode>#,##0.000\ [$€-1];[Red]\-#,##0.000\ [$€-1]</c:formatCode>
                <c:ptCount val="3"/>
                <c:pt idx="0">
                  <c:v>6.0000000000000032E-2</c:v>
                </c:pt>
                <c:pt idx="1">
                  <c:v>0.05</c:v>
                </c:pt>
                <c:pt idx="2">
                  <c:v>3.0000000000000002E-2</c:v>
                </c:pt>
              </c:numCache>
            </c:numRef>
          </c:val>
          <c:extLst>
            <c:ext xmlns:c16="http://schemas.microsoft.com/office/drawing/2014/chart" uri="{C3380CC4-5D6E-409C-BE32-E72D297353CC}">
              <c16:uniqueId val="{00000001-097A-4A77-B626-00D9CD7CE8A9}"/>
            </c:ext>
          </c:extLst>
        </c:ser>
        <c:ser>
          <c:idx val="0"/>
          <c:order val="2"/>
          <c:tx>
            <c:strRef>
              <c:f>Hárok3!$A$14</c:f>
              <c:strCache>
                <c:ptCount val="1"/>
                <c:pt idx="0">
                  <c:v>Ekonomické mýto D,R</c:v>
                </c:pt>
              </c:strCache>
            </c:strRef>
          </c:tx>
          <c:spPr>
            <a:solidFill>
              <a:schemeClr val="bg2">
                <a:lumMod val="25000"/>
                <a:alpha val="65000"/>
              </a:scheme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Hárok3!$C$31:$E$31</c:f>
              <c:numCache>
                <c:formatCode>#,##0.000\ [$€-41B]</c:formatCode>
                <c:ptCount val="3"/>
                <c:pt idx="0">
                  <c:v>0.22571864834362343</c:v>
                </c:pt>
                <c:pt idx="1">
                  <c:v>0.21410077673770164</c:v>
                </c:pt>
                <c:pt idx="2">
                  <c:v>0.21111332403903604</c:v>
                </c:pt>
              </c:numCache>
            </c:numRef>
          </c:val>
          <c:extLst>
            <c:ext xmlns:c16="http://schemas.microsoft.com/office/drawing/2014/chart" uri="{C3380CC4-5D6E-409C-BE32-E72D297353CC}">
              <c16:uniqueId val="{00000002-097A-4A77-B626-00D9CD7CE8A9}"/>
            </c:ext>
          </c:extLst>
        </c:ser>
        <c:dLbls>
          <c:showLegendKey val="0"/>
          <c:showVal val="0"/>
          <c:showCatName val="0"/>
          <c:showSerName val="0"/>
          <c:showPercent val="0"/>
          <c:showBubbleSize val="0"/>
        </c:dLbls>
        <c:gapWidth val="150"/>
        <c:axId val="700584320"/>
        <c:axId val="700585856"/>
      </c:barChart>
      <c:catAx>
        <c:axId val="700584320"/>
        <c:scaling>
          <c:orientation val="minMax"/>
        </c:scaling>
        <c:delete val="0"/>
        <c:axPos val="b"/>
        <c:numFmt formatCode="General" sourceLinked="0"/>
        <c:majorTickMark val="out"/>
        <c:minorTickMark val="none"/>
        <c:tickLblPos val="nextTo"/>
        <c:crossAx val="700585856"/>
        <c:crosses val="autoZero"/>
        <c:auto val="1"/>
        <c:lblAlgn val="ctr"/>
        <c:lblOffset val="100"/>
        <c:noMultiLvlLbl val="0"/>
      </c:catAx>
      <c:valAx>
        <c:axId val="700585856"/>
        <c:scaling>
          <c:orientation val="minMax"/>
        </c:scaling>
        <c:delete val="0"/>
        <c:axPos val="l"/>
        <c:numFmt formatCode="#,##0.00\ [$€-41B]" sourceLinked="0"/>
        <c:majorTickMark val="out"/>
        <c:minorTickMark val="none"/>
        <c:tickLblPos val="nextTo"/>
        <c:crossAx val="700584320"/>
        <c:crosses val="autoZero"/>
        <c:crossBetween val="between"/>
      </c:valAx>
    </c:plotArea>
    <c:legend>
      <c:legendPos val="b"/>
      <c:layout>
        <c:manualLayout>
          <c:xMode val="edge"/>
          <c:yMode val="edge"/>
          <c:x val="0.29184252065915034"/>
          <c:y val="0.87759949494949663"/>
          <c:w val="0.41631479059472787"/>
          <c:h val="0.1159863636363635"/>
        </c:manualLayout>
      </c:layout>
      <c:overlay val="0"/>
    </c:legend>
    <c:plotVisOnly val="1"/>
    <c:dispBlanksAs val="gap"/>
    <c:showDLblsOverMax val="0"/>
  </c:chart>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t>Porovnan</a:t>
            </a:r>
            <a:r>
              <a:rPr lang="sk-SK" sz="1100"/>
              <a:t>i</a:t>
            </a:r>
            <a:r>
              <a:rPr lang="en-US" sz="1100"/>
              <a:t>e </a:t>
            </a:r>
            <a:r>
              <a:rPr lang="sk-SK" sz="1100"/>
              <a:t>skutočných a ekonomických </a:t>
            </a:r>
            <a:r>
              <a:rPr lang="en-US" sz="1100"/>
              <a:t>sadzieb mýta pre nákladné vozidlá s hmotnosťou </a:t>
            </a:r>
            <a:r>
              <a:rPr lang="sk-SK" sz="1100"/>
              <a:t>od </a:t>
            </a:r>
            <a:r>
              <a:rPr lang="en-US" sz="1100"/>
              <a:t>3,5</a:t>
            </a:r>
            <a:r>
              <a:rPr lang="sk-SK" sz="1100"/>
              <a:t> do</a:t>
            </a:r>
            <a:r>
              <a:rPr lang="en-US" sz="1100"/>
              <a:t> 12</a:t>
            </a:r>
            <a:r>
              <a:rPr lang="sk-SK" sz="1100"/>
              <a:t> </a:t>
            </a:r>
            <a:r>
              <a:rPr lang="en-US" sz="1100"/>
              <a:t>t</a:t>
            </a:r>
            <a:r>
              <a:rPr lang="sk-SK" sz="1100"/>
              <a:t>on na  cestách I. triedy (nesúbežných)</a:t>
            </a:r>
            <a:endParaRPr lang="en-US" sz="1100"/>
          </a:p>
        </c:rich>
      </c:tx>
      <c:overlay val="0"/>
    </c:title>
    <c:autoTitleDeleted val="0"/>
    <c:plotArea>
      <c:layout>
        <c:manualLayout>
          <c:layoutTarget val="inner"/>
          <c:xMode val="edge"/>
          <c:yMode val="edge"/>
          <c:x val="8.9444420990629964E-2"/>
          <c:y val="0.29263111111111079"/>
          <c:w val="0.86914563341598483"/>
          <c:h val="0.45494166666666658"/>
        </c:manualLayout>
      </c:layout>
      <c:barChart>
        <c:barDir val="col"/>
        <c:grouping val="clustered"/>
        <c:varyColors val="0"/>
        <c:ser>
          <c:idx val="1"/>
          <c:order val="0"/>
          <c:tx>
            <c:strRef>
              <c:f>Hárok3!$A$1</c:f>
              <c:strCache>
                <c:ptCount val="1"/>
                <c:pt idx="0">
                  <c:v>2019</c:v>
                </c:pt>
              </c:strCache>
            </c:strRef>
          </c:tx>
          <c:spPr>
            <a:solidFill>
              <a:schemeClr val="accent5">
                <a:lumMod val="75000"/>
              </a:schemeClr>
            </a:solidFill>
          </c:spPr>
          <c:invertIfNegative val="0"/>
          <c:dLbls>
            <c:dLbl>
              <c:idx val="0"/>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300-4B32-A953-7E23A906BC01}"/>
                </c:ext>
              </c:extLst>
            </c:dLbl>
            <c:dLbl>
              <c:idx val="1"/>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300-4B32-A953-7E23A906BC01}"/>
                </c:ext>
              </c:extLst>
            </c:dLbl>
            <c:dLbl>
              <c:idx val="2"/>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300-4B32-A953-7E23A906BC01}"/>
                </c:ext>
              </c:extLst>
            </c:dLbl>
            <c:spPr>
              <a:noFill/>
              <a:ln>
                <a:noFill/>
              </a:ln>
              <a:effectLst/>
            </c:spPr>
            <c:txPr>
              <a:bodyPr/>
              <a:lstStyle/>
              <a:p>
                <a:pPr>
                  <a:defRPr sz="800" b="1"/>
                </a:pPr>
                <a:endParaRPr lang="sk-SK"/>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Hárok3!$R$7:$T$7</c:f>
              <c:numCache>
                <c:formatCode>#,##0.000\ [$€-41B]</c:formatCode>
                <c:ptCount val="3"/>
                <c:pt idx="0">
                  <c:v>8.5000000000000006E-2</c:v>
                </c:pt>
                <c:pt idx="1">
                  <c:v>7.5999999999999998E-2</c:v>
                </c:pt>
                <c:pt idx="2">
                  <c:v>6.6000000000000003E-2</c:v>
                </c:pt>
              </c:numCache>
            </c:numRef>
          </c:val>
          <c:extLst>
            <c:ext xmlns:c16="http://schemas.microsoft.com/office/drawing/2014/chart" uri="{C3380CC4-5D6E-409C-BE32-E72D297353CC}">
              <c16:uniqueId val="{00000003-F300-4B32-A953-7E23A906BC01}"/>
            </c:ext>
          </c:extLst>
        </c:ser>
        <c:ser>
          <c:idx val="2"/>
          <c:order val="1"/>
          <c:tx>
            <c:strRef>
              <c:f>Hárok3!$A$36</c:f>
              <c:strCache>
                <c:ptCount val="1"/>
                <c:pt idx="0">
                  <c:v>2009</c:v>
                </c:pt>
              </c:strCache>
            </c:strRef>
          </c:tx>
          <c:spPr>
            <a:solidFill>
              <a:srgbClr val="4BACC6">
                <a:lumMod val="75000"/>
                <a:alpha val="43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Hárok3!$J$38:$L$38</c:f>
              <c:numCache>
                <c:formatCode>#,##0.000\ [$€-41B]</c:formatCode>
                <c:ptCount val="3"/>
                <c:pt idx="0">
                  <c:v>7.0000000000000021E-2</c:v>
                </c:pt>
                <c:pt idx="1">
                  <c:v>6.3E-2</c:v>
                </c:pt>
                <c:pt idx="2">
                  <c:v>6.3E-2</c:v>
                </c:pt>
              </c:numCache>
            </c:numRef>
          </c:val>
          <c:extLst>
            <c:ext xmlns:c16="http://schemas.microsoft.com/office/drawing/2014/chart" uri="{C3380CC4-5D6E-409C-BE32-E72D297353CC}">
              <c16:uniqueId val="{00000004-F300-4B32-A953-7E23A906BC01}"/>
            </c:ext>
          </c:extLst>
        </c:ser>
        <c:ser>
          <c:idx val="0"/>
          <c:order val="2"/>
          <c:tx>
            <c:strRef>
              <c:f>Hárok3!$H$15</c:f>
              <c:strCache>
                <c:ptCount val="1"/>
                <c:pt idx="0">
                  <c:v>Ekonomické mýto cesty I.tr.</c:v>
                </c:pt>
              </c:strCache>
            </c:strRef>
          </c:tx>
          <c:spPr>
            <a:solidFill>
              <a:srgbClr val="EEECE1">
                <a:lumMod val="25000"/>
                <a:alpha val="65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Hárok3!$J$26:$L$26</c:f>
              <c:numCache>
                <c:formatCode>#,##0.000\ [$€-41B]</c:formatCode>
                <c:ptCount val="3"/>
                <c:pt idx="0">
                  <c:v>0.17128062139016131</c:v>
                </c:pt>
                <c:pt idx="1">
                  <c:v>0.16099050653920199</c:v>
                </c:pt>
                <c:pt idx="2">
                  <c:v>0.15833499302927731</c:v>
                </c:pt>
              </c:numCache>
            </c:numRef>
          </c:val>
          <c:extLst>
            <c:ext xmlns:c16="http://schemas.microsoft.com/office/drawing/2014/chart" uri="{C3380CC4-5D6E-409C-BE32-E72D297353CC}">
              <c16:uniqueId val="{00000005-F300-4B32-A953-7E23A906BC01}"/>
            </c:ext>
          </c:extLst>
        </c:ser>
        <c:dLbls>
          <c:showLegendKey val="0"/>
          <c:showVal val="0"/>
          <c:showCatName val="0"/>
          <c:showSerName val="0"/>
          <c:showPercent val="0"/>
          <c:showBubbleSize val="0"/>
        </c:dLbls>
        <c:gapWidth val="150"/>
        <c:axId val="700623488"/>
        <c:axId val="700629376"/>
      </c:barChart>
      <c:catAx>
        <c:axId val="700623488"/>
        <c:scaling>
          <c:orientation val="minMax"/>
        </c:scaling>
        <c:delete val="0"/>
        <c:axPos val="b"/>
        <c:numFmt formatCode="General" sourceLinked="0"/>
        <c:majorTickMark val="out"/>
        <c:minorTickMark val="none"/>
        <c:tickLblPos val="nextTo"/>
        <c:crossAx val="700629376"/>
        <c:crosses val="autoZero"/>
        <c:auto val="1"/>
        <c:lblAlgn val="ctr"/>
        <c:lblOffset val="100"/>
        <c:noMultiLvlLbl val="0"/>
      </c:catAx>
      <c:valAx>
        <c:axId val="700629376"/>
        <c:scaling>
          <c:orientation val="minMax"/>
        </c:scaling>
        <c:delete val="0"/>
        <c:axPos val="l"/>
        <c:numFmt formatCode="#,##0.00\ [$€-41B]" sourceLinked="0"/>
        <c:majorTickMark val="out"/>
        <c:minorTickMark val="none"/>
        <c:tickLblPos val="nextTo"/>
        <c:crossAx val="700623488"/>
        <c:crosses val="autoZero"/>
        <c:crossBetween val="between"/>
      </c:valAx>
    </c:plotArea>
    <c:legend>
      <c:legendPos val="b"/>
      <c:layout>
        <c:manualLayout>
          <c:xMode val="edge"/>
          <c:yMode val="edge"/>
          <c:x val="0.25489652832178039"/>
          <c:y val="0.88779953703703762"/>
          <c:w val="0.47738075079708253"/>
          <c:h val="0.10632083333333336"/>
        </c:manualLayout>
      </c:layout>
      <c:overlay val="0"/>
    </c:legend>
    <c:plotVisOnly val="1"/>
    <c:dispBlanksAs val="gap"/>
    <c:showDLblsOverMax val="0"/>
  </c:chart>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t>Porovnan</a:t>
            </a:r>
            <a:r>
              <a:rPr lang="sk-SK" sz="1100"/>
              <a:t>i</a:t>
            </a:r>
            <a:r>
              <a:rPr lang="en-US" sz="1100"/>
              <a:t>e sadzieb mýta pre </a:t>
            </a:r>
            <a:r>
              <a:rPr lang="sk-SK" sz="1100"/>
              <a:t>autobusy </a:t>
            </a:r>
            <a:r>
              <a:rPr lang="en-US" sz="1100"/>
              <a:t>s hmotnosťou </a:t>
            </a:r>
            <a:r>
              <a:rPr lang="sk-SK" sz="1100"/>
              <a:t>od </a:t>
            </a:r>
            <a:r>
              <a:rPr lang="en-US" sz="1100"/>
              <a:t>3,5</a:t>
            </a:r>
            <a:r>
              <a:rPr lang="sk-SK" sz="1100"/>
              <a:t> do</a:t>
            </a:r>
            <a:r>
              <a:rPr lang="en-US" sz="1100"/>
              <a:t> 12</a:t>
            </a:r>
            <a:r>
              <a:rPr lang="sk-SK" sz="1100"/>
              <a:t> </a:t>
            </a:r>
            <a:r>
              <a:rPr lang="en-US" sz="1100"/>
              <a:t>t</a:t>
            </a:r>
            <a:r>
              <a:rPr lang="sk-SK" sz="1100"/>
              <a:t>on na cestách I. triedy (nesúbežných)</a:t>
            </a:r>
            <a:endParaRPr lang="en-US" sz="1100"/>
          </a:p>
        </c:rich>
      </c:tx>
      <c:overlay val="0"/>
    </c:title>
    <c:autoTitleDeleted val="0"/>
    <c:plotArea>
      <c:layout>
        <c:manualLayout>
          <c:layoutTarget val="inner"/>
          <c:xMode val="edge"/>
          <c:yMode val="edge"/>
          <c:x val="8.959428245707568E-2"/>
          <c:y val="0.30837055555555642"/>
          <c:w val="0.89535585514640914"/>
          <c:h val="0.44064944444444443"/>
        </c:manualLayout>
      </c:layout>
      <c:barChart>
        <c:barDir val="col"/>
        <c:grouping val="clustered"/>
        <c:varyColors val="0"/>
        <c:ser>
          <c:idx val="1"/>
          <c:order val="0"/>
          <c:tx>
            <c:strRef>
              <c:f>Hárok3!$A$1</c:f>
              <c:strCache>
                <c:ptCount val="1"/>
                <c:pt idx="0">
                  <c:v>2019</c:v>
                </c:pt>
              </c:strCache>
            </c:strRef>
          </c:tx>
          <c:spPr>
            <a:solidFill>
              <a:schemeClr val="accent5">
                <a:lumMod val="75000"/>
              </a:scheme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Hárok3!$R$12:$T$12</c:f>
              <c:numCache>
                <c:formatCode>#,##0.000\ [$€-41B]</c:formatCode>
                <c:ptCount val="3"/>
                <c:pt idx="0">
                  <c:v>4.3000000000000003E-2</c:v>
                </c:pt>
                <c:pt idx="1">
                  <c:v>3.2000000000000042E-2</c:v>
                </c:pt>
                <c:pt idx="2">
                  <c:v>2.1999999999999999E-2</c:v>
                </c:pt>
              </c:numCache>
            </c:numRef>
          </c:val>
          <c:extLst>
            <c:ext xmlns:c16="http://schemas.microsoft.com/office/drawing/2014/chart" uri="{C3380CC4-5D6E-409C-BE32-E72D297353CC}">
              <c16:uniqueId val="{00000000-C843-48E0-9468-80742651187B}"/>
            </c:ext>
          </c:extLst>
        </c:ser>
        <c:ser>
          <c:idx val="2"/>
          <c:order val="1"/>
          <c:tx>
            <c:strRef>
              <c:f>Hárok3!$A$36</c:f>
              <c:strCache>
                <c:ptCount val="1"/>
                <c:pt idx="0">
                  <c:v>2009</c:v>
                </c:pt>
              </c:strCache>
            </c:strRef>
          </c:tx>
          <c:spPr>
            <a:solidFill>
              <a:srgbClr val="4BACC6">
                <a:lumMod val="75000"/>
                <a:alpha val="43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Hárok3!$J$43:$L$43</c:f>
              <c:numCache>
                <c:formatCode>#,##0.000\ [$€-41B]</c:formatCode>
                <c:ptCount val="3"/>
                <c:pt idx="0">
                  <c:v>4.0000000000000022E-2</c:v>
                </c:pt>
                <c:pt idx="1">
                  <c:v>3.0000000000000002E-2</c:v>
                </c:pt>
                <c:pt idx="2">
                  <c:v>2.0000000000000011E-2</c:v>
                </c:pt>
              </c:numCache>
            </c:numRef>
          </c:val>
          <c:extLst>
            <c:ext xmlns:c16="http://schemas.microsoft.com/office/drawing/2014/chart" uri="{C3380CC4-5D6E-409C-BE32-E72D297353CC}">
              <c16:uniqueId val="{00000001-C843-48E0-9468-80742651187B}"/>
            </c:ext>
          </c:extLst>
        </c:ser>
        <c:ser>
          <c:idx val="0"/>
          <c:order val="2"/>
          <c:tx>
            <c:strRef>
              <c:f>Hárok3!$H$15</c:f>
              <c:strCache>
                <c:ptCount val="1"/>
                <c:pt idx="0">
                  <c:v>Ekonomické mýto cesty I.tr.</c:v>
                </c:pt>
              </c:strCache>
            </c:strRef>
          </c:tx>
          <c:spPr>
            <a:solidFill>
              <a:srgbClr val="EEECE1">
                <a:lumMod val="25000"/>
                <a:alpha val="65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Hárok3!$D$4:$F$4</c:f>
              <c:strCache>
                <c:ptCount val="3"/>
                <c:pt idx="0">
                  <c:v>EURO 0 – II</c:v>
                </c:pt>
                <c:pt idx="1">
                  <c:v>EURO III, IV</c:v>
                </c:pt>
                <c:pt idx="2">
                  <c:v>EURO V, VI, EEV</c:v>
                </c:pt>
              </c:strCache>
            </c:strRef>
          </c:cat>
          <c:val>
            <c:numRef>
              <c:f>Hárok3!$J$31:$L$31</c:f>
              <c:numCache>
                <c:formatCode>#,##0.000\ [$€-41B]</c:formatCode>
                <c:ptCount val="3"/>
                <c:pt idx="0">
                  <c:v>0.16928898625771771</c:v>
                </c:pt>
                <c:pt idx="1">
                  <c:v>0.16065856735046138</c:v>
                </c:pt>
                <c:pt idx="2">
                  <c:v>0.15833499302927731</c:v>
                </c:pt>
              </c:numCache>
            </c:numRef>
          </c:val>
          <c:extLst>
            <c:ext xmlns:c16="http://schemas.microsoft.com/office/drawing/2014/chart" uri="{C3380CC4-5D6E-409C-BE32-E72D297353CC}">
              <c16:uniqueId val="{00000002-C843-48E0-9468-80742651187B}"/>
            </c:ext>
          </c:extLst>
        </c:ser>
        <c:dLbls>
          <c:showLegendKey val="0"/>
          <c:showVal val="0"/>
          <c:showCatName val="0"/>
          <c:showSerName val="0"/>
          <c:showPercent val="0"/>
          <c:showBubbleSize val="0"/>
        </c:dLbls>
        <c:gapWidth val="150"/>
        <c:axId val="701763584"/>
        <c:axId val="701765120"/>
      </c:barChart>
      <c:catAx>
        <c:axId val="701763584"/>
        <c:scaling>
          <c:orientation val="minMax"/>
        </c:scaling>
        <c:delete val="0"/>
        <c:axPos val="b"/>
        <c:numFmt formatCode="General" sourceLinked="0"/>
        <c:majorTickMark val="out"/>
        <c:minorTickMark val="none"/>
        <c:tickLblPos val="nextTo"/>
        <c:crossAx val="701765120"/>
        <c:crosses val="autoZero"/>
        <c:auto val="1"/>
        <c:lblAlgn val="ctr"/>
        <c:lblOffset val="100"/>
        <c:noMultiLvlLbl val="0"/>
      </c:catAx>
      <c:valAx>
        <c:axId val="701765120"/>
        <c:scaling>
          <c:orientation val="minMax"/>
        </c:scaling>
        <c:delete val="0"/>
        <c:axPos val="l"/>
        <c:numFmt formatCode="#,##0.00\ [$€-41B]" sourceLinked="0"/>
        <c:majorTickMark val="out"/>
        <c:minorTickMark val="none"/>
        <c:tickLblPos val="nextTo"/>
        <c:crossAx val="701763584"/>
        <c:crosses val="autoZero"/>
        <c:crossBetween val="between"/>
      </c:valAx>
    </c:plotArea>
    <c:legend>
      <c:legendPos val="b"/>
      <c:layout>
        <c:manualLayout>
          <c:xMode val="edge"/>
          <c:yMode val="edge"/>
          <c:x val="0.24848351620236594"/>
          <c:y val="0.88779953703703762"/>
          <c:w val="0.47738075079708253"/>
          <c:h val="0.10632083333333336"/>
        </c:manualLayout>
      </c:layout>
      <c:overlay val="0"/>
    </c:legend>
    <c:plotVisOnly val="1"/>
    <c:dispBlanksAs val="gap"/>
    <c:showDLblsOverMax val="0"/>
  </c:chart>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2"/>
    </mc:Choice>
    <mc:Fallback>
      <c:style val="12"/>
    </mc:Fallback>
  </mc:AlternateContent>
  <c:chart>
    <c:title>
      <c:tx>
        <c:rich>
          <a:bodyPr/>
          <a:lstStyle/>
          <a:p>
            <a:pPr>
              <a:defRPr sz="1100"/>
            </a:pPr>
            <a:r>
              <a:rPr lang="sk-SK" sz="1100"/>
              <a:t>Vývoj sadzieb na diaľniciach a rýchlostných cestách v SR (EURO IV.)</a:t>
            </a:r>
            <a:endParaRPr lang="en-US" sz="1100"/>
          </a:p>
        </c:rich>
      </c:tx>
      <c:overlay val="0"/>
    </c:title>
    <c:autoTitleDeleted val="0"/>
    <c:plotArea>
      <c:layout/>
      <c:barChart>
        <c:barDir val="col"/>
        <c:grouping val="clustered"/>
        <c:varyColors val="0"/>
        <c:ser>
          <c:idx val="0"/>
          <c:order val="0"/>
          <c:tx>
            <c:strRef>
              <c:f>'DaRC štáty grafy'!$C$2:$C$3</c:f>
              <c:strCache>
                <c:ptCount val="1"/>
                <c:pt idx="0">
                  <c:v>3,5 t – 12 t/ NV</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grafy'!$B$4:$B$12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grafy'!$C$4:$C$12</c:f>
              <c:numCache>
                <c:formatCode>#,##0.000\ "€"</c:formatCode>
                <c:ptCount val="9"/>
                <c:pt idx="0">
                  <c:v>8.6000000000000021E-2</c:v>
                </c:pt>
                <c:pt idx="1">
                  <c:v>8.6000000000000021E-2</c:v>
                </c:pt>
                <c:pt idx="2">
                  <c:v>8.6000000000000021E-2</c:v>
                </c:pt>
                <c:pt idx="3">
                  <c:v>8.6000000000000021E-2</c:v>
                </c:pt>
                <c:pt idx="4">
                  <c:v>9.3000000000000208E-2</c:v>
                </c:pt>
                <c:pt idx="5">
                  <c:v>9.3000000000000208E-2</c:v>
                </c:pt>
                <c:pt idx="6">
                  <c:v>9.3000000000000208E-2</c:v>
                </c:pt>
                <c:pt idx="7">
                  <c:v>9.3000000000000208E-2</c:v>
                </c:pt>
                <c:pt idx="8">
                  <c:v>9.5000000000000043E-2</c:v>
                </c:pt>
              </c:numCache>
            </c:numRef>
          </c:val>
          <c:extLst>
            <c:ext xmlns:c16="http://schemas.microsoft.com/office/drawing/2014/chart" uri="{C3380CC4-5D6E-409C-BE32-E72D297353CC}">
              <c16:uniqueId val="{00000000-75BA-4265-A68B-71BCD1ED2048}"/>
            </c:ext>
          </c:extLst>
        </c:ser>
        <c:ser>
          <c:idx val="1"/>
          <c:order val="1"/>
          <c:tx>
            <c:strRef>
              <c:f>'DaRC štáty grafy'!$D$2:$D$3</c:f>
              <c:strCache>
                <c:ptCount val="1"/>
                <c:pt idx="0">
                  <c:v>3,5 t – 12 t/ BUS</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grafy'!$B$4:$B$12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grafy'!$D$4:$D$12</c:f>
              <c:numCache>
                <c:formatCode>#,##0.000\ "€"</c:formatCode>
                <c:ptCount val="9"/>
                <c:pt idx="0">
                  <c:v>5.3000000000000012E-2</c:v>
                </c:pt>
                <c:pt idx="1">
                  <c:v>5.3000000000000012E-2</c:v>
                </c:pt>
                <c:pt idx="2">
                  <c:v>5.3000000000000012E-2</c:v>
                </c:pt>
                <c:pt idx="3">
                  <c:v>5.3000000000000012E-2</c:v>
                </c:pt>
                <c:pt idx="4">
                  <c:v>5.3000000000000012E-2</c:v>
                </c:pt>
                <c:pt idx="5">
                  <c:v>5.3000000000000012E-2</c:v>
                </c:pt>
                <c:pt idx="6">
                  <c:v>5.3000000000000012E-2</c:v>
                </c:pt>
                <c:pt idx="7">
                  <c:v>5.3000000000000012E-2</c:v>
                </c:pt>
                <c:pt idx="8">
                  <c:v>5.1000000000000004E-2</c:v>
                </c:pt>
              </c:numCache>
            </c:numRef>
          </c:val>
          <c:extLst>
            <c:ext xmlns:c16="http://schemas.microsoft.com/office/drawing/2014/chart" uri="{C3380CC4-5D6E-409C-BE32-E72D297353CC}">
              <c16:uniqueId val="{00000001-75BA-4265-A68B-71BCD1ED2048}"/>
            </c:ext>
          </c:extLst>
        </c:ser>
        <c:ser>
          <c:idx val="2"/>
          <c:order val="2"/>
          <c:tx>
            <c:strRef>
              <c:f>'DaRC štáty grafy'!$E$2:$E$3</c:f>
              <c:strCache>
                <c:ptCount val="1"/>
                <c:pt idx="0">
                  <c:v>nad 12 t/ 3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grafy'!$B$4:$B$12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grafy'!$E$4:$E$12</c:f>
              <c:numCache>
                <c:formatCode>#,##0.000\ "€"</c:formatCode>
                <c:ptCount val="9"/>
                <c:pt idx="0">
                  <c:v>0.193</c:v>
                </c:pt>
                <c:pt idx="1">
                  <c:v>0.193</c:v>
                </c:pt>
                <c:pt idx="2">
                  <c:v>0.193</c:v>
                </c:pt>
                <c:pt idx="3">
                  <c:v>0.193</c:v>
                </c:pt>
                <c:pt idx="4">
                  <c:v>0.21200000000000024</c:v>
                </c:pt>
                <c:pt idx="5">
                  <c:v>0.21200000000000024</c:v>
                </c:pt>
                <c:pt idx="6">
                  <c:v>0.21100000000000024</c:v>
                </c:pt>
                <c:pt idx="7">
                  <c:v>0.21400000000000025</c:v>
                </c:pt>
                <c:pt idx="8">
                  <c:v>0.21400000000000025</c:v>
                </c:pt>
              </c:numCache>
            </c:numRef>
          </c:val>
          <c:extLst>
            <c:ext xmlns:c16="http://schemas.microsoft.com/office/drawing/2014/chart" uri="{C3380CC4-5D6E-409C-BE32-E72D297353CC}">
              <c16:uniqueId val="{00000002-75BA-4265-A68B-71BCD1ED2048}"/>
            </c:ext>
          </c:extLst>
        </c:ser>
        <c:ser>
          <c:idx val="3"/>
          <c:order val="3"/>
          <c:tx>
            <c:strRef>
              <c:f>'DaRC štáty grafy'!$F$2:$F$3</c:f>
              <c:strCache>
                <c:ptCount val="1"/>
                <c:pt idx="0">
                  <c:v>nad 12 t/ 4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grafy'!$B$4:$B$12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grafy'!$F$4:$F$12</c:f>
              <c:numCache>
                <c:formatCode>#,##0.000\ "€"</c:formatCode>
                <c:ptCount val="9"/>
                <c:pt idx="0">
                  <c:v>0.19900000000000001</c:v>
                </c:pt>
                <c:pt idx="1">
                  <c:v>0.19900000000000001</c:v>
                </c:pt>
                <c:pt idx="2">
                  <c:v>0.19900000000000001</c:v>
                </c:pt>
                <c:pt idx="3">
                  <c:v>0.19900000000000001</c:v>
                </c:pt>
                <c:pt idx="4">
                  <c:v>0.22</c:v>
                </c:pt>
                <c:pt idx="5">
                  <c:v>0.22</c:v>
                </c:pt>
                <c:pt idx="6">
                  <c:v>0.21900000000000028</c:v>
                </c:pt>
                <c:pt idx="7">
                  <c:v>0.21800000000000028</c:v>
                </c:pt>
                <c:pt idx="8">
                  <c:v>0.222</c:v>
                </c:pt>
              </c:numCache>
            </c:numRef>
          </c:val>
          <c:extLst>
            <c:ext xmlns:c16="http://schemas.microsoft.com/office/drawing/2014/chart" uri="{C3380CC4-5D6E-409C-BE32-E72D297353CC}">
              <c16:uniqueId val="{00000003-75BA-4265-A68B-71BCD1ED2048}"/>
            </c:ext>
          </c:extLst>
        </c:ser>
        <c:ser>
          <c:idx val="4"/>
          <c:order val="4"/>
          <c:tx>
            <c:strRef>
              <c:f>'DaRC štáty grafy'!$G$2:$G$3</c:f>
              <c:strCache>
                <c:ptCount val="1"/>
                <c:pt idx="0">
                  <c:v>nad 12 t/ 5 náprav</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grafy'!$B$4:$B$12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grafy'!$G$4:$G$12</c:f>
              <c:numCache>
                <c:formatCode>#,##0.000\ "€"</c:formatCode>
                <c:ptCount val="9"/>
                <c:pt idx="0">
                  <c:v>0.193</c:v>
                </c:pt>
                <c:pt idx="1">
                  <c:v>0.193</c:v>
                </c:pt>
                <c:pt idx="2">
                  <c:v>0.193</c:v>
                </c:pt>
                <c:pt idx="3">
                  <c:v>0.193</c:v>
                </c:pt>
                <c:pt idx="4">
                  <c:v>0.21200000000000024</c:v>
                </c:pt>
                <c:pt idx="5">
                  <c:v>0.21200000000000024</c:v>
                </c:pt>
                <c:pt idx="6">
                  <c:v>0.21100000000000024</c:v>
                </c:pt>
                <c:pt idx="7">
                  <c:v>0.21000000000000021</c:v>
                </c:pt>
                <c:pt idx="8">
                  <c:v>0.21400000000000025</c:v>
                </c:pt>
              </c:numCache>
            </c:numRef>
          </c:val>
          <c:extLst>
            <c:ext xmlns:c16="http://schemas.microsoft.com/office/drawing/2014/chart" uri="{C3380CC4-5D6E-409C-BE32-E72D297353CC}">
              <c16:uniqueId val="{00000004-75BA-4265-A68B-71BCD1ED2048}"/>
            </c:ext>
          </c:extLst>
        </c:ser>
        <c:ser>
          <c:idx val="5"/>
          <c:order val="5"/>
          <c:tx>
            <c:strRef>
              <c:f>'DaRC štáty grafy'!$H$2:$H$3</c:f>
              <c:strCache>
                <c:ptCount val="1"/>
                <c:pt idx="0">
                  <c:v>nad 12 t/ BUS</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grafy'!$B$4:$B$12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grafy'!$H$4:$H$12</c:f>
              <c:numCache>
                <c:formatCode>#,##0.000\ "€"</c:formatCode>
                <c:ptCount val="9"/>
                <c:pt idx="0">
                  <c:v>0.10500000000000002</c:v>
                </c:pt>
                <c:pt idx="1">
                  <c:v>0.10500000000000002</c:v>
                </c:pt>
                <c:pt idx="2">
                  <c:v>0.10500000000000002</c:v>
                </c:pt>
                <c:pt idx="3">
                  <c:v>0.10500000000000002</c:v>
                </c:pt>
                <c:pt idx="4">
                  <c:v>0.10500000000000002</c:v>
                </c:pt>
                <c:pt idx="5">
                  <c:v>0.10500000000000002</c:v>
                </c:pt>
                <c:pt idx="6">
                  <c:v>0.10500000000000002</c:v>
                </c:pt>
                <c:pt idx="7">
                  <c:v>0.10500000000000002</c:v>
                </c:pt>
                <c:pt idx="8">
                  <c:v>0.10199999999999998</c:v>
                </c:pt>
              </c:numCache>
            </c:numRef>
          </c:val>
          <c:extLst>
            <c:ext xmlns:c16="http://schemas.microsoft.com/office/drawing/2014/chart" uri="{C3380CC4-5D6E-409C-BE32-E72D297353CC}">
              <c16:uniqueId val="{00000005-75BA-4265-A68B-71BCD1ED2048}"/>
            </c:ext>
          </c:extLst>
        </c:ser>
        <c:dLbls>
          <c:showLegendKey val="0"/>
          <c:showVal val="0"/>
          <c:showCatName val="0"/>
          <c:showSerName val="0"/>
          <c:showPercent val="0"/>
          <c:showBubbleSize val="0"/>
        </c:dLbls>
        <c:gapWidth val="150"/>
        <c:axId val="701806464"/>
        <c:axId val="701808000"/>
      </c:barChart>
      <c:catAx>
        <c:axId val="701806464"/>
        <c:scaling>
          <c:orientation val="minMax"/>
        </c:scaling>
        <c:delete val="0"/>
        <c:axPos val="b"/>
        <c:numFmt formatCode="General" sourceLinked="1"/>
        <c:majorTickMark val="out"/>
        <c:minorTickMark val="none"/>
        <c:tickLblPos val="nextTo"/>
        <c:crossAx val="701808000"/>
        <c:crosses val="autoZero"/>
        <c:auto val="1"/>
        <c:lblAlgn val="ctr"/>
        <c:lblOffset val="100"/>
        <c:noMultiLvlLbl val="0"/>
      </c:catAx>
      <c:valAx>
        <c:axId val="701808000"/>
        <c:scaling>
          <c:orientation val="minMax"/>
          <c:max val="0.60000000000000064"/>
        </c:scaling>
        <c:delete val="0"/>
        <c:axPos val="l"/>
        <c:numFmt formatCode="#,##0.00\ &quot;€&quot;" sourceLinked="0"/>
        <c:majorTickMark val="out"/>
        <c:minorTickMark val="none"/>
        <c:tickLblPos val="nextTo"/>
        <c:crossAx val="701806464"/>
        <c:crosses val="autoZero"/>
        <c:crossBetween val="between"/>
      </c:valAx>
    </c:plotArea>
    <c:legend>
      <c:legendPos val="b"/>
      <c:layout>
        <c:manualLayout>
          <c:xMode val="edge"/>
          <c:yMode val="edge"/>
          <c:x val="1.2969015566327781E-3"/>
          <c:y val="0.77510277777777781"/>
          <c:w val="0.99407719144673956"/>
          <c:h val="0.19096610915493029"/>
        </c:manualLayout>
      </c:layout>
      <c:overlay val="0"/>
      <c:txPr>
        <a:bodyPr/>
        <a:lstStyle/>
        <a:p>
          <a:pPr>
            <a:defRPr sz="900"/>
          </a:pPr>
          <a:endParaRPr lang="sk-SK"/>
        </a:p>
      </c:txPr>
    </c:legend>
    <c:plotVisOnly val="1"/>
    <c:dispBlanksAs val="gap"/>
    <c:showDLblsOverMax val="0"/>
  </c:chart>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2"/>
    </mc:Choice>
    <mc:Fallback>
      <c:style val="1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sk-SK" sz="1100"/>
              <a:t>Vývoj sadzieb na cestách I.</a:t>
            </a:r>
            <a:r>
              <a:rPr lang="sk-SK" sz="1100" baseline="0"/>
              <a:t> triedy nesúbežných s D a RC </a:t>
            </a:r>
            <a:r>
              <a:rPr lang="sk-SK" sz="1100"/>
              <a:t>v SR (EURO IV.)</a:t>
            </a:r>
          </a:p>
        </c:rich>
      </c:tx>
      <c:overlay val="0"/>
    </c:title>
    <c:autoTitleDeleted val="0"/>
    <c:plotArea>
      <c:layout/>
      <c:barChart>
        <c:barDir val="col"/>
        <c:grouping val="clustered"/>
        <c:varyColors val="0"/>
        <c:ser>
          <c:idx val="0"/>
          <c:order val="0"/>
          <c:tx>
            <c:strRef>
              <c:f>'final porov I.tr.'!$D$2:$D$3</c:f>
              <c:strCache>
                <c:ptCount val="1"/>
                <c:pt idx="0">
                  <c:v>3,5 t – 12 t/ NV</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I.tr.'!$C$4:$C$12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I.tr.'!$D$4:$D$12</c:f>
              <c:numCache>
                <c:formatCode>#,##0.00\ "€"</c:formatCode>
                <c:ptCount val="9"/>
                <c:pt idx="0">
                  <c:v>6.3E-2</c:v>
                </c:pt>
                <c:pt idx="1">
                  <c:v>6.3E-2</c:v>
                </c:pt>
                <c:pt idx="2">
                  <c:v>6.3E-2</c:v>
                </c:pt>
                <c:pt idx="3">
                  <c:v>6.3E-2</c:v>
                </c:pt>
                <c:pt idx="4">
                  <c:v>7.1999999999999995E-2</c:v>
                </c:pt>
                <c:pt idx="5">
                  <c:v>7.1999999999999995E-2</c:v>
                </c:pt>
                <c:pt idx="6">
                  <c:v>7.1999999999999995E-2</c:v>
                </c:pt>
                <c:pt idx="7">
                  <c:v>7.1999999999999995E-2</c:v>
                </c:pt>
                <c:pt idx="8">
                  <c:v>7.3999999999999996E-2</c:v>
                </c:pt>
              </c:numCache>
            </c:numRef>
          </c:val>
          <c:extLst>
            <c:ext xmlns:c16="http://schemas.microsoft.com/office/drawing/2014/chart" uri="{C3380CC4-5D6E-409C-BE32-E72D297353CC}">
              <c16:uniqueId val="{00000000-2B2E-40C5-97AE-80F21E44F406}"/>
            </c:ext>
          </c:extLst>
        </c:ser>
        <c:ser>
          <c:idx val="1"/>
          <c:order val="1"/>
          <c:tx>
            <c:strRef>
              <c:f>'final porov I.tr.'!$E$2:$E$3</c:f>
              <c:strCache>
                <c:ptCount val="1"/>
                <c:pt idx="0">
                  <c:v>3,5 t – 12 t/ BUS</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I.tr.'!$C$4:$C$12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I.tr.'!$E$4:$E$12</c:f>
              <c:numCache>
                <c:formatCode>#,##0.00\ "€"</c:formatCode>
                <c:ptCount val="9"/>
                <c:pt idx="0">
                  <c:v>3.2000000000000042E-2</c:v>
                </c:pt>
                <c:pt idx="1">
                  <c:v>3.2000000000000042E-2</c:v>
                </c:pt>
                <c:pt idx="2">
                  <c:v>3.2000000000000042E-2</c:v>
                </c:pt>
                <c:pt idx="3">
                  <c:v>3.2000000000000042E-2</c:v>
                </c:pt>
                <c:pt idx="4">
                  <c:v>3.2000000000000042E-2</c:v>
                </c:pt>
                <c:pt idx="5">
                  <c:v>3.2000000000000042E-2</c:v>
                </c:pt>
                <c:pt idx="6">
                  <c:v>3.2000000000000042E-2</c:v>
                </c:pt>
                <c:pt idx="7">
                  <c:v>3.2000000000000042E-2</c:v>
                </c:pt>
                <c:pt idx="8">
                  <c:v>3.1000000000000045E-2</c:v>
                </c:pt>
              </c:numCache>
            </c:numRef>
          </c:val>
          <c:extLst>
            <c:ext xmlns:c16="http://schemas.microsoft.com/office/drawing/2014/chart" uri="{C3380CC4-5D6E-409C-BE32-E72D297353CC}">
              <c16:uniqueId val="{00000001-2B2E-40C5-97AE-80F21E44F406}"/>
            </c:ext>
          </c:extLst>
        </c:ser>
        <c:ser>
          <c:idx val="2"/>
          <c:order val="2"/>
          <c:tx>
            <c:strRef>
              <c:f>'final porov I.tr.'!$F$2:$F$3</c:f>
              <c:strCache>
                <c:ptCount val="1"/>
                <c:pt idx="0">
                  <c:v>nad 12 t/ 3 nápravy</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I.tr.'!$C$4:$C$12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I.tr.'!$F$4:$F$12</c:f>
              <c:numCache>
                <c:formatCode>#,##0.00\ "€"</c:formatCode>
                <c:ptCount val="9"/>
                <c:pt idx="0">
                  <c:v>0.14600000000000021</c:v>
                </c:pt>
                <c:pt idx="1">
                  <c:v>0.14600000000000021</c:v>
                </c:pt>
                <c:pt idx="2">
                  <c:v>0.14600000000000021</c:v>
                </c:pt>
                <c:pt idx="3">
                  <c:v>0.14600000000000021</c:v>
                </c:pt>
                <c:pt idx="4">
                  <c:v>0.16400000000000001</c:v>
                </c:pt>
                <c:pt idx="5">
                  <c:v>0.16400000000000001</c:v>
                </c:pt>
                <c:pt idx="6">
                  <c:v>0.16400000000000001</c:v>
                </c:pt>
                <c:pt idx="7">
                  <c:v>0.16400000000000001</c:v>
                </c:pt>
                <c:pt idx="8">
                  <c:v>0.16700000000000001</c:v>
                </c:pt>
              </c:numCache>
            </c:numRef>
          </c:val>
          <c:extLst>
            <c:ext xmlns:c16="http://schemas.microsoft.com/office/drawing/2014/chart" uri="{C3380CC4-5D6E-409C-BE32-E72D297353CC}">
              <c16:uniqueId val="{00000002-2B2E-40C5-97AE-80F21E44F406}"/>
            </c:ext>
          </c:extLst>
        </c:ser>
        <c:ser>
          <c:idx val="3"/>
          <c:order val="3"/>
          <c:tx>
            <c:strRef>
              <c:f>'final porov I.tr.'!$G$2:$G$3</c:f>
              <c:strCache>
                <c:ptCount val="1"/>
                <c:pt idx="0">
                  <c:v>nad 12 t/ 4 nápravy</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I.tr.'!$C$4:$C$12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I.tr.'!$G$4:$G$12</c:f>
              <c:numCache>
                <c:formatCode>#,##0.00\ "€"</c:formatCode>
                <c:ptCount val="9"/>
                <c:pt idx="0">
                  <c:v>0.14900000000000024</c:v>
                </c:pt>
                <c:pt idx="1">
                  <c:v>0.14900000000000024</c:v>
                </c:pt>
                <c:pt idx="2">
                  <c:v>0.14900000000000024</c:v>
                </c:pt>
                <c:pt idx="3">
                  <c:v>0.14900000000000024</c:v>
                </c:pt>
                <c:pt idx="4">
                  <c:v>0.16700000000000001</c:v>
                </c:pt>
                <c:pt idx="5">
                  <c:v>0.16700000000000001</c:v>
                </c:pt>
                <c:pt idx="6">
                  <c:v>0.16700000000000001</c:v>
                </c:pt>
                <c:pt idx="7">
                  <c:v>0.16700000000000001</c:v>
                </c:pt>
                <c:pt idx="8">
                  <c:v>0.17100000000000001</c:v>
                </c:pt>
              </c:numCache>
            </c:numRef>
          </c:val>
          <c:extLst>
            <c:ext xmlns:c16="http://schemas.microsoft.com/office/drawing/2014/chart" uri="{C3380CC4-5D6E-409C-BE32-E72D297353CC}">
              <c16:uniqueId val="{00000003-2B2E-40C5-97AE-80F21E44F406}"/>
            </c:ext>
          </c:extLst>
        </c:ser>
        <c:ser>
          <c:idx val="4"/>
          <c:order val="4"/>
          <c:tx>
            <c:strRef>
              <c:f>'final porov I.tr.'!$H$2:$H$3</c:f>
              <c:strCache>
                <c:ptCount val="1"/>
                <c:pt idx="0">
                  <c:v>nad 12 t/ 5 náprav</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I.tr.'!$C$4:$C$12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I.tr.'!$H$4:$H$12</c:f>
              <c:numCache>
                <c:formatCode>#,##0.00\ "€"</c:formatCode>
                <c:ptCount val="9"/>
                <c:pt idx="0">
                  <c:v>0.14600000000000021</c:v>
                </c:pt>
                <c:pt idx="1">
                  <c:v>0.14600000000000021</c:v>
                </c:pt>
                <c:pt idx="2">
                  <c:v>0.14600000000000021</c:v>
                </c:pt>
                <c:pt idx="3">
                  <c:v>0.14600000000000021</c:v>
                </c:pt>
                <c:pt idx="4">
                  <c:v>0.16400000000000001</c:v>
                </c:pt>
                <c:pt idx="5">
                  <c:v>0.16400000000000001</c:v>
                </c:pt>
                <c:pt idx="6">
                  <c:v>0.16400000000000001</c:v>
                </c:pt>
                <c:pt idx="7">
                  <c:v>0.16400000000000001</c:v>
                </c:pt>
                <c:pt idx="8">
                  <c:v>0.16700000000000001</c:v>
                </c:pt>
              </c:numCache>
            </c:numRef>
          </c:val>
          <c:extLst>
            <c:ext xmlns:c16="http://schemas.microsoft.com/office/drawing/2014/chart" uri="{C3380CC4-5D6E-409C-BE32-E72D297353CC}">
              <c16:uniqueId val="{00000004-2B2E-40C5-97AE-80F21E44F406}"/>
            </c:ext>
          </c:extLst>
        </c:ser>
        <c:ser>
          <c:idx val="5"/>
          <c:order val="5"/>
          <c:tx>
            <c:strRef>
              <c:f>'final porov I.tr.'!$I$2:$I$3</c:f>
              <c:strCache>
                <c:ptCount val="1"/>
                <c:pt idx="0">
                  <c:v>nad 12 t/ BUS</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I.tr.'!$C$4:$C$12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I.tr.'!$I$4:$I$12</c:f>
              <c:numCache>
                <c:formatCode>#,##0.00\ "€"</c:formatCode>
                <c:ptCount val="9"/>
                <c:pt idx="0">
                  <c:v>7.3999999999999996E-2</c:v>
                </c:pt>
                <c:pt idx="1">
                  <c:v>7.3999999999999996E-2</c:v>
                </c:pt>
                <c:pt idx="2">
                  <c:v>7.3999999999999996E-2</c:v>
                </c:pt>
                <c:pt idx="3">
                  <c:v>7.3999999999999996E-2</c:v>
                </c:pt>
                <c:pt idx="4">
                  <c:v>7.3999999999999996E-2</c:v>
                </c:pt>
                <c:pt idx="5">
                  <c:v>7.3999999999999996E-2</c:v>
                </c:pt>
                <c:pt idx="6">
                  <c:v>7.3999999999999996E-2</c:v>
                </c:pt>
                <c:pt idx="7">
                  <c:v>7.3999999999999996E-2</c:v>
                </c:pt>
                <c:pt idx="8">
                  <c:v>7.1999999999999995E-2</c:v>
                </c:pt>
              </c:numCache>
            </c:numRef>
          </c:val>
          <c:extLst>
            <c:ext xmlns:c16="http://schemas.microsoft.com/office/drawing/2014/chart" uri="{C3380CC4-5D6E-409C-BE32-E72D297353CC}">
              <c16:uniqueId val="{00000005-2B2E-40C5-97AE-80F21E44F406}"/>
            </c:ext>
          </c:extLst>
        </c:ser>
        <c:dLbls>
          <c:showLegendKey val="0"/>
          <c:showVal val="0"/>
          <c:showCatName val="0"/>
          <c:showSerName val="0"/>
          <c:showPercent val="0"/>
          <c:showBubbleSize val="0"/>
        </c:dLbls>
        <c:gapWidth val="150"/>
        <c:axId val="701874176"/>
        <c:axId val="701875712"/>
      </c:barChart>
      <c:catAx>
        <c:axId val="701874176"/>
        <c:scaling>
          <c:orientation val="minMax"/>
        </c:scaling>
        <c:delete val="0"/>
        <c:axPos val="b"/>
        <c:numFmt formatCode="General" sourceLinked="1"/>
        <c:majorTickMark val="out"/>
        <c:minorTickMark val="none"/>
        <c:tickLblPos val="nextTo"/>
        <c:crossAx val="701875712"/>
        <c:crosses val="autoZero"/>
        <c:auto val="1"/>
        <c:lblAlgn val="ctr"/>
        <c:lblOffset val="100"/>
        <c:noMultiLvlLbl val="0"/>
      </c:catAx>
      <c:valAx>
        <c:axId val="701875712"/>
        <c:scaling>
          <c:orientation val="minMax"/>
          <c:max val="0.60000000000000064"/>
        </c:scaling>
        <c:delete val="0"/>
        <c:axPos val="l"/>
        <c:numFmt formatCode="#,##0.00\ &quot;€&quot;" sourceLinked="0"/>
        <c:majorTickMark val="out"/>
        <c:minorTickMark val="none"/>
        <c:tickLblPos val="nextTo"/>
        <c:crossAx val="701874176"/>
        <c:crosses val="autoZero"/>
        <c:crossBetween val="between"/>
      </c:valAx>
    </c:plotArea>
    <c:legend>
      <c:legendPos val="b"/>
      <c:layout>
        <c:manualLayout>
          <c:xMode val="edge"/>
          <c:yMode val="edge"/>
          <c:x val="1.2969015566327781E-3"/>
          <c:y val="0.77510277777777781"/>
          <c:w val="0.99698288486048559"/>
          <c:h val="0.19096610915493031"/>
        </c:manualLayout>
      </c:layout>
      <c:overlay val="0"/>
      <c:txPr>
        <a:bodyPr/>
        <a:lstStyle/>
        <a:p>
          <a:pPr>
            <a:defRPr sz="900"/>
          </a:pPr>
          <a:endParaRPr lang="sk-SK"/>
        </a:p>
      </c:txPr>
    </c:legend>
    <c:plotVisOnly val="1"/>
    <c:dispBlanksAs val="gap"/>
    <c:showDLblsOverMax val="0"/>
  </c:chart>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6"/>
    </mc:Choice>
    <mc:Fallback>
      <c:style val="16"/>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sk-SK" sz="1100"/>
              <a:t>Vývoj sadzieb na diaľniciach a štátnych cestách v Nemecku (EURO IV.)</a:t>
            </a:r>
          </a:p>
        </c:rich>
      </c:tx>
      <c:overlay val="0"/>
    </c:title>
    <c:autoTitleDeleted val="0"/>
    <c:plotArea>
      <c:layout/>
      <c:barChart>
        <c:barDir val="col"/>
        <c:grouping val="clustered"/>
        <c:varyColors val="0"/>
        <c:ser>
          <c:idx val="0"/>
          <c:order val="0"/>
          <c:tx>
            <c:strRef>
              <c:f>'final porov I.tr.'!$W$3</c:f>
              <c:strCache>
                <c:ptCount val="1"/>
                <c:pt idx="0">
                  <c:v>2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I.tr.'!$V$4:$V$12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I.tr.'!$W$4:$W$12</c:f>
              <c:numCache>
                <c:formatCode>#,##0.000\ "€"</c:formatCode>
                <c:ptCount val="9"/>
                <c:pt idx="0">
                  <c:v>0.16900000000000001</c:v>
                </c:pt>
                <c:pt idx="1">
                  <c:v>0.16900000000000001</c:v>
                </c:pt>
                <c:pt idx="2">
                  <c:v>0.16900000000000001</c:v>
                </c:pt>
                <c:pt idx="3">
                  <c:v>0.16900000000000001</c:v>
                </c:pt>
                <c:pt idx="4">
                  <c:v>0.16900000000000001</c:v>
                </c:pt>
                <c:pt idx="5">
                  <c:v>0.15700000000000028</c:v>
                </c:pt>
                <c:pt idx="6">
                  <c:v>0.113</c:v>
                </c:pt>
                <c:pt idx="7">
                  <c:v>0.113</c:v>
                </c:pt>
                <c:pt idx="8">
                  <c:v>0.113</c:v>
                </c:pt>
              </c:numCache>
            </c:numRef>
          </c:val>
          <c:extLst>
            <c:ext xmlns:c16="http://schemas.microsoft.com/office/drawing/2014/chart" uri="{C3380CC4-5D6E-409C-BE32-E72D297353CC}">
              <c16:uniqueId val="{00000000-7ECD-4C4C-8DF8-BF4E4A76BC5C}"/>
            </c:ext>
          </c:extLst>
        </c:ser>
        <c:ser>
          <c:idx val="1"/>
          <c:order val="1"/>
          <c:tx>
            <c:strRef>
              <c:f>'final porov I.tr.'!$X$3</c:f>
              <c:strCache>
                <c:ptCount val="1"/>
                <c:pt idx="0">
                  <c:v>3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I.tr.'!$V$4:$V$12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I.tr.'!$X$4:$X$12</c:f>
              <c:numCache>
                <c:formatCode>#,##0.000\ "€"</c:formatCode>
                <c:ptCount val="9"/>
                <c:pt idx="0">
                  <c:v>0.16900000000000001</c:v>
                </c:pt>
                <c:pt idx="1">
                  <c:v>0.16900000000000001</c:v>
                </c:pt>
                <c:pt idx="2">
                  <c:v>0.16900000000000001</c:v>
                </c:pt>
                <c:pt idx="3">
                  <c:v>0.16900000000000001</c:v>
                </c:pt>
                <c:pt idx="4">
                  <c:v>0.16900000000000001</c:v>
                </c:pt>
                <c:pt idx="5">
                  <c:v>0.15700000000000028</c:v>
                </c:pt>
                <c:pt idx="6">
                  <c:v>0.14500000000000021</c:v>
                </c:pt>
                <c:pt idx="7">
                  <c:v>0.14500000000000021</c:v>
                </c:pt>
                <c:pt idx="8">
                  <c:v>0.14500000000000021</c:v>
                </c:pt>
              </c:numCache>
            </c:numRef>
          </c:val>
          <c:extLst>
            <c:ext xmlns:c16="http://schemas.microsoft.com/office/drawing/2014/chart" uri="{C3380CC4-5D6E-409C-BE32-E72D297353CC}">
              <c16:uniqueId val="{00000001-7ECD-4C4C-8DF8-BF4E4A76BC5C}"/>
            </c:ext>
          </c:extLst>
        </c:ser>
        <c:ser>
          <c:idx val="2"/>
          <c:order val="2"/>
          <c:tx>
            <c:strRef>
              <c:f>'final porov I.tr.'!$Y$3</c:f>
              <c:strCache>
                <c:ptCount val="1"/>
                <c:pt idx="0">
                  <c:v>4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I.tr.'!$V$4:$V$12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I.tr.'!$Y$4:$Y$12</c:f>
              <c:numCache>
                <c:formatCode>#,##0.000\ "€"</c:formatCode>
                <c:ptCount val="9"/>
                <c:pt idx="0">
                  <c:v>0.18300000000000025</c:v>
                </c:pt>
                <c:pt idx="1">
                  <c:v>0.18300000000000025</c:v>
                </c:pt>
                <c:pt idx="2">
                  <c:v>0.18300000000000025</c:v>
                </c:pt>
                <c:pt idx="3">
                  <c:v>0.18300000000000025</c:v>
                </c:pt>
                <c:pt idx="4">
                  <c:v>0.18300000000000025</c:v>
                </c:pt>
                <c:pt idx="5">
                  <c:v>0.16300000000000001</c:v>
                </c:pt>
                <c:pt idx="6">
                  <c:v>0.14900000000000024</c:v>
                </c:pt>
                <c:pt idx="7">
                  <c:v>0.14900000000000024</c:v>
                </c:pt>
                <c:pt idx="8">
                  <c:v>0.14900000000000024</c:v>
                </c:pt>
              </c:numCache>
            </c:numRef>
          </c:val>
          <c:extLst>
            <c:ext xmlns:c16="http://schemas.microsoft.com/office/drawing/2014/chart" uri="{C3380CC4-5D6E-409C-BE32-E72D297353CC}">
              <c16:uniqueId val="{00000002-7ECD-4C4C-8DF8-BF4E4A76BC5C}"/>
            </c:ext>
          </c:extLst>
        </c:ser>
        <c:ser>
          <c:idx val="3"/>
          <c:order val="3"/>
          <c:tx>
            <c:strRef>
              <c:f>'final porov I.tr.'!$Z$3</c:f>
              <c:strCache>
                <c:ptCount val="1"/>
                <c:pt idx="0">
                  <c:v>5 náprav</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I.tr.'!$V$4:$V$12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I.tr.'!$Z$4:$Z$12</c:f>
              <c:numCache>
                <c:formatCode>#,##0.000\ "€"</c:formatCode>
                <c:ptCount val="9"/>
                <c:pt idx="0">
                  <c:v>0.18300000000000025</c:v>
                </c:pt>
                <c:pt idx="1">
                  <c:v>0.18300000000000025</c:v>
                </c:pt>
                <c:pt idx="2">
                  <c:v>0.18300000000000025</c:v>
                </c:pt>
                <c:pt idx="3">
                  <c:v>0.18300000000000025</c:v>
                </c:pt>
                <c:pt idx="4">
                  <c:v>0.18300000000000025</c:v>
                </c:pt>
                <c:pt idx="5">
                  <c:v>0.16300000000000001</c:v>
                </c:pt>
                <c:pt idx="6">
                  <c:v>0.16700000000000001</c:v>
                </c:pt>
                <c:pt idx="7">
                  <c:v>0.16700000000000001</c:v>
                </c:pt>
                <c:pt idx="8">
                  <c:v>0.16700000000000001</c:v>
                </c:pt>
              </c:numCache>
            </c:numRef>
          </c:val>
          <c:extLst>
            <c:ext xmlns:c16="http://schemas.microsoft.com/office/drawing/2014/chart" uri="{C3380CC4-5D6E-409C-BE32-E72D297353CC}">
              <c16:uniqueId val="{00000003-7ECD-4C4C-8DF8-BF4E4A76BC5C}"/>
            </c:ext>
          </c:extLst>
        </c:ser>
        <c:dLbls>
          <c:showLegendKey val="0"/>
          <c:showVal val="0"/>
          <c:showCatName val="0"/>
          <c:showSerName val="0"/>
          <c:showPercent val="0"/>
          <c:showBubbleSize val="0"/>
        </c:dLbls>
        <c:gapWidth val="150"/>
        <c:axId val="701897344"/>
        <c:axId val="701911424"/>
      </c:barChart>
      <c:catAx>
        <c:axId val="701897344"/>
        <c:scaling>
          <c:orientation val="minMax"/>
        </c:scaling>
        <c:delete val="0"/>
        <c:axPos val="b"/>
        <c:numFmt formatCode="General" sourceLinked="1"/>
        <c:majorTickMark val="out"/>
        <c:minorTickMark val="none"/>
        <c:tickLblPos val="nextTo"/>
        <c:crossAx val="701911424"/>
        <c:crosses val="autoZero"/>
        <c:auto val="1"/>
        <c:lblAlgn val="ctr"/>
        <c:lblOffset val="100"/>
        <c:noMultiLvlLbl val="0"/>
      </c:catAx>
      <c:valAx>
        <c:axId val="701911424"/>
        <c:scaling>
          <c:orientation val="minMax"/>
          <c:max val="0.60000000000000064"/>
        </c:scaling>
        <c:delete val="0"/>
        <c:axPos val="l"/>
        <c:numFmt formatCode="#,##0.00\ &quot;€&quot;" sourceLinked="0"/>
        <c:majorTickMark val="out"/>
        <c:minorTickMark val="none"/>
        <c:tickLblPos val="nextTo"/>
        <c:crossAx val="701897344"/>
        <c:crosses val="autoZero"/>
        <c:crossBetween val="between"/>
      </c:valAx>
    </c:plotArea>
    <c:legend>
      <c:legendPos val="b"/>
      <c:overlay val="0"/>
    </c:legend>
    <c:plotVisOnly val="1"/>
    <c:dispBlanksAs val="gap"/>
    <c:showDLblsOverMax val="0"/>
  </c:chart>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3"/>
    </mc:Choice>
    <mc:Fallback>
      <c:style val="13"/>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sk-SK" sz="1100"/>
              <a:t>Vývoj sadzieb na diaľniciach a rýchlostných cestách v Rakúsku (EURO IV.)</a:t>
            </a:r>
          </a:p>
        </c:rich>
      </c:tx>
      <c:overlay val="0"/>
    </c:title>
    <c:autoTitleDeleted val="0"/>
    <c:plotArea>
      <c:layout>
        <c:manualLayout>
          <c:layoutTarget val="inner"/>
          <c:xMode val="edge"/>
          <c:yMode val="edge"/>
          <c:x val="9.4285119582489335E-2"/>
          <c:y val="0.20860799499963506"/>
          <c:w val="0.8820742184789766"/>
          <c:h val="0.62849071567233317"/>
        </c:manualLayout>
      </c:layout>
      <c:barChart>
        <c:barDir val="col"/>
        <c:grouping val="clustered"/>
        <c:varyColors val="0"/>
        <c:ser>
          <c:idx val="0"/>
          <c:order val="0"/>
          <c:tx>
            <c:strRef>
              <c:f>'DaRC štáty grafy'!$W$4</c:f>
              <c:strCache>
                <c:ptCount val="1"/>
                <c:pt idx="0">
                  <c:v>2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grafy'!$V$5:$V$12</c:f>
              <c:numCache>
                <c:formatCode>0</c:formatCode>
                <c:ptCount val="8"/>
                <c:pt idx="0">
                  <c:v>2011</c:v>
                </c:pt>
                <c:pt idx="1">
                  <c:v>2012</c:v>
                </c:pt>
                <c:pt idx="2">
                  <c:v>2013</c:v>
                </c:pt>
                <c:pt idx="3">
                  <c:v>2014</c:v>
                </c:pt>
                <c:pt idx="4">
                  <c:v>2015</c:v>
                </c:pt>
                <c:pt idx="5">
                  <c:v>2016</c:v>
                </c:pt>
                <c:pt idx="6">
                  <c:v>2017</c:v>
                </c:pt>
                <c:pt idx="7">
                  <c:v>2018</c:v>
                </c:pt>
              </c:numCache>
            </c:numRef>
          </c:cat>
          <c:val>
            <c:numRef>
              <c:f>'DaRC štáty grafy'!$W$5:$W$12</c:f>
              <c:numCache>
                <c:formatCode>#,##0.000\ "€"</c:formatCode>
                <c:ptCount val="8"/>
                <c:pt idx="0">
                  <c:v>0.15600000000000028</c:v>
                </c:pt>
                <c:pt idx="1">
                  <c:v>0.17800000000000021</c:v>
                </c:pt>
                <c:pt idx="2">
                  <c:v>0.17</c:v>
                </c:pt>
                <c:pt idx="3">
                  <c:v>0.18500000000000025</c:v>
                </c:pt>
                <c:pt idx="4">
                  <c:v>0.18800000000000028</c:v>
                </c:pt>
                <c:pt idx="5">
                  <c:v>0.18500000000000025</c:v>
                </c:pt>
                <c:pt idx="6">
                  <c:v>0.20290000000000025</c:v>
                </c:pt>
                <c:pt idx="7">
                  <c:v>0.20469999999999999</c:v>
                </c:pt>
              </c:numCache>
            </c:numRef>
          </c:val>
          <c:extLst>
            <c:ext xmlns:c16="http://schemas.microsoft.com/office/drawing/2014/chart" uri="{C3380CC4-5D6E-409C-BE32-E72D297353CC}">
              <c16:uniqueId val="{00000000-0473-4863-A3D2-C201EDA682EC}"/>
            </c:ext>
          </c:extLst>
        </c:ser>
        <c:ser>
          <c:idx val="1"/>
          <c:order val="1"/>
          <c:tx>
            <c:strRef>
              <c:f>'DaRC štáty grafy'!$X$4</c:f>
              <c:strCache>
                <c:ptCount val="1"/>
                <c:pt idx="0">
                  <c:v>3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grafy'!$V$5:$V$12</c:f>
              <c:numCache>
                <c:formatCode>0</c:formatCode>
                <c:ptCount val="8"/>
                <c:pt idx="0">
                  <c:v>2011</c:v>
                </c:pt>
                <c:pt idx="1">
                  <c:v>2012</c:v>
                </c:pt>
                <c:pt idx="2">
                  <c:v>2013</c:v>
                </c:pt>
                <c:pt idx="3">
                  <c:v>2014</c:v>
                </c:pt>
                <c:pt idx="4">
                  <c:v>2015</c:v>
                </c:pt>
                <c:pt idx="5">
                  <c:v>2016</c:v>
                </c:pt>
                <c:pt idx="6">
                  <c:v>2017</c:v>
                </c:pt>
                <c:pt idx="7">
                  <c:v>2018</c:v>
                </c:pt>
              </c:numCache>
            </c:numRef>
          </c:cat>
          <c:val>
            <c:numRef>
              <c:f>'DaRC štáty grafy'!$X$5:$X$12</c:f>
              <c:numCache>
                <c:formatCode>#,##0.000\ "€"</c:formatCode>
                <c:ptCount val="8"/>
                <c:pt idx="0">
                  <c:v>0.21840000000000037</c:v>
                </c:pt>
                <c:pt idx="1">
                  <c:v>0.24920000000000031</c:v>
                </c:pt>
                <c:pt idx="2">
                  <c:v>0.23800000000000004</c:v>
                </c:pt>
                <c:pt idx="3">
                  <c:v>0.25900000000000001</c:v>
                </c:pt>
                <c:pt idx="4">
                  <c:v>0.26320000000000005</c:v>
                </c:pt>
                <c:pt idx="5">
                  <c:v>0.25900000000000001</c:v>
                </c:pt>
                <c:pt idx="6">
                  <c:v>0.28469</c:v>
                </c:pt>
                <c:pt idx="7">
                  <c:v>0.28720000000000001</c:v>
                </c:pt>
              </c:numCache>
            </c:numRef>
          </c:val>
          <c:extLst>
            <c:ext xmlns:c16="http://schemas.microsoft.com/office/drawing/2014/chart" uri="{C3380CC4-5D6E-409C-BE32-E72D297353CC}">
              <c16:uniqueId val="{00000001-0473-4863-A3D2-C201EDA682EC}"/>
            </c:ext>
          </c:extLst>
        </c:ser>
        <c:ser>
          <c:idx val="2"/>
          <c:order val="2"/>
          <c:tx>
            <c:strRef>
              <c:f>'DaRC štáty grafy'!$Y$4</c:f>
              <c:strCache>
                <c:ptCount val="1"/>
                <c:pt idx="0">
                  <c:v>4 a viac náprav</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grafy'!$V$5:$V$12</c:f>
              <c:numCache>
                <c:formatCode>0</c:formatCode>
                <c:ptCount val="8"/>
                <c:pt idx="0">
                  <c:v>2011</c:v>
                </c:pt>
                <c:pt idx="1">
                  <c:v>2012</c:v>
                </c:pt>
                <c:pt idx="2">
                  <c:v>2013</c:v>
                </c:pt>
                <c:pt idx="3">
                  <c:v>2014</c:v>
                </c:pt>
                <c:pt idx="4">
                  <c:v>2015</c:v>
                </c:pt>
                <c:pt idx="5">
                  <c:v>2016</c:v>
                </c:pt>
                <c:pt idx="6">
                  <c:v>2017</c:v>
                </c:pt>
                <c:pt idx="7">
                  <c:v>2018</c:v>
                </c:pt>
              </c:numCache>
            </c:numRef>
          </c:cat>
          <c:val>
            <c:numRef>
              <c:f>'DaRC štáty grafy'!$Y$5:$Y$12</c:f>
              <c:numCache>
                <c:formatCode>#,##0.000\ "€"</c:formatCode>
                <c:ptCount val="8"/>
                <c:pt idx="0">
                  <c:v>0.3276000000000005</c:v>
                </c:pt>
                <c:pt idx="1">
                  <c:v>0.37380000000000063</c:v>
                </c:pt>
                <c:pt idx="2">
                  <c:v>0.35700000000000032</c:v>
                </c:pt>
                <c:pt idx="3">
                  <c:v>0.38850000000000057</c:v>
                </c:pt>
                <c:pt idx="4">
                  <c:v>0.39480000000000087</c:v>
                </c:pt>
                <c:pt idx="5">
                  <c:v>0.38850000000000057</c:v>
                </c:pt>
                <c:pt idx="6">
                  <c:v>0.41665000000000002</c:v>
                </c:pt>
                <c:pt idx="7">
                  <c:v>0.42040000000000038</c:v>
                </c:pt>
              </c:numCache>
            </c:numRef>
          </c:val>
          <c:extLst>
            <c:ext xmlns:c16="http://schemas.microsoft.com/office/drawing/2014/chart" uri="{C3380CC4-5D6E-409C-BE32-E72D297353CC}">
              <c16:uniqueId val="{00000002-0473-4863-A3D2-C201EDA682EC}"/>
            </c:ext>
          </c:extLst>
        </c:ser>
        <c:dLbls>
          <c:showLegendKey val="0"/>
          <c:showVal val="0"/>
          <c:showCatName val="0"/>
          <c:showSerName val="0"/>
          <c:showPercent val="0"/>
          <c:showBubbleSize val="0"/>
        </c:dLbls>
        <c:gapWidth val="150"/>
        <c:axId val="701935616"/>
        <c:axId val="701937152"/>
      </c:barChart>
      <c:catAx>
        <c:axId val="701935616"/>
        <c:scaling>
          <c:orientation val="minMax"/>
        </c:scaling>
        <c:delete val="0"/>
        <c:axPos val="b"/>
        <c:numFmt formatCode="0" sourceLinked="1"/>
        <c:majorTickMark val="out"/>
        <c:minorTickMark val="none"/>
        <c:tickLblPos val="nextTo"/>
        <c:crossAx val="701937152"/>
        <c:crosses val="autoZero"/>
        <c:auto val="1"/>
        <c:lblAlgn val="ctr"/>
        <c:lblOffset val="100"/>
        <c:noMultiLvlLbl val="0"/>
      </c:catAx>
      <c:valAx>
        <c:axId val="701937152"/>
        <c:scaling>
          <c:orientation val="minMax"/>
          <c:max val="0.60000000000000064"/>
        </c:scaling>
        <c:delete val="0"/>
        <c:axPos val="l"/>
        <c:numFmt formatCode="#,##0.00\ &quot;€&quot;" sourceLinked="0"/>
        <c:majorTickMark val="out"/>
        <c:minorTickMark val="none"/>
        <c:tickLblPos val="nextTo"/>
        <c:crossAx val="701935616"/>
        <c:crosses val="autoZero"/>
        <c:crossBetween val="between"/>
      </c:valAx>
    </c:plotArea>
    <c:legend>
      <c:legendPos val="b"/>
      <c:layout>
        <c:manualLayout>
          <c:xMode val="edge"/>
          <c:yMode val="edge"/>
          <c:x val="0.27854690310713098"/>
          <c:y val="0.88750501481544253"/>
          <c:w val="0.44720449595638068"/>
          <c:h val="0.11249498518455746"/>
        </c:manualLayout>
      </c:layout>
      <c:overlay val="0"/>
    </c:legend>
    <c:plotVisOnly val="1"/>
    <c:dispBlanksAs val="gap"/>
    <c:showDLblsOverMax val="0"/>
  </c:chart>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1"/>
    </mc:Choice>
    <mc:Fallback>
      <c:style val="11"/>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sk-SK" sz="1100"/>
              <a:t>Vývoj sadzieb na diaľniciach a rýchlostných cestách v Českej republike (EURO IV.)</a:t>
            </a:r>
          </a:p>
        </c:rich>
      </c:tx>
      <c:overlay val="0"/>
    </c:title>
    <c:autoTitleDeleted val="0"/>
    <c:plotArea>
      <c:layout/>
      <c:barChart>
        <c:barDir val="col"/>
        <c:grouping val="clustered"/>
        <c:varyColors val="0"/>
        <c:ser>
          <c:idx val="0"/>
          <c:order val="0"/>
          <c:tx>
            <c:strRef>
              <c:f>'DaRC štáty grafy'!$Q$3</c:f>
              <c:strCache>
                <c:ptCount val="1"/>
                <c:pt idx="0">
                  <c:v>2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grafy'!$P$4:$P$12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grafy'!$Q$4:$Q$12</c:f>
              <c:numCache>
                <c:formatCode>#,##0.000\ "€"</c:formatCode>
                <c:ptCount val="9"/>
                <c:pt idx="0">
                  <c:v>6.7635000000000001E-2</c:v>
                </c:pt>
                <c:pt idx="1">
                  <c:v>8.5481000000000001E-2</c:v>
                </c:pt>
                <c:pt idx="2">
                  <c:v>0.10518300000000012</c:v>
                </c:pt>
                <c:pt idx="3">
                  <c:v>0.10100699999999999</c:v>
                </c:pt>
                <c:pt idx="4">
                  <c:v>9.4743000000000022E-2</c:v>
                </c:pt>
                <c:pt idx="5">
                  <c:v>0.10236599999999998</c:v>
                </c:pt>
                <c:pt idx="6">
                  <c:v>0.10433999999999995</c:v>
                </c:pt>
                <c:pt idx="7">
                  <c:v>0.10800599999999999</c:v>
                </c:pt>
                <c:pt idx="8">
                  <c:v>0.11082599999999998</c:v>
                </c:pt>
              </c:numCache>
            </c:numRef>
          </c:val>
          <c:extLst>
            <c:ext xmlns:c16="http://schemas.microsoft.com/office/drawing/2014/chart" uri="{C3380CC4-5D6E-409C-BE32-E72D297353CC}">
              <c16:uniqueId val="{00000000-D4FF-4819-9899-A36D9C83B977}"/>
            </c:ext>
          </c:extLst>
        </c:ser>
        <c:ser>
          <c:idx val="1"/>
          <c:order val="1"/>
          <c:tx>
            <c:strRef>
              <c:f>'DaRC štáty grafy'!$R$3</c:f>
              <c:strCache>
                <c:ptCount val="1"/>
                <c:pt idx="0">
                  <c:v>3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grafy'!$P$4:$P$12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grafy'!$R$4:$R$12</c:f>
              <c:numCache>
                <c:formatCode>#,##0.000\ "€"</c:formatCode>
                <c:ptCount val="9"/>
                <c:pt idx="0">
                  <c:v>0.11542500000000012</c:v>
                </c:pt>
                <c:pt idx="1">
                  <c:v>0.14560400000000001</c:v>
                </c:pt>
                <c:pt idx="2">
                  <c:v>0.17933500000000024</c:v>
                </c:pt>
                <c:pt idx="3">
                  <c:v>0.17221500000000031</c:v>
                </c:pt>
                <c:pt idx="4">
                  <c:v>0.16153500000000001</c:v>
                </c:pt>
                <c:pt idx="5">
                  <c:v>0.17460299999999998</c:v>
                </c:pt>
                <c:pt idx="6">
                  <c:v>0.17797000000000004</c:v>
                </c:pt>
                <c:pt idx="7">
                  <c:v>0.18422300000000025</c:v>
                </c:pt>
                <c:pt idx="8">
                  <c:v>0.18903300000000028</c:v>
                </c:pt>
              </c:numCache>
            </c:numRef>
          </c:val>
          <c:extLst>
            <c:ext xmlns:c16="http://schemas.microsoft.com/office/drawing/2014/chart" uri="{C3380CC4-5D6E-409C-BE32-E72D297353CC}">
              <c16:uniqueId val="{00000001-D4FF-4819-9899-A36D9C83B977}"/>
            </c:ext>
          </c:extLst>
        </c:ser>
        <c:ser>
          <c:idx val="2"/>
          <c:order val="2"/>
          <c:tx>
            <c:strRef>
              <c:f>'DaRC štáty grafy'!$S$3</c:f>
              <c:strCache>
                <c:ptCount val="1"/>
                <c:pt idx="0">
                  <c:v>4 a viac náprav</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grafy'!$P$4:$P$12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grafy'!$S$4:$S$12</c:f>
              <c:numCache>
                <c:formatCode>#,##0.000\ "€"</c:formatCode>
                <c:ptCount val="9"/>
                <c:pt idx="0">
                  <c:v>0.16686000000000001</c:v>
                </c:pt>
                <c:pt idx="1">
                  <c:v>0.21063500000000004</c:v>
                </c:pt>
                <c:pt idx="2">
                  <c:v>0.25953200000000004</c:v>
                </c:pt>
                <c:pt idx="3">
                  <c:v>0.24922800000000031</c:v>
                </c:pt>
                <c:pt idx="4">
                  <c:v>0.23377200000000001</c:v>
                </c:pt>
                <c:pt idx="5">
                  <c:v>0.2530110000000001</c:v>
                </c:pt>
                <c:pt idx="6">
                  <c:v>0.25789000000000006</c:v>
                </c:pt>
                <c:pt idx="7">
                  <c:v>0.2669510000000001</c:v>
                </c:pt>
                <c:pt idx="8">
                  <c:v>0.27392100000000008</c:v>
                </c:pt>
              </c:numCache>
            </c:numRef>
          </c:val>
          <c:extLst>
            <c:ext xmlns:c16="http://schemas.microsoft.com/office/drawing/2014/chart" uri="{C3380CC4-5D6E-409C-BE32-E72D297353CC}">
              <c16:uniqueId val="{00000002-D4FF-4819-9899-A36D9C83B977}"/>
            </c:ext>
          </c:extLst>
        </c:ser>
        <c:ser>
          <c:idx val="3"/>
          <c:order val="3"/>
          <c:tx>
            <c:strRef>
              <c:f>'DaRC štáty grafy'!$T$3</c:f>
              <c:strCache>
                <c:ptCount val="1"/>
                <c:pt idx="0">
                  <c:v>BUS</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'DaRC štáty grafy'!$P$4:$P$12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'DaRC štáty grafy'!$T$4:$T$12</c:f>
              <c:numCache>
                <c:formatCode>#,##0.000\ "€"</c:formatCode>
                <c:ptCount val="9"/>
                <c:pt idx="0">
                  <c:v>4.0900000000000013E-2</c:v>
                </c:pt>
                <c:pt idx="1">
                  <c:v>4.0900000000000013E-2</c:v>
                </c:pt>
                <c:pt idx="2">
                  <c:v>4.0300000000000023E-2</c:v>
                </c:pt>
                <c:pt idx="3">
                  <c:v>3.6999999999999998E-2</c:v>
                </c:pt>
                <c:pt idx="4">
                  <c:v>3.6300000000000006E-2</c:v>
                </c:pt>
                <c:pt idx="5">
                  <c:v>4.2435000000000014E-2</c:v>
                </c:pt>
                <c:pt idx="6">
                  <c:v>4.2549999999999998E-2</c:v>
                </c:pt>
                <c:pt idx="7">
                  <c:v>4.4045000000000001E-2</c:v>
                </c:pt>
                <c:pt idx="8">
                  <c:v>4.5195000000000013E-2</c:v>
                </c:pt>
              </c:numCache>
            </c:numRef>
          </c:val>
          <c:extLst>
            <c:ext xmlns:c16="http://schemas.microsoft.com/office/drawing/2014/chart" uri="{C3380CC4-5D6E-409C-BE32-E72D297353CC}">
              <c16:uniqueId val="{00000003-D4FF-4819-9899-A36D9C83B977}"/>
            </c:ext>
          </c:extLst>
        </c:ser>
        <c:dLbls>
          <c:showLegendKey val="0"/>
          <c:showVal val="0"/>
          <c:showCatName val="0"/>
          <c:showSerName val="0"/>
          <c:showPercent val="0"/>
          <c:showBubbleSize val="0"/>
        </c:dLbls>
        <c:gapWidth val="150"/>
        <c:axId val="702503552"/>
        <c:axId val="702509440"/>
      </c:barChart>
      <c:catAx>
        <c:axId val="702503552"/>
        <c:scaling>
          <c:orientation val="minMax"/>
        </c:scaling>
        <c:delete val="0"/>
        <c:axPos val="b"/>
        <c:numFmt formatCode="General" sourceLinked="1"/>
        <c:majorTickMark val="out"/>
        <c:minorTickMark val="none"/>
        <c:tickLblPos val="nextTo"/>
        <c:crossAx val="702509440"/>
        <c:crosses val="autoZero"/>
        <c:auto val="1"/>
        <c:lblAlgn val="ctr"/>
        <c:lblOffset val="100"/>
        <c:noMultiLvlLbl val="0"/>
      </c:catAx>
      <c:valAx>
        <c:axId val="702509440"/>
        <c:scaling>
          <c:orientation val="minMax"/>
          <c:max val="0.60000000000000064"/>
        </c:scaling>
        <c:delete val="0"/>
        <c:axPos val="l"/>
        <c:numFmt formatCode="#,##0.00\ &quot;€&quot;" sourceLinked="0"/>
        <c:majorTickMark val="out"/>
        <c:minorTickMark val="none"/>
        <c:tickLblPos val="nextTo"/>
        <c:crossAx val="702503552"/>
        <c:crosses val="autoZero"/>
        <c:crossBetween val="between"/>
      </c:valAx>
    </c:plotArea>
    <c:legend>
      <c:legendPos val="b"/>
      <c:overlay val="0"/>
    </c:legend>
    <c:plotVisOnly val="1"/>
    <c:dispBlanksAs val="gap"/>
    <c:showDLblsOverMax val="0"/>
  </c:chart>
  <c:externalData r:id="rId1">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1"/>
    </mc:Choice>
    <mc:Fallback>
      <c:style val="11"/>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sk-SK" sz="1100"/>
              <a:t>Vývoj sadzieb na cestách I. triedy v Českej republike (EURO IV.)</a:t>
            </a:r>
          </a:p>
        </c:rich>
      </c:tx>
      <c:overlay val="0"/>
    </c:title>
    <c:autoTitleDeleted val="0"/>
    <c:plotArea>
      <c:layout/>
      <c:barChart>
        <c:barDir val="col"/>
        <c:grouping val="clustered"/>
        <c:varyColors val="0"/>
        <c:ser>
          <c:idx val="0"/>
          <c:order val="0"/>
          <c:tx>
            <c:strRef>
              <c:f>'final porov I.tr.'!$L$3</c:f>
              <c:strCache>
                <c:ptCount val="1"/>
                <c:pt idx="0">
                  <c:v>2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I.tr.'!$K$4:$K$12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I.tr.'!$L$4:$L$12</c:f>
              <c:numCache>
                <c:formatCode>#,##0.000\ "€"</c:formatCode>
                <c:ptCount val="9"/>
                <c:pt idx="0">
                  <c:v>3.199500000000001E-2</c:v>
                </c:pt>
                <c:pt idx="1">
                  <c:v>4.0491000000000013E-2</c:v>
                </c:pt>
                <c:pt idx="2">
                  <c:v>4.9569000000000023E-2</c:v>
                </c:pt>
                <c:pt idx="3">
                  <c:v>4.7600999999999997E-2</c:v>
                </c:pt>
                <c:pt idx="4">
                  <c:v>4.4648999999999987E-2</c:v>
                </c:pt>
                <c:pt idx="5">
                  <c:v>4.8278999999999996E-2</c:v>
                </c:pt>
                <c:pt idx="6">
                  <c:v>4.9209999999999997E-2</c:v>
                </c:pt>
                <c:pt idx="7">
                  <c:v>5.0939000000000012E-2</c:v>
                </c:pt>
                <c:pt idx="8">
                  <c:v>5.2269000000000003E-2</c:v>
                </c:pt>
              </c:numCache>
            </c:numRef>
          </c:val>
          <c:extLst>
            <c:ext xmlns:c16="http://schemas.microsoft.com/office/drawing/2014/chart" uri="{C3380CC4-5D6E-409C-BE32-E72D297353CC}">
              <c16:uniqueId val="{00000000-62B6-4933-B189-5B85D16D7266}"/>
            </c:ext>
          </c:extLst>
        </c:ser>
        <c:ser>
          <c:idx val="1"/>
          <c:order val="1"/>
          <c:tx>
            <c:strRef>
              <c:f>'final porov I.tr.'!$M$3</c:f>
              <c:strCache>
                <c:ptCount val="1"/>
                <c:pt idx="0">
                  <c:v>3 nápravy</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I.tr.'!$K$4:$K$12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I.tr.'!$M$4:$M$12</c:f>
              <c:numCache>
                <c:formatCode>#,##0.000\ "€"</c:formatCode>
                <c:ptCount val="9"/>
                <c:pt idx="0">
                  <c:v>5.5485000000000013E-2</c:v>
                </c:pt>
                <c:pt idx="1">
                  <c:v>6.9939000000000001E-2</c:v>
                </c:pt>
                <c:pt idx="2">
                  <c:v>8.6242000000000013E-2</c:v>
                </c:pt>
                <c:pt idx="3">
                  <c:v>8.2818000000000003E-2</c:v>
                </c:pt>
                <c:pt idx="4">
                  <c:v>7.7682000000000084E-2</c:v>
                </c:pt>
                <c:pt idx="5">
                  <c:v>8.3853000000000066E-2</c:v>
                </c:pt>
                <c:pt idx="6">
                  <c:v>8.5470000000000004E-2</c:v>
                </c:pt>
                <c:pt idx="7">
                  <c:v>8.847300000000001E-2</c:v>
                </c:pt>
                <c:pt idx="8">
                  <c:v>9.0783000000000003E-2</c:v>
                </c:pt>
              </c:numCache>
            </c:numRef>
          </c:val>
          <c:extLst>
            <c:ext xmlns:c16="http://schemas.microsoft.com/office/drawing/2014/chart" uri="{C3380CC4-5D6E-409C-BE32-E72D297353CC}">
              <c16:uniqueId val="{00000001-62B6-4933-B189-5B85D16D7266}"/>
            </c:ext>
          </c:extLst>
        </c:ser>
        <c:ser>
          <c:idx val="2"/>
          <c:order val="2"/>
          <c:tx>
            <c:strRef>
              <c:f>'final porov I.tr.'!$N$3</c:f>
              <c:strCache>
                <c:ptCount val="1"/>
                <c:pt idx="0">
                  <c:v>4 a viac náprav</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I.tr.'!$K$4:$K$12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I.tr.'!$N$4:$N$12</c:f>
              <c:numCache>
                <c:formatCode>#,##0.000\ "€"</c:formatCode>
                <c:ptCount val="9"/>
                <c:pt idx="0">
                  <c:v>7.9380000000000131E-2</c:v>
                </c:pt>
                <c:pt idx="1">
                  <c:v>0.10020500000000013</c:v>
                </c:pt>
                <c:pt idx="2">
                  <c:v>0.12331800000000001</c:v>
                </c:pt>
                <c:pt idx="3">
                  <c:v>0.11842200000000012</c:v>
                </c:pt>
                <c:pt idx="4">
                  <c:v>0.111078</c:v>
                </c:pt>
                <c:pt idx="5">
                  <c:v>0.12015300000000002</c:v>
                </c:pt>
                <c:pt idx="6">
                  <c:v>0.12247000000000002</c:v>
                </c:pt>
                <c:pt idx="7">
                  <c:v>0.126773</c:v>
                </c:pt>
                <c:pt idx="8">
                  <c:v>0.130083</c:v>
                </c:pt>
              </c:numCache>
            </c:numRef>
          </c:val>
          <c:extLst>
            <c:ext xmlns:c16="http://schemas.microsoft.com/office/drawing/2014/chart" uri="{C3380CC4-5D6E-409C-BE32-E72D297353CC}">
              <c16:uniqueId val="{00000002-62B6-4933-B189-5B85D16D7266}"/>
            </c:ext>
          </c:extLst>
        </c:ser>
        <c:ser>
          <c:idx val="3"/>
          <c:order val="3"/>
          <c:tx>
            <c:strRef>
              <c:f>'final porov I.tr.'!$O$3</c:f>
              <c:strCache>
                <c:ptCount val="1"/>
                <c:pt idx="0">
                  <c:v>BUS</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I.tr.'!$K$4:$K$12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'final porov I.tr.'!$O$4:$O$12</c:f>
              <c:numCache>
                <c:formatCode>#,##0.000\ "€"</c:formatCode>
                <c:ptCount val="9"/>
                <c:pt idx="0">
                  <c:v>4.0900000000000013E-2</c:v>
                </c:pt>
                <c:pt idx="1">
                  <c:v>4.0900000000000013E-2</c:v>
                </c:pt>
                <c:pt idx="2">
                  <c:v>4.0300000000000023E-2</c:v>
                </c:pt>
                <c:pt idx="3">
                  <c:v>3.6999999999999998E-2</c:v>
                </c:pt>
                <c:pt idx="4">
                  <c:v>3.6300000000000006E-2</c:v>
                </c:pt>
                <c:pt idx="5">
                  <c:v>4.2435000000000014E-2</c:v>
                </c:pt>
                <c:pt idx="6">
                  <c:v>4.2549999999999998E-2</c:v>
                </c:pt>
                <c:pt idx="7">
                  <c:v>4.4045000000000001E-2</c:v>
                </c:pt>
                <c:pt idx="8">
                  <c:v>4.5195000000000013E-2</c:v>
                </c:pt>
              </c:numCache>
            </c:numRef>
          </c:val>
          <c:extLst>
            <c:ext xmlns:c16="http://schemas.microsoft.com/office/drawing/2014/chart" uri="{C3380CC4-5D6E-409C-BE32-E72D297353CC}">
              <c16:uniqueId val="{00000003-62B6-4933-B189-5B85D16D7266}"/>
            </c:ext>
          </c:extLst>
        </c:ser>
        <c:dLbls>
          <c:showLegendKey val="0"/>
          <c:showVal val="0"/>
          <c:showCatName val="0"/>
          <c:showSerName val="0"/>
          <c:showPercent val="0"/>
          <c:showBubbleSize val="0"/>
        </c:dLbls>
        <c:gapWidth val="150"/>
        <c:axId val="702539264"/>
        <c:axId val="702540800"/>
      </c:barChart>
      <c:catAx>
        <c:axId val="702539264"/>
        <c:scaling>
          <c:orientation val="minMax"/>
        </c:scaling>
        <c:delete val="0"/>
        <c:axPos val="b"/>
        <c:numFmt formatCode="General" sourceLinked="1"/>
        <c:majorTickMark val="out"/>
        <c:minorTickMark val="none"/>
        <c:tickLblPos val="nextTo"/>
        <c:crossAx val="702540800"/>
        <c:crosses val="autoZero"/>
        <c:auto val="1"/>
        <c:lblAlgn val="ctr"/>
        <c:lblOffset val="100"/>
        <c:noMultiLvlLbl val="0"/>
      </c:catAx>
      <c:valAx>
        <c:axId val="702540800"/>
        <c:scaling>
          <c:orientation val="minMax"/>
          <c:max val="0.4"/>
        </c:scaling>
        <c:delete val="0"/>
        <c:axPos val="l"/>
        <c:numFmt formatCode="#,##0.00\ &quot;€&quot;" sourceLinked="0"/>
        <c:majorTickMark val="out"/>
        <c:minorTickMark val="none"/>
        <c:tickLblPos val="nextTo"/>
        <c:crossAx val="702539264"/>
        <c:crosses val="autoZero"/>
        <c:crossBetween val="between"/>
      </c:valAx>
    </c:plotArea>
    <c:legend>
      <c:legendPos val="b"/>
      <c:overlay val="0"/>
    </c:legend>
    <c:plotVisOnly val="1"/>
    <c:dispBlanksAs val="gap"/>
    <c:showDLblsOverMax val="0"/>
  </c:chart>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4"/>
    </mc:Choice>
    <mc:Fallback>
      <c:style val="14"/>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sk-SK" sz="1100" b="1" i="0" baseline="0"/>
              <a:t>Vývoj sadzieb na štátnych a koncesných diaľniciach v Poľsku (EURO IV.)</a:t>
            </a:r>
            <a:endParaRPr lang="sk-SK" sz="1100"/>
          </a:p>
        </c:rich>
      </c:tx>
      <c:overlay val="0"/>
    </c:title>
    <c:autoTitleDeleted val="0"/>
    <c:plotArea>
      <c:layout/>
      <c:barChart>
        <c:barDir val="col"/>
        <c:grouping val="clustered"/>
        <c:varyColors val="0"/>
        <c:ser>
          <c:idx val="0"/>
          <c:order val="0"/>
          <c:tx>
            <c:strRef>
              <c:f>'polsko final'!$F$18</c:f>
              <c:strCache>
                <c:ptCount val="1"/>
                <c:pt idx="0">
                  <c:v>2011</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final'!$G$18:$M$18</c:f>
              <c:numCache>
                <c:formatCode>0.00</c:formatCode>
                <c:ptCount val="7"/>
                <c:pt idx="0">
                  <c:v>6.794467362290707E-2</c:v>
                </c:pt>
                <c:pt idx="1">
                  <c:v>8.9784033001698668E-2</c:v>
                </c:pt>
                <c:pt idx="2">
                  <c:v>6.794467362290707E-2</c:v>
                </c:pt>
                <c:pt idx="3" formatCode="#,##0.00\ [$€-41B]">
                  <c:v>0.13</c:v>
                </c:pt>
                <c:pt idx="4" formatCode="#,##0.00\ [$€-41B]">
                  <c:v>0.21000000000000021</c:v>
                </c:pt>
                <c:pt idx="5" formatCode="#,##0.00\ [$€-41B]">
                  <c:v>0.32000000000000056</c:v>
                </c:pt>
                <c:pt idx="6" formatCode="#,##0.00\ [$€-41B]">
                  <c:v>0.55500000000000005</c:v>
                </c:pt>
              </c:numCache>
            </c:numRef>
          </c:val>
          <c:extLst>
            <c:ext xmlns:c16="http://schemas.microsoft.com/office/drawing/2014/chart" uri="{C3380CC4-5D6E-409C-BE32-E72D297353CC}">
              <c16:uniqueId val="{00000000-9EAB-48AF-A38A-82F4D1D8C65D}"/>
            </c:ext>
          </c:extLst>
        </c:ser>
        <c:ser>
          <c:idx val="1"/>
          <c:order val="1"/>
          <c:tx>
            <c:strRef>
              <c:f>'polsko final'!$F$19</c:f>
              <c:strCache>
                <c:ptCount val="1"/>
                <c:pt idx="0">
                  <c:v>2012</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final'!$G$19:$M$19</c:f>
              <c:numCache>
                <c:formatCode>0.00</c:formatCode>
                <c:ptCount val="7"/>
                <c:pt idx="0">
                  <c:v>6.6905615292712078E-2</c:v>
                </c:pt>
                <c:pt idx="1">
                  <c:v>8.8410991636798081E-2</c:v>
                </c:pt>
                <c:pt idx="2">
                  <c:v>6.6905615292712078E-2</c:v>
                </c:pt>
                <c:pt idx="3" formatCode="#,##0.00\ [$€-41B]">
                  <c:v>0.13</c:v>
                </c:pt>
                <c:pt idx="4" formatCode="#,##0.00\ [$€-41B]">
                  <c:v>0.19</c:v>
                </c:pt>
                <c:pt idx="5" formatCode="#,##0.00\ [$€-41B]">
                  <c:v>0.29000000000000031</c:v>
                </c:pt>
                <c:pt idx="6" formatCode="#,##0.00\ [$€-41B]">
                  <c:v>0.75000000000000111</c:v>
                </c:pt>
              </c:numCache>
            </c:numRef>
          </c:val>
          <c:extLst>
            <c:ext xmlns:c16="http://schemas.microsoft.com/office/drawing/2014/chart" uri="{C3380CC4-5D6E-409C-BE32-E72D297353CC}">
              <c16:uniqueId val="{00000001-9EAB-48AF-A38A-82F4D1D8C65D}"/>
            </c:ext>
          </c:extLst>
        </c:ser>
        <c:ser>
          <c:idx val="2"/>
          <c:order val="2"/>
          <c:tx>
            <c:strRef>
              <c:f>'polsko final'!$F$20</c:f>
              <c:strCache>
                <c:ptCount val="1"/>
                <c:pt idx="0">
                  <c:v>2013</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final'!$G$20:$M$20</c:f>
              <c:numCache>
                <c:formatCode>0.00</c:formatCode>
                <c:ptCount val="7"/>
                <c:pt idx="0">
                  <c:v>6.6714319752203974E-2</c:v>
                </c:pt>
                <c:pt idx="1">
                  <c:v>8.815820824398396E-2</c:v>
                </c:pt>
                <c:pt idx="2">
                  <c:v>6.6714319752203974E-2</c:v>
                </c:pt>
                <c:pt idx="3" formatCode="#,##0.00\ [$€-41B]">
                  <c:v>0.13</c:v>
                </c:pt>
                <c:pt idx="4" formatCode="#,##0.00\ [$€-41B]">
                  <c:v>0.2</c:v>
                </c:pt>
                <c:pt idx="5" formatCode="#,##0.00\ [$€-41B]">
                  <c:v>0.3100000000000005</c:v>
                </c:pt>
                <c:pt idx="6" formatCode="#,##0.00\ [$€-41B]">
                  <c:v>0.68</c:v>
                </c:pt>
              </c:numCache>
            </c:numRef>
          </c:val>
          <c:extLst>
            <c:ext xmlns:c16="http://schemas.microsoft.com/office/drawing/2014/chart" uri="{C3380CC4-5D6E-409C-BE32-E72D297353CC}">
              <c16:uniqueId val="{00000002-9EAB-48AF-A38A-82F4D1D8C65D}"/>
            </c:ext>
          </c:extLst>
        </c:ser>
        <c:ser>
          <c:idx val="3"/>
          <c:order val="3"/>
          <c:tx>
            <c:strRef>
              <c:f>'polsko final'!$F$21</c:f>
              <c:strCache>
                <c:ptCount val="1"/>
                <c:pt idx="0">
                  <c:v>2014</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final'!$G$21:$M$21</c:f>
              <c:numCache>
                <c:formatCode>0.00</c:formatCode>
                <c:ptCount val="7"/>
                <c:pt idx="0">
                  <c:v>6.6921606118546903E-2</c:v>
                </c:pt>
                <c:pt idx="1">
                  <c:v>8.8432122370937047E-2</c:v>
                </c:pt>
                <c:pt idx="2">
                  <c:v>6.6921606118546903E-2</c:v>
                </c:pt>
                <c:pt idx="3" formatCode="#,##0.00\ [$€-41B]">
                  <c:v>0.13</c:v>
                </c:pt>
                <c:pt idx="4" formatCode="#,##0.00\ [$€-41B]">
                  <c:v>0.19</c:v>
                </c:pt>
                <c:pt idx="5" formatCode="#,##0.00\ [$€-41B]">
                  <c:v>0.29000000000000031</c:v>
                </c:pt>
                <c:pt idx="6" formatCode="#,##0.00\ [$€-41B]">
                  <c:v>0.75000000000000111</c:v>
                </c:pt>
              </c:numCache>
            </c:numRef>
          </c:val>
          <c:extLst>
            <c:ext xmlns:c16="http://schemas.microsoft.com/office/drawing/2014/chart" uri="{C3380CC4-5D6E-409C-BE32-E72D297353CC}">
              <c16:uniqueId val="{00000003-9EAB-48AF-A38A-82F4D1D8C65D}"/>
            </c:ext>
          </c:extLst>
        </c:ser>
        <c:ser>
          <c:idx val="4"/>
          <c:order val="4"/>
          <c:tx>
            <c:strRef>
              <c:f>'polsko final'!$F$22</c:f>
              <c:strCache>
                <c:ptCount val="1"/>
                <c:pt idx="0">
                  <c:v>2015</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final'!$G$22:$M$22</c:f>
              <c:numCache>
                <c:formatCode>0.00</c:formatCode>
                <c:ptCount val="7"/>
                <c:pt idx="0">
                  <c:v>6.6921606118546903E-2</c:v>
                </c:pt>
                <c:pt idx="1">
                  <c:v>8.8432122370937047E-2</c:v>
                </c:pt>
                <c:pt idx="2">
                  <c:v>6.6921606118546903E-2</c:v>
                </c:pt>
                <c:pt idx="3" formatCode="#,##0.00\ [$€-41B]">
                  <c:v>0.14000000000000001</c:v>
                </c:pt>
                <c:pt idx="4" formatCode="#,##0.00\ [$€-41B]">
                  <c:v>0.2</c:v>
                </c:pt>
                <c:pt idx="5" formatCode="#,##0.00\ [$€-41B]">
                  <c:v>0.32000000000000056</c:v>
                </c:pt>
                <c:pt idx="6" formatCode="#,##0.00\ [$€-41B]">
                  <c:v>0.8</c:v>
                </c:pt>
              </c:numCache>
            </c:numRef>
          </c:val>
          <c:extLst>
            <c:ext xmlns:c16="http://schemas.microsoft.com/office/drawing/2014/chart" uri="{C3380CC4-5D6E-409C-BE32-E72D297353CC}">
              <c16:uniqueId val="{00000004-9EAB-48AF-A38A-82F4D1D8C65D}"/>
            </c:ext>
          </c:extLst>
        </c:ser>
        <c:ser>
          <c:idx val="5"/>
          <c:order val="5"/>
          <c:tx>
            <c:strRef>
              <c:f>'polsko final'!$F$23</c:f>
              <c:strCache>
                <c:ptCount val="1"/>
                <c:pt idx="0">
                  <c:v>2016</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final'!$G$23:$M$23</c:f>
              <c:numCache>
                <c:formatCode>0.00</c:formatCode>
                <c:ptCount val="7"/>
                <c:pt idx="0">
                  <c:v>6.417602567041028E-2</c:v>
                </c:pt>
                <c:pt idx="1">
                  <c:v>8.4804033921613772E-2</c:v>
                </c:pt>
                <c:pt idx="2">
                  <c:v>6.417602567041028E-2</c:v>
                </c:pt>
                <c:pt idx="3" formatCode="#,##0.00\ [$€-41B]">
                  <c:v>0.14000000000000001</c:v>
                </c:pt>
                <c:pt idx="4" formatCode="#,##0.00\ [$€-41B]">
                  <c:v>0.2</c:v>
                </c:pt>
                <c:pt idx="5" formatCode="#,##0.00\ [$€-41B]">
                  <c:v>0.32000000000000056</c:v>
                </c:pt>
                <c:pt idx="6" formatCode="#,##0.00\ [$€-41B]">
                  <c:v>0.8</c:v>
                </c:pt>
              </c:numCache>
            </c:numRef>
          </c:val>
          <c:extLst>
            <c:ext xmlns:c16="http://schemas.microsoft.com/office/drawing/2014/chart" uri="{C3380CC4-5D6E-409C-BE32-E72D297353CC}">
              <c16:uniqueId val="{00000005-9EAB-48AF-A38A-82F4D1D8C65D}"/>
            </c:ext>
          </c:extLst>
        </c:ser>
        <c:ser>
          <c:idx val="6"/>
          <c:order val="6"/>
          <c:tx>
            <c:strRef>
              <c:f>'polsko final'!$F$24</c:f>
              <c:strCache>
                <c:ptCount val="1"/>
                <c:pt idx="0">
                  <c:v>2017</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final'!$G$24:$M$24</c:f>
              <c:numCache>
                <c:formatCode>0.00</c:formatCode>
                <c:ptCount val="7"/>
                <c:pt idx="0">
                  <c:v>6.5774019262391362E-2</c:v>
                </c:pt>
                <c:pt idx="1">
                  <c:v>8.6915668311017227E-2</c:v>
                </c:pt>
                <c:pt idx="2">
                  <c:v>6.5774019262391362E-2</c:v>
                </c:pt>
                <c:pt idx="3" formatCode="#,##0.00\ [$€-41B]">
                  <c:v>0.14000000000000001</c:v>
                </c:pt>
                <c:pt idx="4" formatCode="#,##0.00\ [$€-41B]">
                  <c:v>0.2</c:v>
                </c:pt>
                <c:pt idx="5" formatCode="#,##0.00\ [$€-41B]">
                  <c:v>0.32000000000000056</c:v>
                </c:pt>
                <c:pt idx="6" formatCode="#,##0.00\ [$€-41B]">
                  <c:v>0.81</c:v>
                </c:pt>
              </c:numCache>
            </c:numRef>
          </c:val>
          <c:extLst>
            <c:ext xmlns:c16="http://schemas.microsoft.com/office/drawing/2014/chart" uri="{C3380CC4-5D6E-409C-BE32-E72D297353CC}">
              <c16:uniqueId val="{00000006-9EAB-48AF-A38A-82F4D1D8C65D}"/>
            </c:ext>
          </c:extLst>
        </c:ser>
        <c:ser>
          <c:idx val="7"/>
          <c:order val="7"/>
          <c:tx>
            <c:strRef>
              <c:f>'polsko final'!$F$25</c:f>
              <c:strCache>
                <c:ptCount val="1"/>
                <c:pt idx="0">
                  <c:v>2018</c:v>
                </c:pt>
              </c:strCache>
            </c:strRef>
          </c:tx>
          <c:invertIfNegative val="0"/>
          <c:dLbls>
            <c:numFmt formatCode="#,##0.000\ &quot;€&quot;" sourceLinked="0"/>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'polsko final'!$G$16:$M$17</c:f>
              <c:multiLvlStrCache>
                <c:ptCount val="7"/>
                <c:lvl>
                  <c:pt idx="0">
                    <c:v>NV 3,5t - 12 t</c:v>
                  </c:pt>
                  <c:pt idx="1">
                    <c:v>NV nad 12 t</c:v>
                  </c:pt>
                  <c:pt idx="2">
                    <c:v>BUS</c:v>
                  </c:pt>
                  <c:pt idx="3">
                    <c:v>Trieda 2</c:v>
                  </c:pt>
                  <c:pt idx="4">
                    <c:v>Trieda 3</c:v>
                  </c:pt>
                  <c:pt idx="5">
                    <c:v>Trieda 4</c:v>
                  </c:pt>
                  <c:pt idx="6">
                    <c:v>Trieda 5</c:v>
                  </c:pt>
                </c:lvl>
                <c:lvl>
                  <c:pt idx="0">
                    <c:v>Štátne diaľnice a rýchlostné cesty</c:v>
                  </c:pt>
                  <c:pt idx="3">
                    <c:v>Koncesné diaľnice (AWSA)</c:v>
                  </c:pt>
                </c:lvl>
              </c:multiLvlStrCache>
            </c:multiLvlStrRef>
          </c:cat>
          <c:val>
            <c:numRef>
              <c:f>'polsko final'!$G$25:$M$25</c:f>
              <c:numCache>
                <c:formatCode>0.00</c:formatCode>
                <c:ptCount val="7"/>
                <c:pt idx="0">
                  <c:v>6.5712274114057903E-2</c:v>
                </c:pt>
                <c:pt idx="1">
                  <c:v>8.683407650786229E-2</c:v>
                </c:pt>
                <c:pt idx="2">
                  <c:v>6.5712274114057903E-2</c:v>
                </c:pt>
                <c:pt idx="3" formatCode="#,##0.00\ [$€-41B]">
                  <c:v>0.14000000000000001</c:v>
                </c:pt>
                <c:pt idx="4" formatCode="#,##0.00\ [$€-41B]">
                  <c:v>0.2</c:v>
                </c:pt>
                <c:pt idx="5" formatCode="#,##0.00\ [$€-41B]">
                  <c:v>0.32000000000000056</c:v>
                </c:pt>
                <c:pt idx="6" formatCode="#,##0.00\ [$€-41B]">
                  <c:v>0.81</c:v>
                </c:pt>
              </c:numCache>
            </c:numRef>
          </c:val>
          <c:extLst>
            <c:ext xmlns:c16="http://schemas.microsoft.com/office/drawing/2014/chart" uri="{C3380CC4-5D6E-409C-BE32-E72D297353CC}">
              <c16:uniqueId val="{00000007-9EAB-48AF-A38A-82F4D1D8C65D}"/>
            </c:ext>
          </c:extLst>
        </c:ser>
        <c:dLbls>
          <c:showLegendKey val="0"/>
          <c:showVal val="0"/>
          <c:showCatName val="0"/>
          <c:showSerName val="0"/>
          <c:showPercent val="0"/>
          <c:showBubbleSize val="0"/>
        </c:dLbls>
        <c:gapWidth val="150"/>
        <c:axId val="702667392"/>
        <c:axId val="704078208"/>
      </c:barChart>
      <c:catAx>
        <c:axId val="702667392"/>
        <c:scaling>
          <c:orientation val="minMax"/>
        </c:scaling>
        <c:delete val="0"/>
        <c:axPos val="b"/>
        <c:numFmt formatCode="General" sourceLinked="1"/>
        <c:majorTickMark val="out"/>
        <c:minorTickMark val="none"/>
        <c:tickLblPos val="nextTo"/>
        <c:crossAx val="704078208"/>
        <c:crosses val="autoZero"/>
        <c:auto val="1"/>
        <c:lblAlgn val="ctr"/>
        <c:lblOffset val="100"/>
        <c:noMultiLvlLbl val="0"/>
      </c:catAx>
      <c:valAx>
        <c:axId val="704078208"/>
        <c:scaling>
          <c:orientation val="minMax"/>
          <c:max val="1"/>
        </c:scaling>
        <c:delete val="0"/>
        <c:axPos val="l"/>
        <c:numFmt formatCode="#,##0.0\ &quot;€&quot;" sourceLinked="0"/>
        <c:majorTickMark val="out"/>
        <c:minorTickMark val="none"/>
        <c:tickLblPos val="nextTo"/>
        <c:crossAx val="702667392"/>
        <c:crosses val="autoZero"/>
        <c:crossBetween val="between"/>
      </c:valAx>
    </c:plotArea>
    <c:legend>
      <c:legendPos val="b"/>
      <c:overlay val="0"/>
    </c:legend>
    <c:plotVisOnly val="1"/>
    <c:dispBlanksAs val="gap"/>
    <c:showDLblsOverMax val="0"/>
  </c:chart>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4"/>
    </mc:Choice>
    <mc:Fallback>
      <c:style val="14"/>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solidFill>
                <a:latin typeface="+mn-lt"/>
                <a:ea typeface="+mn-ea"/>
                <a:cs typeface="+mn-cs"/>
              </a:defRPr>
            </a:pPr>
            <a:r>
              <a:rPr lang="sk-SK" sz="1100"/>
              <a:t>Vývoj sadzieb na štátnych cestách v Poľsku (EURO IV.)</a:t>
            </a:r>
          </a:p>
        </c:rich>
      </c:tx>
      <c:overlay val="0"/>
    </c:title>
    <c:autoTitleDeleted val="0"/>
    <c:plotArea>
      <c:layout/>
      <c:barChart>
        <c:barDir val="col"/>
        <c:grouping val="clustered"/>
        <c:varyColors val="0"/>
        <c:ser>
          <c:idx val="0"/>
          <c:order val="0"/>
          <c:tx>
            <c:strRef>
              <c:f>'final porov I.tr.'!$R$4</c:f>
              <c:strCache>
                <c:ptCount val="1"/>
                <c:pt idx="0">
                  <c:v> NV 3,5t - 12 t</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I.tr.'!$Q$5:$Q$12</c:f>
              <c:numCache>
                <c:formatCode>General</c:formatCode>
                <c:ptCount val="8"/>
                <c:pt idx="0">
                  <c:v>2011</c:v>
                </c:pt>
                <c:pt idx="1">
                  <c:v>2012</c:v>
                </c:pt>
                <c:pt idx="2">
                  <c:v>2013</c:v>
                </c:pt>
                <c:pt idx="3">
                  <c:v>2014</c:v>
                </c:pt>
                <c:pt idx="4">
                  <c:v>2015</c:v>
                </c:pt>
                <c:pt idx="5">
                  <c:v>2016</c:v>
                </c:pt>
                <c:pt idx="6">
                  <c:v>2017</c:v>
                </c:pt>
                <c:pt idx="7">
                  <c:v>2018</c:v>
                </c:pt>
              </c:numCache>
            </c:numRef>
          </c:cat>
          <c:val>
            <c:numRef>
              <c:f>'final porov I.tr.'!$R$5:$R$12</c:f>
              <c:numCache>
                <c:formatCode>#,##0.000\ "€"</c:formatCode>
                <c:ptCount val="8"/>
                <c:pt idx="0">
                  <c:v>5.3385100703712676E-2</c:v>
                </c:pt>
                <c:pt idx="1">
                  <c:v>5.2568697729988186E-2</c:v>
                </c:pt>
                <c:pt idx="2">
                  <c:v>5.2418394091017499E-2</c:v>
                </c:pt>
                <c:pt idx="3">
                  <c:v>5.2581261950286957E-2</c:v>
                </c:pt>
                <c:pt idx="4">
                  <c:v>5.2581261950286957E-2</c:v>
                </c:pt>
                <c:pt idx="5">
                  <c:v>5.0424020169608064E-2</c:v>
                </c:pt>
                <c:pt idx="6">
                  <c:v>5.1679586563307359E-2</c:v>
                </c:pt>
                <c:pt idx="7">
                  <c:v>5.1631072518188215E-2</c:v>
                </c:pt>
              </c:numCache>
            </c:numRef>
          </c:val>
          <c:extLst>
            <c:ext xmlns:c16="http://schemas.microsoft.com/office/drawing/2014/chart" uri="{C3380CC4-5D6E-409C-BE32-E72D297353CC}">
              <c16:uniqueId val="{00000000-CAF0-4F7A-861F-2414D836F282}"/>
            </c:ext>
          </c:extLst>
        </c:ser>
        <c:ser>
          <c:idx val="1"/>
          <c:order val="1"/>
          <c:tx>
            <c:strRef>
              <c:f>'final porov I.tr.'!$S$4</c:f>
              <c:strCache>
                <c:ptCount val="1"/>
                <c:pt idx="0">
                  <c:v>NV nad 12 t</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I.tr.'!$Q$5:$Q$12</c:f>
              <c:numCache>
                <c:formatCode>General</c:formatCode>
                <c:ptCount val="8"/>
                <c:pt idx="0">
                  <c:v>2011</c:v>
                </c:pt>
                <c:pt idx="1">
                  <c:v>2012</c:v>
                </c:pt>
                <c:pt idx="2">
                  <c:v>2013</c:v>
                </c:pt>
                <c:pt idx="3">
                  <c:v>2014</c:v>
                </c:pt>
                <c:pt idx="4">
                  <c:v>2015</c:v>
                </c:pt>
                <c:pt idx="5">
                  <c:v>2016</c:v>
                </c:pt>
                <c:pt idx="6">
                  <c:v>2017</c:v>
                </c:pt>
                <c:pt idx="7">
                  <c:v>2018</c:v>
                </c:pt>
              </c:numCache>
            </c:numRef>
          </c:cat>
          <c:val>
            <c:numRef>
              <c:f>'final porov I.tr.'!$S$5:$S$12</c:f>
              <c:numCache>
                <c:formatCode>#,##0.000\ "€"</c:formatCode>
                <c:ptCount val="8"/>
                <c:pt idx="0">
                  <c:v>7.0371269109439444E-2</c:v>
                </c:pt>
                <c:pt idx="1">
                  <c:v>6.9295101553166094E-2</c:v>
                </c:pt>
                <c:pt idx="2">
                  <c:v>6.9096974029068586E-2</c:v>
                </c:pt>
                <c:pt idx="3">
                  <c:v>6.9311663479923652E-2</c:v>
                </c:pt>
                <c:pt idx="4">
                  <c:v>6.9311663479923652E-2</c:v>
                </c:pt>
                <c:pt idx="5">
                  <c:v>6.6468026587210682E-2</c:v>
                </c:pt>
                <c:pt idx="6">
                  <c:v>6.8123091378905334E-2</c:v>
                </c:pt>
                <c:pt idx="7">
                  <c:v>6.8059141046702659E-2</c:v>
                </c:pt>
              </c:numCache>
            </c:numRef>
          </c:val>
          <c:extLst>
            <c:ext xmlns:c16="http://schemas.microsoft.com/office/drawing/2014/chart" uri="{C3380CC4-5D6E-409C-BE32-E72D297353CC}">
              <c16:uniqueId val="{00000001-CAF0-4F7A-861F-2414D836F282}"/>
            </c:ext>
          </c:extLst>
        </c:ser>
        <c:ser>
          <c:idx val="2"/>
          <c:order val="2"/>
          <c:tx>
            <c:strRef>
              <c:f>'final porov I.tr.'!$T$4</c:f>
              <c:strCache>
                <c:ptCount val="1"/>
                <c:pt idx="0">
                  <c:v>NV BUS</c:v>
                </c:pt>
              </c:strCache>
            </c:strRef>
          </c:tx>
          <c:invertIfNegative val="0"/>
          <c:dLbls>
            <c:spPr>
              <a:noFill/>
              <a:ln>
                <a:noFill/>
              </a:ln>
              <a:effectLst/>
            </c:spPr>
            <c:txPr>
              <a:bodyPr rot="-540000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'final porov I.tr.'!$Q$5:$Q$12</c:f>
              <c:numCache>
                <c:formatCode>General</c:formatCode>
                <c:ptCount val="8"/>
                <c:pt idx="0">
                  <c:v>2011</c:v>
                </c:pt>
                <c:pt idx="1">
                  <c:v>2012</c:v>
                </c:pt>
                <c:pt idx="2">
                  <c:v>2013</c:v>
                </c:pt>
                <c:pt idx="3">
                  <c:v>2014</c:v>
                </c:pt>
                <c:pt idx="4">
                  <c:v>2015</c:v>
                </c:pt>
                <c:pt idx="5">
                  <c:v>2016</c:v>
                </c:pt>
                <c:pt idx="6">
                  <c:v>2017</c:v>
                </c:pt>
                <c:pt idx="7">
                  <c:v>2018</c:v>
                </c:pt>
              </c:numCache>
            </c:numRef>
          </c:cat>
          <c:val>
            <c:numRef>
              <c:f>'final porov I.tr.'!$T$5:$T$12</c:f>
              <c:numCache>
                <c:formatCode>#,##0.000\ "€"</c:formatCode>
                <c:ptCount val="8"/>
                <c:pt idx="0">
                  <c:v>5.3385100703712676E-2</c:v>
                </c:pt>
                <c:pt idx="1">
                  <c:v>5.2568697729988186E-2</c:v>
                </c:pt>
                <c:pt idx="2">
                  <c:v>5.2418394091017499E-2</c:v>
                </c:pt>
                <c:pt idx="3">
                  <c:v>5.2581261950286957E-2</c:v>
                </c:pt>
                <c:pt idx="4">
                  <c:v>5.2581261950286957E-2</c:v>
                </c:pt>
                <c:pt idx="5">
                  <c:v>5.0424020169608064E-2</c:v>
                </c:pt>
                <c:pt idx="6">
                  <c:v>5.1679586563307359E-2</c:v>
                </c:pt>
                <c:pt idx="7">
                  <c:v>5.1631072518188215E-2</c:v>
                </c:pt>
              </c:numCache>
            </c:numRef>
          </c:val>
          <c:extLst>
            <c:ext xmlns:c16="http://schemas.microsoft.com/office/drawing/2014/chart" uri="{C3380CC4-5D6E-409C-BE32-E72D297353CC}">
              <c16:uniqueId val="{00000002-CAF0-4F7A-861F-2414D836F282}"/>
            </c:ext>
          </c:extLst>
        </c:ser>
        <c:dLbls>
          <c:showLegendKey val="0"/>
          <c:showVal val="0"/>
          <c:showCatName val="0"/>
          <c:showSerName val="0"/>
          <c:showPercent val="0"/>
          <c:showBubbleSize val="0"/>
        </c:dLbls>
        <c:gapWidth val="150"/>
        <c:axId val="704401408"/>
        <c:axId val="704402944"/>
      </c:barChart>
      <c:catAx>
        <c:axId val="704401408"/>
        <c:scaling>
          <c:orientation val="minMax"/>
        </c:scaling>
        <c:delete val="0"/>
        <c:axPos val="b"/>
        <c:numFmt formatCode="General" sourceLinked="1"/>
        <c:majorTickMark val="out"/>
        <c:minorTickMark val="none"/>
        <c:tickLblPos val="nextTo"/>
        <c:crossAx val="704402944"/>
        <c:crosses val="autoZero"/>
        <c:auto val="1"/>
        <c:lblAlgn val="ctr"/>
        <c:lblOffset val="100"/>
        <c:noMultiLvlLbl val="0"/>
      </c:catAx>
      <c:valAx>
        <c:axId val="704402944"/>
        <c:scaling>
          <c:orientation val="minMax"/>
          <c:max val="0.4"/>
        </c:scaling>
        <c:delete val="0"/>
        <c:axPos val="l"/>
        <c:numFmt formatCode="#,##0.00\ &quot;€&quot;" sourceLinked="0"/>
        <c:majorTickMark val="out"/>
        <c:minorTickMark val="none"/>
        <c:tickLblPos val="nextTo"/>
        <c:crossAx val="704401408"/>
        <c:crosses val="autoZero"/>
        <c:crossBetween val="between"/>
      </c:valAx>
    </c:plotArea>
    <c:legend>
      <c:legendPos val="b"/>
      <c:overlay val="0"/>
    </c:legend>
    <c:plotVisOnly val="1"/>
    <c:dispBlanksAs val="gap"/>
    <c:showDLblsOverMax val="0"/>
  </c:chart>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2"/>
    </mc:Choice>
    <mc:Fallback>
      <c:style val="12"/>
    </mc:Fallback>
  </mc:AlternateContent>
  <c:chart>
    <c:autoTitleDeleted val="0"/>
    <c:plotArea>
      <c:layout/>
      <c:barChart>
        <c:barDir val="col"/>
        <c:grouping val="clustered"/>
        <c:varyColors val="0"/>
        <c:ser>
          <c:idx val="0"/>
          <c:order val="0"/>
          <c:tx>
            <c:strRef>
              <c:f>'DaRC_final sadzby (3)'!$C$22</c:f>
              <c:strCache>
                <c:ptCount val="1"/>
                <c:pt idx="0">
                  <c:v>2010</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(3)'!$D$22:$H$22</c:f>
              <c:numCache>
                <c:formatCode>#,##0.00\ "€"</c:formatCode>
                <c:ptCount val="5"/>
                <c:pt idx="0">
                  <c:v>8.6000000000000021E-2</c:v>
                </c:pt>
                <c:pt idx="1">
                  <c:v>0.16900000000000001</c:v>
                </c:pt>
                <c:pt idx="2">
                  <c:v>6.7635000000000001E-2</c:v>
                </c:pt>
              </c:numCache>
            </c:numRef>
          </c:val>
          <c:extLst>
            <c:ext xmlns:c16="http://schemas.microsoft.com/office/drawing/2014/chart" uri="{C3380CC4-5D6E-409C-BE32-E72D297353CC}">
              <c16:uniqueId val="{00000000-117E-4D73-AD85-F3974C8301DA}"/>
            </c:ext>
          </c:extLst>
        </c:ser>
        <c:ser>
          <c:idx val="1"/>
          <c:order val="1"/>
          <c:tx>
            <c:strRef>
              <c:f>'DaRC_final sadzby (3)'!$C$23</c:f>
              <c:strCache>
                <c:ptCount val="1"/>
                <c:pt idx="0">
                  <c:v>2011</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(3)'!$D$23:$H$23</c:f>
              <c:numCache>
                <c:formatCode>#,##0.00\ "€"</c:formatCode>
                <c:ptCount val="5"/>
                <c:pt idx="0">
                  <c:v>8.6000000000000021E-2</c:v>
                </c:pt>
                <c:pt idx="1">
                  <c:v>0.16900000000000001</c:v>
                </c:pt>
                <c:pt idx="2">
                  <c:v>8.5481000000000001E-2</c:v>
                </c:pt>
                <c:pt idx="3">
                  <c:v>0.15600000000000028</c:v>
                </c:pt>
                <c:pt idx="4">
                  <c:v>6.794467362290707E-2</c:v>
                </c:pt>
              </c:numCache>
            </c:numRef>
          </c:val>
          <c:extLst>
            <c:ext xmlns:c16="http://schemas.microsoft.com/office/drawing/2014/chart" uri="{C3380CC4-5D6E-409C-BE32-E72D297353CC}">
              <c16:uniqueId val="{00000001-117E-4D73-AD85-F3974C8301DA}"/>
            </c:ext>
          </c:extLst>
        </c:ser>
        <c:ser>
          <c:idx val="2"/>
          <c:order val="2"/>
          <c:tx>
            <c:strRef>
              <c:f>'DaRC_final sadzby (3)'!$C$24</c:f>
              <c:strCache>
                <c:ptCount val="1"/>
                <c:pt idx="0">
                  <c:v>2012</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(3)'!$D$24:$H$24</c:f>
              <c:numCache>
                <c:formatCode>#,##0.00\ "€"</c:formatCode>
                <c:ptCount val="5"/>
                <c:pt idx="0">
                  <c:v>8.6000000000000021E-2</c:v>
                </c:pt>
                <c:pt idx="1">
                  <c:v>0.16900000000000001</c:v>
                </c:pt>
                <c:pt idx="2">
                  <c:v>0.10518300000000012</c:v>
                </c:pt>
                <c:pt idx="3">
                  <c:v>0.17800000000000021</c:v>
                </c:pt>
                <c:pt idx="4">
                  <c:v>6.6905615292712078E-2</c:v>
                </c:pt>
              </c:numCache>
            </c:numRef>
          </c:val>
          <c:extLst>
            <c:ext xmlns:c16="http://schemas.microsoft.com/office/drawing/2014/chart" uri="{C3380CC4-5D6E-409C-BE32-E72D297353CC}">
              <c16:uniqueId val="{00000002-117E-4D73-AD85-F3974C8301DA}"/>
            </c:ext>
          </c:extLst>
        </c:ser>
        <c:ser>
          <c:idx val="3"/>
          <c:order val="3"/>
          <c:tx>
            <c:strRef>
              <c:f>'DaRC_final sadzby (3)'!$C$25</c:f>
              <c:strCache>
                <c:ptCount val="1"/>
                <c:pt idx="0">
                  <c:v>2013</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(3)'!$D$25:$H$25</c:f>
              <c:numCache>
                <c:formatCode>#,##0.00\ "€"</c:formatCode>
                <c:ptCount val="5"/>
                <c:pt idx="0">
                  <c:v>8.6000000000000021E-2</c:v>
                </c:pt>
                <c:pt idx="1">
                  <c:v>0.16900000000000001</c:v>
                </c:pt>
                <c:pt idx="2">
                  <c:v>0.10100699999999999</c:v>
                </c:pt>
                <c:pt idx="3">
                  <c:v>0.17</c:v>
                </c:pt>
                <c:pt idx="4">
                  <c:v>6.6714319752203974E-2</c:v>
                </c:pt>
              </c:numCache>
            </c:numRef>
          </c:val>
          <c:extLst>
            <c:ext xmlns:c16="http://schemas.microsoft.com/office/drawing/2014/chart" uri="{C3380CC4-5D6E-409C-BE32-E72D297353CC}">
              <c16:uniqueId val="{00000003-117E-4D73-AD85-F3974C8301DA}"/>
            </c:ext>
          </c:extLst>
        </c:ser>
        <c:ser>
          <c:idx val="4"/>
          <c:order val="4"/>
          <c:tx>
            <c:strRef>
              <c:f>'DaRC_final sadzby (3)'!$C$26</c:f>
              <c:strCache>
                <c:ptCount val="1"/>
                <c:pt idx="0">
                  <c:v>2014</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(3)'!$D$26:$H$26</c:f>
              <c:numCache>
                <c:formatCode>#,##0.00\ "€"</c:formatCode>
                <c:ptCount val="5"/>
                <c:pt idx="0">
                  <c:v>9.3000000000000208E-2</c:v>
                </c:pt>
                <c:pt idx="1">
                  <c:v>0.16900000000000001</c:v>
                </c:pt>
                <c:pt idx="2">
                  <c:v>9.4743000000000022E-2</c:v>
                </c:pt>
                <c:pt idx="3">
                  <c:v>0.18500000000000025</c:v>
                </c:pt>
                <c:pt idx="4">
                  <c:v>6.6921606118546903E-2</c:v>
                </c:pt>
              </c:numCache>
            </c:numRef>
          </c:val>
          <c:extLst>
            <c:ext xmlns:c16="http://schemas.microsoft.com/office/drawing/2014/chart" uri="{C3380CC4-5D6E-409C-BE32-E72D297353CC}">
              <c16:uniqueId val="{00000004-117E-4D73-AD85-F3974C8301DA}"/>
            </c:ext>
          </c:extLst>
        </c:ser>
        <c:ser>
          <c:idx val="5"/>
          <c:order val="5"/>
          <c:tx>
            <c:strRef>
              <c:f>'DaRC_final sadzby (3)'!$C$27</c:f>
              <c:strCache>
                <c:ptCount val="1"/>
                <c:pt idx="0">
                  <c:v>2015</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(3)'!$D$27:$H$27</c:f>
              <c:numCache>
                <c:formatCode>#,##0.00\ "€"</c:formatCode>
                <c:ptCount val="5"/>
                <c:pt idx="0">
                  <c:v>9.3000000000000208E-2</c:v>
                </c:pt>
                <c:pt idx="1">
                  <c:v>0.15700000000000028</c:v>
                </c:pt>
                <c:pt idx="2">
                  <c:v>0.10236599999999998</c:v>
                </c:pt>
                <c:pt idx="3">
                  <c:v>0.18800000000000028</c:v>
                </c:pt>
                <c:pt idx="4">
                  <c:v>6.6921606118546903E-2</c:v>
                </c:pt>
              </c:numCache>
            </c:numRef>
          </c:val>
          <c:extLst>
            <c:ext xmlns:c16="http://schemas.microsoft.com/office/drawing/2014/chart" uri="{C3380CC4-5D6E-409C-BE32-E72D297353CC}">
              <c16:uniqueId val="{00000005-117E-4D73-AD85-F3974C8301DA}"/>
            </c:ext>
          </c:extLst>
        </c:ser>
        <c:ser>
          <c:idx val="6"/>
          <c:order val="6"/>
          <c:tx>
            <c:strRef>
              <c:f>'DaRC_final sadzby (3)'!$C$28</c:f>
              <c:strCache>
                <c:ptCount val="1"/>
                <c:pt idx="0">
                  <c:v>2016</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(3)'!$D$28:$H$28</c:f>
              <c:numCache>
                <c:formatCode>#,##0.00\ "€"</c:formatCode>
                <c:ptCount val="5"/>
                <c:pt idx="0">
                  <c:v>9.3000000000000208E-2</c:v>
                </c:pt>
                <c:pt idx="1">
                  <c:v>0.113</c:v>
                </c:pt>
                <c:pt idx="2">
                  <c:v>0.10433999999999995</c:v>
                </c:pt>
                <c:pt idx="3">
                  <c:v>0.18500000000000025</c:v>
                </c:pt>
                <c:pt idx="4">
                  <c:v>6.417602567041028E-2</c:v>
                </c:pt>
              </c:numCache>
            </c:numRef>
          </c:val>
          <c:extLst>
            <c:ext xmlns:c16="http://schemas.microsoft.com/office/drawing/2014/chart" uri="{C3380CC4-5D6E-409C-BE32-E72D297353CC}">
              <c16:uniqueId val="{00000006-117E-4D73-AD85-F3974C8301DA}"/>
            </c:ext>
          </c:extLst>
        </c:ser>
        <c:ser>
          <c:idx val="7"/>
          <c:order val="7"/>
          <c:tx>
            <c:strRef>
              <c:f>'DaRC_final sadzby (3)'!$C$29</c:f>
              <c:strCache>
                <c:ptCount val="1"/>
                <c:pt idx="0">
                  <c:v>2017</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(3)'!$D$29:$H$29</c:f>
              <c:numCache>
                <c:formatCode>#,##0.00\ "€"</c:formatCode>
                <c:ptCount val="5"/>
                <c:pt idx="0">
                  <c:v>9.3000000000000208E-2</c:v>
                </c:pt>
                <c:pt idx="1">
                  <c:v>0.113</c:v>
                </c:pt>
                <c:pt idx="2">
                  <c:v>0.10800599999999999</c:v>
                </c:pt>
                <c:pt idx="3">
                  <c:v>0.20290000000000025</c:v>
                </c:pt>
                <c:pt idx="4">
                  <c:v>6.5774019262391362E-2</c:v>
                </c:pt>
              </c:numCache>
            </c:numRef>
          </c:val>
          <c:extLst>
            <c:ext xmlns:c16="http://schemas.microsoft.com/office/drawing/2014/chart" uri="{C3380CC4-5D6E-409C-BE32-E72D297353CC}">
              <c16:uniqueId val="{00000007-117E-4D73-AD85-F3974C8301DA}"/>
            </c:ext>
          </c:extLst>
        </c:ser>
        <c:ser>
          <c:idx val="8"/>
          <c:order val="8"/>
          <c:tx>
            <c:strRef>
              <c:f>'DaRC_final sadzby (3)'!$C$30</c:f>
              <c:strCache>
                <c:ptCount val="1"/>
                <c:pt idx="0">
                  <c:v>2018</c:v>
                </c:pt>
              </c:strCache>
            </c:strRef>
          </c:tx>
          <c:invertIfNegative val="0"/>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(3)'!$D$30:$H$30</c:f>
              <c:numCache>
                <c:formatCode>#,##0.00\ "€"</c:formatCode>
                <c:ptCount val="5"/>
                <c:pt idx="0">
                  <c:v>9.5000000000000043E-2</c:v>
                </c:pt>
                <c:pt idx="1">
                  <c:v>0.113</c:v>
                </c:pt>
                <c:pt idx="2">
                  <c:v>0.11082599999999998</c:v>
                </c:pt>
                <c:pt idx="3">
                  <c:v>0.20469999999999999</c:v>
                </c:pt>
                <c:pt idx="4">
                  <c:v>6.5712274114057903E-2</c:v>
                </c:pt>
              </c:numCache>
            </c:numRef>
          </c:val>
          <c:extLst>
            <c:ext xmlns:c16="http://schemas.microsoft.com/office/drawing/2014/chart" uri="{C3380CC4-5D6E-409C-BE32-E72D297353CC}">
              <c16:uniqueId val="{00000008-117E-4D73-AD85-F3974C8301DA}"/>
            </c:ext>
          </c:extLst>
        </c:ser>
        <c:ser>
          <c:idx val="9"/>
          <c:order val="9"/>
          <c:tx>
            <c:strRef>
              <c:f>'DaRC_final sadzby (3)'!$C$31</c:f>
              <c:strCache>
                <c:ptCount val="1"/>
                <c:pt idx="0">
                  <c:v>priemer</c:v>
                </c:pt>
              </c:strCache>
            </c:strRef>
          </c:tx>
          <c:spPr>
            <a:solidFill>
              <a:schemeClr val="accent4">
                <a:lumMod val="75000"/>
              </a:scheme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'DaRC_final sadzby (3)'!$D$20:$H$21</c:f>
              <c:multiLvlStrCache>
                <c:ptCount val="5"/>
                <c:lvl>
                  <c:pt idx="0">
                    <c:v>SR </c:v>
                  </c:pt>
                  <c:pt idx="1">
                    <c:v>DE</c:v>
                  </c:pt>
                  <c:pt idx="2">
                    <c:v>ČR</c:v>
                  </c:pt>
                  <c:pt idx="3">
                    <c:v>AT</c:v>
                  </c:pt>
                  <c:pt idx="4">
                    <c:v>PL</c:v>
                  </c:pt>
                </c:lvl>
                <c:lvl>
                  <c:pt idx="0">
                    <c:v>NV 3,5 - 12t/ 2 nápravy</c:v>
                  </c:pt>
                </c:lvl>
              </c:multiLvlStrCache>
            </c:multiLvlStrRef>
          </c:cat>
          <c:val>
            <c:numRef>
              <c:f>'DaRC_final sadzby (3)'!$D$31:$H$31</c:f>
              <c:numCache>
                <c:formatCode>#,##0.00\ "€"</c:formatCode>
                <c:ptCount val="5"/>
                <c:pt idx="0">
                  <c:v>9.0111111111110906E-2</c:v>
                </c:pt>
                <c:pt idx="1">
                  <c:v>0.14900000000000024</c:v>
                </c:pt>
                <c:pt idx="2">
                  <c:v>9.7731888888888868E-2</c:v>
                </c:pt>
                <c:pt idx="3">
                  <c:v>0.18370000000000031</c:v>
                </c:pt>
                <c:pt idx="4">
                  <c:v>6.6383767493972012E-2</c:v>
                </c:pt>
              </c:numCache>
            </c:numRef>
          </c:val>
          <c:extLst>
            <c:ext xmlns:c16="http://schemas.microsoft.com/office/drawing/2014/chart" uri="{C3380CC4-5D6E-409C-BE32-E72D297353CC}">
              <c16:uniqueId val="{00000009-117E-4D73-AD85-F3974C8301DA}"/>
            </c:ext>
          </c:extLst>
        </c:ser>
        <c:dLbls>
          <c:showLegendKey val="0"/>
          <c:showVal val="0"/>
          <c:showCatName val="0"/>
          <c:showSerName val="0"/>
          <c:showPercent val="0"/>
          <c:showBubbleSize val="0"/>
        </c:dLbls>
        <c:gapWidth val="150"/>
        <c:axId val="704664320"/>
        <c:axId val="704665856"/>
      </c:barChart>
      <c:catAx>
        <c:axId val="704664320"/>
        <c:scaling>
          <c:orientation val="minMax"/>
        </c:scaling>
        <c:delete val="0"/>
        <c:axPos val="b"/>
        <c:numFmt formatCode="General" sourceLinked="1"/>
        <c:majorTickMark val="out"/>
        <c:minorTickMark val="none"/>
        <c:tickLblPos val="nextTo"/>
        <c:crossAx val="704665856"/>
        <c:crosses val="autoZero"/>
        <c:auto val="1"/>
        <c:lblAlgn val="ctr"/>
        <c:lblOffset val="100"/>
        <c:noMultiLvlLbl val="0"/>
      </c:catAx>
      <c:valAx>
        <c:axId val="704665856"/>
        <c:scaling>
          <c:orientation val="minMax"/>
          <c:max val="0.60000000000000064"/>
        </c:scaling>
        <c:delete val="0"/>
        <c:axPos val="l"/>
        <c:numFmt formatCode="#,##0.0\ &quot;€&quot;" sourceLinked="0"/>
        <c:majorTickMark val="out"/>
        <c:minorTickMark val="none"/>
        <c:tickLblPos val="nextTo"/>
        <c:crossAx val="704664320"/>
        <c:crosses val="autoZero"/>
        <c:crossBetween val="between"/>
      </c:valAx>
    </c:plotArea>
    <c:legend>
      <c:legendPos val="r"/>
      <c:layout>
        <c:manualLayout>
          <c:xMode val="edge"/>
          <c:yMode val="edge"/>
          <c:x val="0.88210825390394132"/>
          <c:y val="5.8953118665044775E-2"/>
          <c:w val="0.10513393193488522"/>
          <c:h val="0.88751339009453056"/>
        </c:manualLayout>
      </c:layout>
      <c:overlay val="0"/>
    </c:legend>
    <c:plotVisOnly val="1"/>
    <c:dispBlanksAs val="gap"/>
    <c:showDLblsOverMax val="0"/>
  </c:chart>
  <c:externalData r:id="rId1">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2"/>
    </mc:Choice>
    <mc:Fallback>
      <c:style val="12"/>
    </mc:Fallback>
  </mc:AlternateContent>
  <c:chart>
    <c:autoTitleDeleted val="0"/>
    <c:plotArea>
      <c:layout/>
      <c:barChart>
        <c:barDir val="col"/>
        <c:grouping val="clustered"/>
        <c:varyColors val="0"/>
        <c:ser>
          <c:idx val="0"/>
          <c:order val="0"/>
          <c:tx>
            <c:strRef>
              <c:f>'DaRC_final sadzby (3)'!$I$22</c:f>
              <c:strCache>
                <c:ptCount val="1"/>
                <c:pt idx="0">
                  <c:v>2010</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(3)'!$J$22:$N$22</c:f>
              <c:numCache>
                <c:formatCode>#,##0.00\ "€"</c:formatCode>
                <c:ptCount val="5"/>
                <c:pt idx="0">
                  <c:v>0.193</c:v>
                </c:pt>
                <c:pt idx="1">
                  <c:v>0.16900000000000001</c:v>
                </c:pt>
                <c:pt idx="2">
                  <c:v>0.11542500000000012</c:v>
                </c:pt>
              </c:numCache>
            </c:numRef>
          </c:val>
          <c:extLst>
            <c:ext xmlns:c16="http://schemas.microsoft.com/office/drawing/2014/chart" uri="{C3380CC4-5D6E-409C-BE32-E72D297353CC}">
              <c16:uniqueId val="{00000000-81B5-46E3-B6E4-D8CF8E88479A}"/>
            </c:ext>
          </c:extLst>
        </c:ser>
        <c:ser>
          <c:idx val="1"/>
          <c:order val="1"/>
          <c:tx>
            <c:strRef>
              <c:f>'DaRC_final sadzby (3)'!$I$23</c:f>
              <c:strCache>
                <c:ptCount val="1"/>
                <c:pt idx="0">
                  <c:v>2011</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(3)'!$J$23:$N$23</c:f>
              <c:numCache>
                <c:formatCode>#,##0.00\ "€"</c:formatCode>
                <c:ptCount val="5"/>
                <c:pt idx="0">
                  <c:v>0.193</c:v>
                </c:pt>
                <c:pt idx="1">
                  <c:v>0.16900000000000001</c:v>
                </c:pt>
                <c:pt idx="2">
                  <c:v>0.14560400000000001</c:v>
                </c:pt>
                <c:pt idx="3">
                  <c:v>0.21840000000000037</c:v>
                </c:pt>
                <c:pt idx="4">
                  <c:v>8.9784033001698668E-2</c:v>
                </c:pt>
              </c:numCache>
            </c:numRef>
          </c:val>
          <c:extLst>
            <c:ext xmlns:c16="http://schemas.microsoft.com/office/drawing/2014/chart" uri="{C3380CC4-5D6E-409C-BE32-E72D297353CC}">
              <c16:uniqueId val="{00000001-81B5-46E3-B6E4-D8CF8E88479A}"/>
            </c:ext>
          </c:extLst>
        </c:ser>
        <c:ser>
          <c:idx val="2"/>
          <c:order val="2"/>
          <c:tx>
            <c:strRef>
              <c:f>'DaRC_final sadzby (3)'!$I$24</c:f>
              <c:strCache>
                <c:ptCount val="1"/>
                <c:pt idx="0">
                  <c:v>2012</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(3)'!$J$24:$N$24</c:f>
              <c:numCache>
                <c:formatCode>#,##0.00\ "€"</c:formatCode>
                <c:ptCount val="5"/>
                <c:pt idx="0">
                  <c:v>0.193</c:v>
                </c:pt>
                <c:pt idx="1">
                  <c:v>0.16900000000000001</c:v>
                </c:pt>
                <c:pt idx="2">
                  <c:v>0.17933500000000024</c:v>
                </c:pt>
                <c:pt idx="3">
                  <c:v>0.24920000000000031</c:v>
                </c:pt>
                <c:pt idx="4">
                  <c:v>8.8410991636798081E-2</c:v>
                </c:pt>
              </c:numCache>
            </c:numRef>
          </c:val>
          <c:extLst>
            <c:ext xmlns:c16="http://schemas.microsoft.com/office/drawing/2014/chart" uri="{C3380CC4-5D6E-409C-BE32-E72D297353CC}">
              <c16:uniqueId val="{00000002-81B5-46E3-B6E4-D8CF8E88479A}"/>
            </c:ext>
          </c:extLst>
        </c:ser>
        <c:ser>
          <c:idx val="3"/>
          <c:order val="3"/>
          <c:tx>
            <c:strRef>
              <c:f>'DaRC_final sadzby (3)'!$I$25</c:f>
              <c:strCache>
                <c:ptCount val="1"/>
                <c:pt idx="0">
                  <c:v>2013</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(3)'!$J$25:$N$25</c:f>
              <c:numCache>
                <c:formatCode>#,##0.00\ "€"</c:formatCode>
                <c:ptCount val="5"/>
                <c:pt idx="0">
                  <c:v>0.193</c:v>
                </c:pt>
                <c:pt idx="1">
                  <c:v>0.16900000000000001</c:v>
                </c:pt>
                <c:pt idx="2">
                  <c:v>0.17221500000000031</c:v>
                </c:pt>
                <c:pt idx="3">
                  <c:v>0.23800000000000004</c:v>
                </c:pt>
                <c:pt idx="4">
                  <c:v>8.815820824398396E-2</c:v>
                </c:pt>
              </c:numCache>
            </c:numRef>
          </c:val>
          <c:extLst>
            <c:ext xmlns:c16="http://schemas.microsoft.com/office/drawing/2014/chart" uri="{C3380CC4-5D6E-409C-BE32-E72D297353CC}">
              <c16:uniqueId val="{00000003-81B5-46E3-B6E4-D8CF8E88479A}"/>
            </c:ext>
          </c:extLst>
        </c:ser>
        <c:ser>
          <c:idx val="4"/>
          <c:order val="4"/>
          <c:tx>
            <c:strRef>
              <c:f>'DaRC_final sadzby (3)'!$I$26</c:f>
              <c:strCache>
                <c:ptCount val="1"/>
                <c:pt idx="0">
                  <c:v>2014</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(3)'!$J$26:$N$26</c:f>
              <c:numCache>
                <c:formatCode>#,##0.00\ "€"</c:formatCode>
                <c:ptCount val="5"/>
                <c:pt idx="0">
                  <c:v>0.21200000000000024</c:v>
                </c:pt>
                <c:pt idx="1">
                  <c:v>0.16900000000000001</c:v>
                </c:pt>
                <c:pt idx="2">
                  <c:v>0.16153500000000001</c:v>
                </c:pt>
                <c:pt idx="3">
                  <c:v>0.25900000000000001</c:v>
                </c:pt>
                <c:pt idx="4">
                  <c:v>8.8432122370937047E-2</c:v>
                </c:pt>
              </c:numCache>
            </c:numRef>
          </c:val>
          <c:extLst>
            <c:ext xmlns:c16="http://schemas.microsoft.com/office/drawing/2014/chart" uri="{C3380CC4-5D6E-409C-BE32-E72D297353CC}">
              <c16:uniqueId val="{00000004-81B5-46E3-B6E4-D8CF8E88479A}"/>
            </c:ext>
          </c:extLst>
        </c:ser>
        <c:ser>
          <c:idx val="5"/>
          <c:order val="5"/>
          <c:tx>
            <c:strRef>
              <c:f>'DaRC_final sadzby (3)'!$I$27</c:f>
              <c:strCache>
                <c:ptCount val="1"/>
                <c:pt idx="0">
                  <c:v>2015</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(3)'!$J$27:$N$27</c:f>
              <c:numCache>
                <c:formatCode>#,##0.00\ "€"</c:formatCode>
                <c:ptCount val="5"/>
                <c:pt idx="0">
                  <c:v>0.21200000000000024</c:v>
                </c:pt>
                <c:pt idx="1">
                  <c:v>0.15700000000000028</c:v>
                </c:pt>
                <c:pt idx="2">
                  <c:v>0.17460299999999998</c:v>
                </c:pt>
                <c:pt idx="3">
                  <c:v>0.26320000000000005</c:v>
                </c:pt>
                <c:pt idx="4">
                  <c:v>8.8432122370937047E-2</c:v>
                </c:pt>
              </c:numCache>
            </c:numRef>
          </c:val>
          <c:extLst>
            <c:ext xmlns:c16="http://schemas.microsoft.com/office/drawing/2014/chart" uri="{C3380CC4-5D6E-409C-BE32-E72D297353CC}">
              <c16:uniqueId val="{00000005-81B5-46E3-B6E4-D8CF8E88479A}"/>
            </c:ext>
          </c:extLst>
        </c:ser>
        <c:ser>
          <c:idx val="6"/>
          <c:order val="6"/>
          <c:tx>
            <c:strRef>
              <c:f>'DaRC_final sadzby (3)'!$I$28</c:f>
              <c:strCache>
                <c:ptCount val="1"/>
                <c:pt idx="0">
                  <c:v>2016</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(3)'!$J$28:$N$28</c:f>
              <c:numCache>
                <c:formatCode>#,##0.00\ "€"</c:formatCode>
                <c:ptCount val="5"/>
                <c:pt idx="0">
                  <c:v>0.21100000000000024</c:v>
                </c:pt>
                <c:pt idx="1">
                  <c:v>0.14500000000000021</c:v>
                </c:pt>
                <c:pt idx="2">
                  <c:v>0.17797000000000004</c:v>
                </c:pt>
                <c:pt idx="3">
                  <c:v>0.25900000000000001</c:v>
                </c:pt>
                <c:pt idx="4">
                  <c:v>8.4804033921613772E-2</c:v>
                </c:pt>
              </c:numCache>
            </c:numRef>
          </c:val>
          <c:extLst>
            <c:ext xmlns:c16="http://schemas.microsoft.com/office/drawing/2014/chart" uri="{C3380CC4-5D6E-409C-BE32-E72D297353CC}">
              <c16:uniqueId val="{00000006-81B5-46E3-B6E4-D8CF8E88479A}"/>
            </c:ext>
          </c:extLst>
        </c:ser>
        <c:ser>
          <c:idx val="7"/>
          <c:order val="7"/>
          <c:tx>
            <c:strRef>
              <c:f>'DaRC_final sadzby (3)'!$I$29</c:f>
              <c:strCache>
                <c:ptCount val="1"/>
                <c:pt idx="0">
                  <c:v>2017</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(3)'!$J$29:$N$29</c:f>
              <c:numCache>
                <c:formatCode>#,##0.00\ "€"</c:formatCode>
                <c:ptCount val="5"/>
                <c:pt idx="0">
                  <c:v>0.21400000000000025</c:v>
                </c:pt>
                <c:pt idx="1">
                  <c:v>0.14500000000000021</c:v>
                </c:pt>
                <c:pt idx="2">
                  <c:v>0.18422300000000025</c:v>
                </c:pt>
                <c:pt idx="3">
                  <c:v>0.28469</c:v>
                </c:pt>
                <c:pt idx="4">
                  <c:v>8.6915668311017227E-2</c:v>
                </c:pt>
              </c:numCache>
            </c:numRef>
          </c:val>
          <c:extLst>
            <c:ext xmlns:c16="http://schemas.microsoft.com/office/drawing/2014/chart" uri="{C3380CC4-5D6E-409C-BE32-E72D297353CC}">
              <c16:uniqueId val="{00000007-81B5-46E3-B6E4-D8CF8E88479A}"/>
            </c:ext>
          </c:extLst>
        </c:ser>
        <c:ser>
          <c:idx val="8"/>
          <c:order val="8"/>
          <c:tx>
            <c:strRef>
              <c:f>'DaRC_final sadzby (3)'!$I$30</c:f>
              <c:strCache>
                <c:ptCount val="1"/>
                <c:pt idx="0">
                  <c:v>2018</c:v>
                </c:pt>
              </c:strCache>
            </c:strRef>
          </c:tx>
          <c:invertIfNegative val="0"/>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(3)'!$J$30:$N$30</c:f>
              <c:numCache>
                <c:formatCode>#,##0.00\ "€"</c:formatCode>
                <c:ptCount val="5"/>
                <c:pt idx="0">
                  <c:v>0.21400000000000025</c:v>
                </c:pt>
                <c:pt idx="1">
                  <c:v>0.14500000000000021</c:v>
                </c:pt>
                <c:pt idx="2">
                  <c:v>0.18903300000000028</c:v>
                </c:pt>
                <c:pt idx="3">
                  <c:v>0.28720000000000001</c:v>
                </c:pt>
                <c:pt idx="4">
                  <c:v>8.683407650786229E-2</c:v>
                </c:pt>
              </c:numCache>
            </c:numRef>
          </c:val>
          <c:extLst>
            <c:ext xmlns:c16="http://schemas.microsoft.com/office/drawing/2014/chart" uri="{C3380CC4-5D6E-409C-BE32-E72D297353CC}">
              <c16:uniqueId val="{00000008-81B5-46E3-B6E4-D8CF8E88479A}"/>
            </c:ext>
          </c:extLst>
        </c:ser>
        <c:ser>
          <c:idx val="9"/>
          <c:order val="9"/>
          <c:tx>
            <c:strRef>
              <c:f>'DaRC_final sadzby (3)'!$I$31</c:f>
              <c:strCache>
                <c:ptCount val="1"/>
                <c:pt idx="0">
                  <c:v>priemer</c:v>
                </c:pt>
              </c:strCache>
            </c:strRef>
          </c:tx>
          <c:spPr>
            <a:solidFill>
              <a:srgbClr val="8064A2">
                <a:lumMod val="75000"/>
              </a:srgb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'DaRC_final sadzby (3)'!$J$20:$N$21</c:f>
              <c:multiLvlStrCache>
                <c:ptCount val="5"/>
                <c:lvl>
                  <c:pt idx="0">
                    <c:v>SR </c:v>
                  </c:pt>
                  <c:pt idx="1">
                    <c:v>DE</c:v>
                  </c:pt>
                  <c:pt idx="2">
                    <c:v>ČR</c:v>
                  </c:pt>
                  <c:pt idx="3">
                    <c:v>AT</c:v>
                  </c:pt>
                  <c:pt idx="4">
                    <c:v>PL</c:v>
                  </c:pt>
                </c:lvl>
                <c:lvl>
                  <c:pt idx="0">
                    <c:v>NV nad 12 t/ 3 nápravy</c:v>
                  </c:pt>
                </c:lvl>
              </c:multiLvlStrCache>
            </c:multiLvlStrRef>
          </c:cat>
          <c:val>
            <c:numRef>
              <c:f>'DaRC_final sadzby (3)'!$J$31:$N$31</c:f>
              <c:numCache>
                <c:formatCode>#,##0.00\ "€"</c:formatCode>
                <c:ptCount val="5"/>
                <c:pt idx="0">
                  <c:v>0.2038888888888889</c:v>
                </c:pt>
                <c:pt idx="1">
                  <c:v>0.15966666666666671</c:v>
                </c:pt>
                <c:pt idx="2">
                  <c:v>0.16666033333333341</c:v>
                </c:pt>
                <c:pt idx="3">
                  <c:v>0.25733625000000004</c:v>
                </c:pt>
                <c:pt idx="4">
                  <c:v>8.7721407045605895E-2</c:v>
                </c:pt>
              </c:numCache>
            </c:numRef>
          </c:val>
          <c:extLst>
            <c:ext xmlns:c16="http://schemas.microsoft.com/office/drawing/2014/chart" uri="{C3380CC4-5D6E-409C-BE32-E72D297353CC}">
              <c16:uniqueId val="{00000009-81B5-46E3-B6E4-D8CF8E88479A}"/>
            </c:ext>
          </c:extLst>
        </c:ser>
        <c:dLbls>
          <c:showLegendKey val="0"/>
          <c:showVal val="0"/>
          <c:showCatName val="0"/>
          <c:showSerName val="0"/>
          <c:showPercent val="0"/>
          <c:showBubbleSize val="0"/>
        </c:dLbls>
        <c:gapWidth val="150"/>
        <c:axId val="704795776"/>
        <c:axId val="704797312"/>
      </c:barChart>
      <c:catAx>
        <c:axId val="704795776"/>
        <c:scaling>
          <c:orientation val="minMax"/>
        </c:scaling>
        <c:delete val="0"/>
        <c:axPos val="b"/>
        <c:numFmt formatCode="General" sourceLinked="1"/>
        <c:majorTickMark val="out"/>
        <c:minorTickMark val="none"/>
        <c:tickLblPos val="nextTo"/>
        <c:crossAx val="704797312"/>
        <c:crosses val="autoZero"/>
        <c:auto val="1"/>
        <c:lblAlgn val="ctr"/>
        <c:lblOffset val="100"/>
        <c:noMultiLvlLbl val="0"/>
      </c:catAx>
      <c:valAx>
        <c:axId val="704797312"/>
        <c:scaling>
          <c:orientation val="minMax"/>
          <c:max val="0.60000000000000064"/>
        </c:scaling>
        <c:delete val="0"/>
        <c:axPos val="l"/>
        <c:numFmt formatCode="#,##0.0\ &quot;€&quot;" sourceLinked="0"/>
        <c:majorTickMark val="out"/>
        <c:minorTickMark val="none"/>
        <c:tickLblPos val="nextTo"/>
        <c:crossAx val="704795776"/>
        <c:crosses val="autoZero"/>
        <c:crossBetween val="between"/>
      </c:valAx>
    </c:plotArea>
    <c:legend>
      <c:legendPos val="r"/>
      <c:layout>
        <c:manualLayout>
          <c:xMode val="edge"/>
          <c:yMode val="edge"/>
          <c:x val="0.88210825390394132"/>
          <c:y val="6.7509379557690818E-2"/>
          <c:w val="0.10513393193488522"/>
          <c:h val="0.87029614920244958"/>
        </c:manualLayout>
      </c:layout>
      <c:overlay val="0"/>
    </c:legend>
    <c:plotVisOnly val="1"/>
    <c:dispBlanksAs val="gap"/>
    <c:showDLblsOverMax val="0"/>
  </c:chart>
  <c:externalData r:id="rId1">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2"/>
    </mc:Choice>
    <mc:Fallback>
      <c:style val="12"/>
    </mc:Fallback>
  </mc:AlternateContent>
  <c:chart>
    <c:autoTitleDeleted val="0"/>
    <c:plotArea>
      <c:layout/>
      <c:barChart>
        <c:barDir val="col"/>
        <c:grouping val="clustered"/>
        <c:varyColors val="0"/>
        <c:ser>
          <c:idx val="0"/>
          <c:order val="0"/>
          <c:tx>
            <c:strRef>
              <c:f>'DaRC_final sadzby (3)'!$C$36</c:f>
              <c:strCache>
                <c:ptCount val="1"/>
                <c:pt idx="0">
                  <c:v>2010</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(3)'!$D$36:$H$36</c:f>
              <c:numCache>
                <c:formatCode>#,##0.00\ "€"</c:formatCode>
                <c:ptCount val="5"/>
                <c:pt idx="0">
                  <c:v>0.19900000000000001</c:v>
                </c:pt>
                <c:pt idx="1">
                  <c:v>0.18300000000000025</c:v>
                </c:pt>
                <c:pt idx="2">
                  <c:v>0.16686000000000001</c:v>
                </c:pt>
              </c:numCache>
            </c:numRef>
          </c:val>
          <c:extLst>
            <c:ext xmlns:c16="http://schemas.microsoft.com/office/drawing/2014/chart" uri="{C3380CC4-5D6E-409C-BE32-E72D297353CC}">
              <c16:uniqueId val="{00000000-FB55-421F-9EDF-6C54DB5933F4}"/>
            </c:ext>
          </c:extLst>
        </c:ser>
        <c:ser>
          <c:idx val="1"/>
          <c:order val="1"/>
          <c:tx>
            <c:strRef>
              <c:f>'DaRC_final sadzby (3)'!$C$37</c:f>
              <c:strCache>
                <c:ptCount val="1"/>
                <c:pt idx="0">
                  <c:v>2011</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(3)'!$D$37:$H$37</c:f>
              <c:numCache>
                <c:formatCode>#,##0.00\ "€"</c:formatCode>
                <c:ptCount val="5"/>
                <c:pt idx="0">
                  <c:v>0.19900000000000001</c:v>
                </c:pt>
                <c:pt idx="1">
                  <c:v>0.18300000000000025</c:v>
                </c:pt>
                <c:pt idx="2">
                  <c:v>0.21063500000000004</c:v>
                </c:pt>
                <c:pt idx="3">
                  <c:v>0.3276000000000005</c:v>
                </c:pt>
                <c:pt idx="4">
                  <c:v>8.9784033001698668E-2</c:v>
                </c:pt>
              </c:numCache>
            </c:numRef>
          </c:val>
          <c:extLst>
            <c:ext xmlns:c16="http://schemas.microsoft.com/office/drawing/2014/chart" uri="{C3380CC4-5D6E-409C-BE32-E72D297353CC}">
              <c16:uniqueId val="{00000001-FB55-421F-9EDF-6C54DB5933F4}"/>
            </c:ext>
          </c:extLst>
        </c:ser>
        <c:ser>
          <c:idx val="2"/>
          <c:order val="2"/>
          <c:tx>
            <c:strRef>
              <c:f>'DaRC_final sadzby (3)'!$C$38</c:f>
              <c:strCache>
                <c:ptCount val="1"/>
                <c:pt idx="0">
                  <c:v>2012</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(3)'!$D$38:$H$38</c:f>
              <c:numCache>
                <c:formatCode>#,##0.00\ "€"</c:formatCode>
                <c:ptCount val="5"/>
                <c:pt idx="0">
                  <c:v>0.19900000000000001</c:v>
                </c:pt>
                <c:pt idx="1">
                  <c:v>0.18300000000000025</c:v>
                </c:pt>
                <c:pt idx="2">
                  <c:v>0.25953200000000004</c:v>
                </c:pt>
                <c:pt idx="3">
                  <c:v>0.37380000000000063</c:v>
                </c:pt>
                <c:pt idx="4">
                  <c:v>8.8410991636798081E-2</c:v>
                </c:pt>
              </c:numCache>
            </c:numRef>
          </c:val>
          <c:extLst>
            <c:ext xmlns:c16="http://schemas.microsoft.com/office/drawing/2014/chart" uri="{C3380CC4-5D6E-409C-BE32-E72D297353CC}">
              <c16:uniqueId val="{00000002-FB55-421F-9EDF-6C54DB5933F4}"/>
            </c:ext>
          </c:extLst>
        </c:ser>
        <c:ser>
          <c:idx val="3"/>
          <c:order val="3"/>
          <c:tx>
            <c:strRef>
              <c:f>'DaRC_final sadzby (3)'!$C$39</c:f>
              <c:strCache>
                <c:ptCount val="1"/>
                <c:pt idx="0">
                  <c:v>2013</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(3)'!$D$39:$H$39</c:f>
              <c:numCache>
                <c:formatCode>#,##0.00\ "€"</c:formatCode>
                <c:ptCount val="5"/>
                <c:pt idx="0">
                  <c:v>0.19900000000000001</c:v>
                </c:pt>
                <c:pt idx="1">
                  <c:v>0.18300000000000025</c:v>
                </c:pt>
                <c:pt idx="2">
                  <c:v>0.24922800000000031</c:v>
                </c:pt>
                <c:pt idx="3">
                  <c:v>0.35700000000000032</c:v>
                </c:pt>
                <c:pt idx="4">
                  <c:v>8.815820824398396E-2</c:v>
                </c:pt>
              </c:numCache>
            </c:numRef>
          </c:val>
          <c:extLst>
            <c:ext xmlns:c16="http://schemas.microsoft.com/office/drawing/2014/chart" uri="{C3380CC4-5D6E-409C-BE32-E72D297353CC}">
              <c16:uniqueId val="{00000003-FB55-421F-9EDF-6C54DB5933F4}"/>
            </c:ext>
          </c:extLst>
        </c:ser>
        <c:ser>
          <c:idx val="4"/>
          <c:order val="4"/>
          <c:tx>
            <c:strRef>
              <c:f>'DaRC_final sadzby (3)'!$C$40</c:f>
              <c:strCache>
                <c:ptCount val="1"/>
                <c:pt idx="0">
                  <c:v>2014</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(3)'!$D$40:$H$40</c:f>
              <c:numCache>
                <c:formatCode>#,##0.00\ "€"</c:formatCode>
                <c:ptCount val="5"/>
                <c:pt idx="0">
                  <c:v>0.22</c:v>
                </c:pt>
                <c:pt idx="1">
                  <c:v>0.18300000000000025</c:v>
                </c:pt>
                <c:pt idx="2">
                  <c:v>0.23377200000000001</c:v>
                </c:pt>
                <c:pt idx="3">
                  <c:v>0.38850000000000057</c:v>
                </c:pt>
                <c:pt idx="4">
                  <c:v>8.8432122370937047E-2</c:v>
                </c:pt>
              </c:numCache>
            </c:numRef>
          </c:val>
          <c:extLst>
            <c:ext xmlns:c16="http://schemas.microsoft.com/office/drawing/2014/chart" uri="{C3380CC4-5D6E-409C-BE32-E72D297353CC}">
              <c16:uniqueId val="{00000004-FB55-421F-9EDF-6C54DB5933F4}"/>
            </c:ext>
          </c:extLst>
        </c:ser>
        <c:ser>
          <c:idx val="5"/>
          <c:order val="5"/>
          <c:tx>
            <c:strRef>
              <c:f>'DaRC_final sadzby (3)'!$C$41</c:f>
              <c:strCache>
                <c:ptCount val="1"/>
                <c:pt idx="0">
                  <c:v>2015</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(3)'!$D$41:$H$41</c:f>
              <c:numCache>
                <c:formatCode>#,##0.00\ "€"</c:formatCode>
                <c:ptCount val="5"/>
                <c:pt idx="0">
                  <c:v>0.22</c:v>
                </c:pt>
                <c:pt idx="1">
                  <c:v>0.16300000000000001</c:v>
                </c:pt>
                <c:pt idx="2">
                  <c:v>0.2530110000000001</c:v>
                </c:pt>
                <c:pt idx="3">
                  <c:v>0.39480000000000087</c:v>
                </c:pt>
                <c:pt idx="4">
                  <c:v>8.8432122370937047E-2</c:v>
                </c:pt>
              </c:numCache>
            </c:numRef>
          </c:val>
          <c:extLst>
            <c:ext xmlns:c16="http://schemas.microsoft.com/office/drawing/2014/chart" uri="{C3380CC4-5D6E-409C-BE32-E72D297353CC}">
              <c16:uniqueId val="{00000005-FB55-421F-9EDF-6C54DB5933F4}"/>
            </c:ext>
          </c:extLst>
        </c:ser>
        <c:ser>
          <c:idx val="6"/>
          <c:order val="6"/>
          <c:tx>
            <c:strRef>
              <c:f>'DaRC_final sadzby (3)'!$C$42</c:f>
              <c:strCache>
                <c:ptCount val="1"/>
                <c:pt idx="0">
                  <c:v>2016</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(3)'!$D$42:$H$42</c:f>
              <c:numCache>
                <c:formatCode>#,##0.00\ "€"</c:formatCode>
                <c:ptCount val="5"/>
                <c:pt idx="0">
                  <c:v>0.21900000000000028</c:v>
                </c:pt>
                <c:pt idx="1">
                  <c:v>0.14900000000000024</c:v>
                </c:pt>
                <c:pt idx="2">
                  <c:v>0.25789000000000006</c:v>
                </c:pt>
                <c:pt idx="3">
                  <c:v>0.38850000000000057</c:v>
                </c:pt>
                <c:pt idx="4">
                  <c:v>8.4804033921613772E-2</c:v>
                </c:pt>
              </c:numCache>
            </c:numRef>
          </c:val>
          <c:extLst>
            <c:ext xmlns:c16="http://schemas.microsoft.com/office/drawing/2014/chart" uri="{C3380CC4-5D6E-409C-BE32-E72D297353CC}">
              <c16:uniqueId val="{00000006-FB55-421F-9EDF-6C54DB5933F4}"/>
            </c:ext>
          </c:extLst>
        </c:ser>
        <c:ser>
          <c:idx val="7"/>
          <c:order val="7"/>
          <c:tx>
            <c:strRef>
              <c:f>'DaRC_final sadzby (3)'!$C$43</c:f>
              <c:strCache>
                <c:ptCount val="1"/>
                <c:pt idx="0">
                  <c:v>2017</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(3)'!$D$43:$H$43</c:f>
              <c:numCache>
                <c:formatCode>#,##0.00\ "€"</c:formatCode>
                <c:ptCount val="5"/>
                <c:pt idx="0">
                  <c:v>0.21800000000000028</c:v>
                </c:pt>
                <c:pt idx="1">
                  <c:v>0.14900000000000024</c:v>
                </c:pt>
                <c:pt idx="2">
                  <c:v>0.2669510000000001</c:v>
                </c:pt>
                <c:pt idx="3">
                  <c:v>0.41665000000000002</c:v>
                </c:pt>
                <c:pt idx="4">
                  <c:v>8.6915668311017227E-2</c:v>
                </c:pt>
              </c:numCache>
            </c:numRef>
          </c:val>
          <c:extLst>
            <c:ext xmlns:c16="http://schemas.microsoft.com/office/drawing/2014/chart" uri="{C3380CC4-5D6E-409C-BE32-E72D297353CC}">
              <c16:uniqueId val="{00000007-FB55-421F-9EDF-6C54DB5933F4}"/>
            </c:ext>
          </c:extLst>
        </c:ser>
        <c:ser>
          <c:idx val="8"/>
          <c:order val="8"/>
          <c:tx>
            <c:strRef>
              <c:f>'DaRC_final sadzby (3)'!$C$44</c:f>
              <c:strCache>
                <c:ptCount val="1"/>
                <c:pt idx="0">
                  <c:v>2018</c:v>
                </c:pt>
              </c:strCache>
            </c:strRef>
          </c:tx>
          <c:invertIfNegative val="0"/>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(3)'!$D$44:$H$44</c:f>
              <c:numCache>
                <c:formatCode>#,##0.00\ "€"</c:formatCode>
                <c:ptCount val="5"/>
                <c:pt idx="0">
                  <c:v>0.222</c:v>
                </c:pt>
                <c:pt idx="1">
                  <c:v>0.14900000000000024</c:v>
                </c:pt>
                <c:pt idx="2">
                  <c:v>0.27392100000000008</c:v>
                </c:pt>
                <c:pt idx="3">
                  <c:v>0.42040000000000038</c:v>
                </c:pt>
                <c:pt idx="4">
                  <c:v>8.683407650786229E-2</c:v>
                </c:pt>
              </c:numCache>
            </c:numRef>
          </c:val>
          <c:extLst>
            <c:ext xmlns:c16="http://schemas.microsoft.com/office/drawing/2014/chart" uri="{C3380CC4-5D6E-409C-BE32-E72D297353CC}">
              <c16:uniqueId val="{00000008-FB55-421F-9EDF-6C54DB5933F4}"/>
            </c:ext>
          </c:extLst>
        </c:ser>
        <c:ser>
          <c:idx val="9"/>
          <c:order val="9"/>
          <c:tx>
            <c:strRef>
              <c:f>'DaRC_final sadzby (3)'!$C$45</c:f>
              <c:strCache>
                <c:ptCount val="1"/>
                <c:pt idx="0">
                  <c:v>priemer</c:v>
                </c:pt>
              </c:strCache>
            </c:strRef>
          </c:tx>
          <c:spPr>
            <a:solidFill>
              <a:schemeClr val="accent4">
                <a:lumMod val="75000"/>
              </a:scheme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'DaRC_final sadzby (3)'!$D$34:$H$35</c:f>
              <c:multiLvlStrCache>
                <c:ptCount val="5"/>
                <c:lvl>
                  <c:pt idx="0">
                    <c:v>SR </c:v>
                  </c:pt>
                  <c:pt idx="1">
                    <c:v>DE</c:v>
                  </c:pt>
                  <c:pt idx="2">
                    <c:v>ČR</c:v>
                  </c:pt>
                  <c:pt idx="3">
                    <c:v>AT</c:v>
                  </c:pt>
                  <c:pt idx="4">
                    <c:v>PL</c:v>
                  </c:pt>
                </c:lvl>
                <c:lvl>
                  <c:pt idx="0">
                    <c:v>NV nad 12 t/ 4 nápravy</c:v>
                  </c:pt>
                </c:lvl>
              </c:multiLvlStrCache>
            </c:multiLvlStrRef>
          </c:cat>
          <c:val>
            <c:numRef>
              <c:f>'DaRC_final sadzby (3)'!$D$45:$H$45</c:f>
              <c:numCache>
                <c:formatCode>#,##0.00\ "€"</c:formatCode>
                <c:ptCount val="5"/>
                <c:pt idx="0">
                  <c:v>0.21055555555555555</c:v>
                </c:pt>
                <c:pt idx="1">
                  <c:v>0.16944444444444501</c:v>
                </c:pt>
                <c:pt idx="2">
                  <c:v>0.24131111111111142</c:v>
                </c:pt>
                <c:pt idx="3">
                  <c:v>0.38340625000000056</c:v>
                </c:pt>
                <c:pt idx="4">
                  <c:v>8.7721407045605895E-2</c:v>
                </c:pt>
              </c:numCache>
            </c:numRef>
          </c:val>
          <c:extLst>
            <c:ext xmlns:c16="http://schemas.microsoft.com/office/drawing/2014/chart" uri="{C3380CC4-5D6E-409C-BE32-E72D297353CC}">
              <c16:uniqueId val="{00000009-FB55-421F-9EDF-6C54DB5933F4}"/>
            </c:ext>
          </c:extLst>
        </c:ser>
        <c:dLbls>
          <c:showLegendKey val="0"/>
          <c:showVal val="0"/>
          <c:showCatName val="0"/>
          <c:showSerName val="0"/>
          <c:showPercent val="0"/>
          <c:showBubbleSize val="0"/>
        </c:dLbls>
        <c:gapWidth val="150"/>
        <c:axId val="704988672"/>
        <c:axId val="704990208"/>
      </c:barChart>
      <c:catAx>
        <c:axId val="704988672"/>
        <c:scaling>
          <c:orientation val="minMax"/>
        </c:scaling>
        <c:delete val="0"/>
        <c:axPos val="b"/>
        <c:numFmt formatCode="General" sourceLinked="1"/>
        <c:majorTickMark val="out"/>
        <c:minorTickMark val="none"/>
        <c:tickLblPos val="nextTo"/>
        <c:crossAx val="704990208"/>
        <c:crosses val="autoZero"/>
        <c:auto val="1"/>
        <c:lblAlgn val="ctr"/>
        <c:lblOffset val="100"/>
        <c:noMultiLvlLbl val="0"/>
      </c:catAx>
      <c:valAx>
        <c:axId val="704990208"/>
        <c:scaling>
          <c:orientation val="minMax"/>
          <c:max val="0.60000000000000064"/>
        </c:scaling>
        <c:delete val="0"/>
        <c:axPos val="l"/>
        <c:numFmt formatCode="#,##0.0\ &quot;€&quot;" sourceLinked="0"/>
        <c:majorTickMark val="out"/>
        <c:minorTickMark val="none"/>
        <c:tickLblPos val="nextTo"/>
        <c:crossAx val="704988672"/>
        <c:crosses val="autoZero"/>
        <c:crossBetween val="between"/>
      </c:valAx>
    </c:plotArea>
    <c:legend>
      <c:legendPos val="r"/>
      <c:layout>
        <c:manualLayout>
          <c:xMode val="edge"/>
          <c:yMode val="edge"/>
          <c:x val="0.88210825390394132"/>
          <c:y val="8.3702486829434097E-2"/>
          <c:w val="0.10300762957468974"/>
          <c:h val="0.85561615589418261"/>
        </c:manualLayout>
      </c:layout>
      <c:overlay val="0"/>
    </c:legend>
    <c:plotVisOnly val="1"/>
    <c:dispBlanksAs val="gap"/>
    <c:showDLblsOverMax val="0"/>
  </c:chart>
  <c:externalData r:id="rId1">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2"/>
    </mc:Choice>
    <mc:Fallback>
      <c:style val="12"/>
    </mc:Fallback>
  </mc:AlternateContent>
  <c:chart>
    <c:autoTitleDeleted val="0"/>
    <c:plotArea>
      <c:layout/>
      <c:barChart>
        <c:barDir val="col"/>
        <c:grouping val="clustered"/>
        <c:varyColors val="0"/>
        <c:ser>
          <c:idx val="0"/>
          <c:order val="0"/>
          <c:tx>
            <c:strRef>
              <c:f>'DaRC_final sadzby (3)'!$I$36</c:f>
              <c:strCache>
                <c:ptCount val="1"/>
                <c:pt idx="0">
                  <c:v>2010</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(3)'!$J$36:$N$36</c:f>
              <c:numCache>
                <c:formatCode>#,##0.00\ "€"</c:formatCode>
                <c:ptCount val="5"/>
                <c:pt idx="0">
                  <c:v>0.193</c:v>
                </c:pt>
                <c:pt idx="1">
                  <c:v>0.193</c:v>
                </c:pt>
                <c:pt idx="2">
                  <c:v>0.16686000000000001</c:v>
                </c:pt>
                <c:pt idx="4">
                  <c:v>0</c:v>
                </c:pt>
              </c:numCache>
            </c:numRef>
          </c:val>
          <c:extLst>
            <c:ext xmlns:c16="http://schemas.microsoft.com/office/drawing/2014/chart" uri="{C3380CC4-5D6E-409C-BE32-E72D297353CC}">
              <c16:uniqueId val="{00000000-9FDF-4BA2-A367-7F9C0E1AD577}"/>
            </c:ext>
          </c:extLst>
        </c:ser>
        <c:ser>
          <c:idx val="1"/>
          <c:order val="1"/>
          <c:tx>
            <c:strRef>
              <c:f>'DaRC_final sadzby (3)'!$I$37</c:f>
              <c:strCache>
                <c:ptCount val="1"/>
                <c:pt idx="0">
                  <c:v>2011</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(3)'!$J$37:$N$37</c:f>
              <c:numCache>
                <c:formatCode>#,##0.00\ "€"</c:formatCode>
                <c:ptCount val="5"/>
                <c:pt idx="0">
                  <c:v>0.193</c:v>
                </c:pt>
                <c:pt idx="1">
                  <c:v>0.193</c:v>
                </c:pt>
                <c:pt idx="2">
                  <c:v>0.21063500000000004</c:v>
                </c:pt>
                <c:pt idx="3">
                  <c:v>0.3276000000000005</c:v>
                </c:pt>
                <c:pt idx="4">
                  <c:v>8.9784033001698668E-2</c:v>
                </c:pt>
              </c:numCache>
            </c:numRef>
          </c:val>
          <c:extLst>
            <c:ext xmlns:c16="http://schemas.microsoft.com/office/drawing/2014/chart" uri="{C3380CC4-5D6E-409C-BE32-E72D297353CC}">
              <c16:uniqueId val="{00000001-9FDF-4BA2-A367-7F9C0E1AD577}"/>
            </c:ext>
          </c:extLst>
        </c:ser>
        <c:ser>
          <c:idx val="2"/>
          <c:order val="2"/>
          <c:tx>
            <c:strRef>
              <c:f>'DaRC_final sadzby (3)'!$I$38</c:f>
              <c:strCache>
                <c:ptCount val="1"/>
                <c:pt idx="0">
                  <c:v>2012</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(3)'!$J$38:$N$38</c:f>
              <c:numCache>
                <c:formatCode>#,##0.00\ "€"</c:formatCode>
                <c:ptCount val="5"/>
                <c:pt idx="0">
                  <c:v>0.193</c:v>
                </c:pt>
                <c:pt idx="1">
                  <c:v>0.193</c:v>
                </c:pt>
                <c:pt idx="2">
                  <c:v>0.25953200000000004</c:v>
                </c:pt>
                <c:pt idx="3">
                  <c:v>0.37380000000000063</c:v>
                </c:pt>
                <c:pt idx="4">
                  <c:v>8.8410991636798081E-2</c:v>
                </c:pt>
              </c:numCache>
            </c:numRef>
          </c:val>
          <c:extLst>
            <c:ext xmlns:c16="http://schemas.microsoft.com/office/drawing/2014/chart" uri="{C3380CC4-5D6E-409C-BE32-E72D297353CC}">
              <c16:uniqueId val="{00000002-9FDF-4BA2-A367-7F9C0E1AD577}"/>
            </c:ext>
          </c:extLst>
        </c:ser>
        <c:ser>
          <c:idx val="3"/>
          <c:order val="3"/>
          <c:tx>
            <c:strRef>
              <c:f>'DaRC_final sadzby (3)'!$I$39</c:f>
              <c:strCache>
                <c:ptCount val="1"/>
                <c:pt idx="0">
                  <c:v>2013</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(3)'!$J$39:$N$39</c:f>
              <c:numCache>
                <c:formatCode>#,##0.00\ "€"</c:formatCode>
                <c:ptCount val="5"/>
                <c:pt idx="0">
                  <c:v>0.193</c:v>
                </c:pt>
                <c:pt idx="1">
                  <c:v>0.193</c:v>
                </c:pt>
                <c:pt idx="2">
                  <c:v>0.24922800000000031</c:v>
                </c:pt>
                <c:pt idx="3">
                  <c:v>0.35700000000000032</c:v>
                </c:pt>
                <c:pt idx="4">
                  <c:v>8.815820824398396E-2</c:v>
                </c:pt>
              </c:numCache>
            </c:numRef>
          </c:val>
          <c:extLst>
            <c:ext xmlns:c16="http://schemas.microsoft.com/office/drawing/2014/chart" uri="{C3380CC4-5D6E-409C-BE32-E72D297353CC}">
              <c16:uniqueId val="{00000003-9FDF-4BA2-A367-7F9C0E1AD577}"/>
            </c:ext>
          </c:extLst>
        </c:ser>
        <c:ser>
          <c:idx val="4"/>
          <c:order val="4"/>
          <c:tx>
            <c:strRef>
              <c:f>'DaRC_final sadzby (3)'!$I$40</c:f>
              <c:strCache>
                <c:ptCount val="1"/>
                <c:pt idx="0">
                  <c:v>2014</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(3)'!$J$40:$N$40</c:f>
              <c:numCache>
                <c:formatCode>#,##0.00\ "€"</c:formatCode>
                <c:ptCount val="5"/>
                <c:pt idx="0">
                  <c:v>0.21200000000000024</c:v>
                </c:pt>
                <c:pt idx="1">
                  <c:v>0.21200000000000024</c:v>
                </c:pt>
                <c:pt idx="2">
                  <c:v>0.23377200000000001</c:v>
                </c:pt>
                <c:pt idx="3">
                  <c:v>0.38850000000000057</c:v>
                </c:pt>
                <c:pt idx="4">
                  <c:v>8.8432122370937047E-2</c:v>
                </c:pt>
              </c:numCache>
            </c:numRef>
          </c:val>
          <c:extLst>
            <c:ext xmlns:c16="http://schemas.microsoft.com/office/drawing/2014/chart" uri="{C3380CC4-5D6E-409C-BE32-E72D297353CC}">
              <c16:uniqueId val="{00000004-9FDF-4BA2-A367-7F9C0E1AD577}"/>
            </c:ext>
          </c:extLst>
        </c:ser>
        <c:ser>
          <c:idx val="5"/>
          <c:order val="5"/>
          <c:tx>
            <c:strRef>
              <c:f>'DaRC_final sadzby (3)'!$I$41</c:f>
              <c:strCache>
                <c:ptCount val="1"/>
                <c:pt idx="0">
                  <c:v>2015</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(3)'!$J$41:$N$41</c:f>
              <c:numCache>
                <c:formatCode>#,##0.00\ "€"</c:formatCode>
                <c:ptCount val="5"/>
                <c:pt idx="0">
                  <c:v>0.21200000000000024</c:v>
                </c:pt>
                <c:pt idx="1">
                  <c:v>0.21200000000000024</c:v>
                </c:pt>
                <c:pt idx="2">
                  <c:v>0.2530110000000001</c:v>
                </c:pt>
                <c:pt idx="3">
                  <c:v>0.39480000000000087</c:v>
                </c:pt>
                <c:pt idx="4">
                  <c:v>8.8432122370937047E-2</c:v>
                </c:pt>
              </c:numCache>
            </c:numRef>
          </c:val>
          <c:extLst>
            <c:ext xmlns:c16="http://schemas.microsoft.com/office/drawing/2014/chart" uri="{C3380CC4-5D6E-409C-BE32-E72D297353CC}">
              <c16:uniqueId val="{00000005-9FDF-4BA2-A367-7F9C0E1AD577}"/>
            </c:ext>
          </c:extLst>
        </c:ser>
        <c:ser>
          <c:idx val="6"/>
          <c:order val="6"/>
          <c:tx>
            <c:strRef>
              <c:f>'DaRC_final sadzby (3)'!$I$42</c:f>
              <c:strCache>
                <c:ptCount val="1"/>
                <c:pt idx="0">
                  <c:v>2016</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(3)'!$J$42:$N$42</c:f>
              <c:numCache>
                <c:formatCode>#,##0.00\ "€"</c:formatCode>
                <c:ptCount val="5"/>
                <c:pt idx="0">
                  <c:v>0.21100000000000024</c:v>
                </c:pt>
                <c:pt idx="1">
                  <c:v>0.16700000000000001</c:v>
                </c:pt>
                <c:pt idx="2">
                  <c:v>0.25789000000000006</c:v>
                </c:pt>
                <c:pt idx="3">
                  <c:v>0.38850000000000057</c:v>
                </c:pt>
                <c:pt idx="4">
                  <c:v>8.4804033921613772E-2</c:v>
                </c:pt>
              </c:numCache>
            </c:numRef>
          </c:val>
          <c:extLst>
            <c:ext xmlns:c16="http://schemas.microsoft.com/office/drawing/2014/chart" uri="{C3380CC4-5D6E-409C-BE32-E72D297353CC}">
              <c16:uniqueId val="{00000006-9FDF-4BA2-A367-7F9C0E1AD577}"/>
            </c:ext>
          </c:extLst>
        </c:ser>
        <c:ser>
          <c:idx val="7"/>
          <c:order val="7"/>
          <c:tx>
            <c:strRef>
              <c:f>'DaRC_final sadzby (3)'!$I$43</c:f>
              <c:strCache>
                <c:ptCount val="1"/>
                <c:pt idx="0">
                  <c:v>2017</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(3)'!$J$43:$N$43</c:f>
              <c:numCache>
                <c:formatCode>#,##0.00\ "€"</c:formatCode>
                <c:ptCount val="5"/>
                <c:pt idx="0">
                  <c:v>0.21000000000000021</c:v>
                </c:pt>
                <c:pt idx="1">
                  <c:v>0.16700000000000001</c:v>
                </c:pt>
                <c:pt idx="2">
                  <c:v>0.2669510000000001</c:v>
                </c:pt>
                <c:pt idx="3">
                  <c:v>0.41665000000000002</c:v>
                </c:pt>
                <c:pt idx="4">
                  <c:v>8.6915668311017227E-2</c:v>
                </c:pt>
              </c:numCache>
            </c:numRef>
          </c:val>
          <c:extLst>
            <c:ext xmlns:c16="http://schemas.microsoft.com/office/drawing/2014/chart" uri="{C3380CC4-5D6E-409C-BE32-E72D297353CC}">
              <c16:uniqueId val="{00000007-9FDF-4BA2-A367-7F9C0E1AD577}"/>
            </c:ext>
          </c:extLst>
        </c:ser>
        <c:ser>
          <c:idx val="8"/>
          <c:order val="8"/>
          <c:tx>
            <c:strRef>
              <c:f>'DaRC_final sadzby (3)'!$I$44</c:f>
              <c:strCache>
                <c:ptCount val="1"/>
                <c:pt idx="0">
                  <c:v>2018</c:v>
                </c:pt>
              </c:strCache>
            </c:strRef>
          </c:tx>
          <c:invertIfNegative val="0"/>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(3)'!$J$44:$N$44</c:f>
              <c:numCache>
                <c:formatCode>#,##0.00\ "€"</c:formatCode>
                <c:ptCount val="5"/>
                <c:pt idx="0">
                  <c:v>0.21400000000000025</c:v>
                </c:pt>
                <c:pt idx="1">
                  <c:v>0.16700000000000001</c:v>
                </c:pt>
                <c:pt idx="2">
                  <c:v>0.27392100000000008</c:v>
                </c:pt>
                <c:pt idx="3">
                  <c:v>0.42040000000000038</c:v>
                </c:pt>
                <c:pt idx="4">
                  <c:v>8.683407650786229E-2</c:v>
                </c:pt>
              </c:numCache>
            </c:numRef>
          </c:val>
          <c:extLst>
            <c:ext xmlns:c16="http://schemas.microsoft.com/office/drawing/2014/chart" uri="{C3380CC4-5D6E-409C-BE32-E72D297353CC}">
              <c16:uniqueId val="{00000008-9FDF-4BA2-A367-7F9C0E1AD577}"/>
            </c:ext>
          </c:extLst>
        </c:ser>
        <c:ser>
          <c:idx val="9"/>
          <c:order val="9"/>
          <c:tx>
            <c:strRef>
              <c:f>'DaRC_final sadzby (3)'!$I$45</c:f>
              <c:strCache>
                <c:ptCount val="1"/>
                <c:pt idx="0">
                  <c:v>priemer</c:v>
                </c:pt>
              </c:strCache>
            </c:strRef>
          </c:tx>
          <c:spPr>
            <a:solidFill>
              <a:srgbClr val="8064A2">
                <a:lumMod val="75000"/>
              </a:srgb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'DaRC_final sadzby (3)'!$J$34:$N$35</c:f>
              <c:multiLvlStrCache>
                <c:ptCount val="5"/>
                <c:lvl>
                  <c:pt idx="0">
                    <c:v>SR</c:v>
                  </c:pt>
                  <c:pt idx="1">
                    <c:v>DE</c:v>
                  </c:pt>
                  <c:pt idx="2">
                    <c:v>ČR</c:v>
                  </c:pt>
                  <c:pt idx="3">
                    <c:v>AT</c:v>
                  </c:pt>
                  <c:pt idx="4">
                    <c:v>PL</c:v>
                  </c:pt>
                </c:lvl>
                <c:lvl>
                  <c:pt idx="0">
                    <c:v>NV nad 12 t/ 5 náprav</c:v>
                  </c:pt>
                </c:lvl>
              </c:multiLvlStrCache>
            </c:multiLvlStrRef>
          </c:cat>
          <c:val>
            <c:numRef>
              <c:f>'DaRC_final sadzby (3)'!$J$45:$N$45</c:f>
              <c:numCache>
                <c:formatCode>#,##0.00\ "€"</c:formatCode>
                <c:ptCount val="5"/>
                <c:pt idx="0">
                  <c:v>0.20344444444444496</c:v>
                </c:pt>
                <c:pt idx="1">
                  <c:v>0.18855555555555556</c:v>
                </c:pt>
                <c:pt idx="2">
                  <c:v>0.24131111111111142</c:v>
                </c:pt>
                <c:pt idx="3">
                  <c:v>0.38340625000000056</c:v>
                </c:pt>
                <c:pt idx="4">
                  <c:v>7.7974584040538752E-2</c:v>
                </c:pt>
              </c:numCache>
            </c:numRef>
          </c:val>
          <c:extLst>
            <c:ext xmlns:c16="http://schemas.microsoft.com/office/drawing/2014/chart" uri="{C3380CC4-5D6E-409C-BE32-E72D297353CC}">
              <c16:uniqueId val="{00000009-9FDF-4BA2-A367-7F9C0E1AD577}"/>
            </c:ext>
          </c:extLst>
        </c:ser>
        <c:dLbls>
          <c:showLegendKey val="0"/>
          <c:showVal val="0"/>
          <c:showCatName val="0"/>
          <c:showSerName val="0"/>
          <c:showPercent val="0"/>
          <c:showBubbleSize val="0"/>
        </c:dLbls>
        <c:gapWidth val="150"/>
        <c:axId val="705034112"/>
        <c:axId val="705035648"/>
      </c:barChart>
      <c:catAx>
        <c:axId val="705034112"/>
        <c:scaling>
          <c:orientation val="minMax"/>
        </c:scaling>
        <c:delete val="0"/>
        <c:axPos val="b"/>
        <c:numFmt formatCode="General" sourceLinked="1"/>
        <c:majorTickMark val="out"/>
        <c:minorTickMark val="none"/>
        <c:tickLblPos val="nextTo"/>
        <c:crossAx val="705035648"/>
        <c:crosses val="autoZero"/>
        <c:auto val="1"/>
        <c:lblAlgn val="ctr"/>
        <c:lblOffset val="100"/>
        <c:noMultiLvlLbl val="0"/>
      </c:catAx>
      <c:valAx>
        <c:axId val="705035648"/>
        <c:scaling>
          <c:orientation val="minMax"/>
          <c:max val="0.60000000000000064"/>
        </c:scaling>
        <c:delete val="0"/>
        <c:axPos val="l"/>
        <c:numFmt formatCode="#,##0.0\ &quot;€&quot;" sourceLinked="0"/>
        <c:majorTickMark val="out"/>
        <c:minorTickMark val="none"/>
        <c:tickLblPos val="nextTo"/>
        <c:crossAx val="705034112"/>
        <c:crosses val="autoZero"/>
        <c:crossBetween val="between"/>
      </c:valAx>
    </c:plotArea>
    <c:legend>
      <c:legendPos val="r"/>
      <c:layout>
        <c:manualLayout>
          <c:xMode val="edge"/>
          <c:yMode val="edge"/>
          <c:x val="0.88573316498316457"/>
          <c:y val="4.5008943945701339E-2"/>
          <c:w val="0.10143855218855219"/>
          <c:h val="0.91705869568851983"/>
        </c:manualLayout>
      </c:layout>
      <c:overlay val="0"/>
      <c:txPr>
        <a:bodyPr/>
        <a:lstStyle/>
        <a:p>
          <a:pPr>
            <a:defRPr sz="1000"/>
          </a:pPr>
          <a:endParaRPr lang="sk-SK"/>
        </a:p>
      </c:txPr>
    </c:legend>
    <c:plotVisOnly val="1"/>
    <c:dispBlanksAs val="gap"/>
    <c:showDLblsOverMax val="0"/>
  </c:chart>
  <c:externalData r:id="rId1">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5"/>
    </mc:Choice>
    <mc:Fallback>
      <c:style val="15"/>
    </mc:Fallback>
  </mc:AlternateContent>
  <c:chart>
    <c:autoTitleDeleted val="1"/>
    <c:plotArea>
      <c:layout/>
      <c:barChart>
        <c:barDir val="col"/>
        <c:grouping val="clustered"/>
        <c:varyColors val="0"/>
        <c:ser>
          <c:idx val="0"/>
          <c:order val="0"/>
          <c:tx>
            <c:strRef>
              <c:f>'final porov I.tr.'!$C$19</c:f>
              <c:strCache>
                <c:ptCount val="1"/>
                <c:pt idx="0">
                  <c:v>2010</c:v>
                </c:pt>
              </c:strCache>
            </c:strRef>
          </c:tx>
          <c:spPr>
            <a:solidFill>
              <a:srgbClr val="4BACC6">
                <a:lumMod val="50000"/>
              </a:srgbClr>
            </a:solidFill>
          </c:spPr>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I.tr.'!$D$19:$G$19</c:f>
              <c:numCache>
                <c:formatCode>#,##0.00\ "€"</c:formatCode>
                <c:ptCount val="4"/>
                <c:pt idx="0">
                  <c:v>6.3E-2</c:v>
                </c:pt>
                <c:pt idx="1">
                  <c:v>0.16900000000000001</c:v>
                </c:pt>
                <c:pt idx="2">
                  <c:v>3.199500000000001E-2</c:v>
                </c:pt>
              </c:numCache>
            </c:numRef>
          </c:val>
          <c:extLst>
            <c:ext xmlns:c16="http://schemas.microsoft.com/office/drawing/2014/chart" uri="{C3380CC4-5D6E-409C-BE32-E72D297353CC}">
              <c16:uniqueId val="{00000000-79C9-4AA9-AB4D-EA7897C3D981}"/>
            </c:ext>
          </c:extLst>
        </c:ser>
        <c:ser>
          <c:idx val="1"/>
          <c:order val="1"/>
          <c:tx>
            <c:strRef>
              <c:f>'final porov I.tr.'!$C$20</c:f>
              <c:strCache>
                <c:ptCount val="1"/>
                <c:pt idx="0">
                  <c:v>2011</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I.tr.'!$D$20:$G$20</c:f>
              <c:numCache>
                <c:formatCode>#,##0.00\ "€"</c:formatCode>
                <c:ptCount val="4"/>
                <c:pt idx="0">
                  <c:v>6.3E-2</c:v>
                </c:pt>
                <c:pt idx="1">
                  <c:v>0.16900000000000001</c:v>
                </c:pt>
                <c:pt idx="2">
                  <c:v>4.0491000000000013E-2</c:v>
                </c:pt>
                <c:pt idx="3">
                  <c:v>5.3385100703712676E-2</c:v>
                </c:pt>
              </c:numCache>
            </c:numRef>
          </c:val>
          <c:extLst>
            <c:ext xmlns:c16="http://schemas.microsoft.com/office/drawing/2014/chart" uri="{C3380CC4-5D6E-409C-BE32-E72D297353CC}">
              <c16:uniqueId val="{00000001-79C9-4AA9-AB4D-EA7897C3D981}"/>
            </c:ext>
          </c:extLst>
        </c:ser>
        <c:ser>
          <c:idx val="2"/>
          <c:order val="2"/>
          <c:tx>
            <c:strRef>
              <c:f>'final porov I.tr.'!$C$21</c:f>
              <c:strCache>
                <c:ptCount val="1"/>
                <c:pt idx="0">
                  <c:v>2012</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I.tr.'!$D$21:$G$21</c:f>
              <c:numCache>
                <c:formatCode>#,##0.00\ "€"</c:formatCode>
                <c:ptCount val="4"/>
                <c:pt idx="0">
                  <c:v>6.3E-2</c:v>
                </c:pt>
                <c:pt idx="1">
                  <c:v>0.16900000000000001</c:v>
                </c:pt>
                <c:pt idx="2">
                  <c:v>4.9569000000000023E-2</c:v>
                </c:pt>
                <c:pt idx="3">
                  <c:v>5.2568697729988186E-2</c:v>
                </c:pt>
              </c:numCache>
            </c:numRef>
          </c:val>
          <c:extLst>
            <c:ext xmlns:c16="http://schemas.microsoft.com/office/drawing/2014/chart" uri="{C3380CC4-5D6E-409C-BE32-E72D297353CC}">
              <c16:uniqueId val="{00000002-79C9-4AA9-AB4D-EA7897C3D981}"/>
            </c:ext>
          </c:extLst>
        </c:ser>
        <c:ser>
          <c:idx val="3"/>
          <c:order val="3"/>
          <c:tx>
            <c:strRef>
              <c:f>'final porov I.tr.'!$C$22</c:f>
              <c:strCache>
                <c:ptCount val="1"/>
                <c:pt idx="0">
                  <c:v>2013</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I.tr.'!$D$22:$G$22</c:f>
              <c:numCache>
                <c:formatCode>#,##0.00\ "€"</c:formatCode>
                <c:ptCount val="4"/>
                <c:pt idx="0">
                  <c:v>6.3E-2</c:v>
                </c:pt>
                <c:pt idx="1">
                  <c:v>0.16900000000000001</c:v>
                </c:pt>
                <c:pt idx="2">
                  <c:v>4.7600999999999997E-2</c:v>
                </c:pt>
                <c:pt idx="3">
                  <c:v>5.2418394091017499E-2</c:v>
                </c:pt>
              </c:numCache>
            </c:numRef>
          </c:val>
          <c:extLst>
            <c:ext xmlns:c16="http://schemas.microsoft.com/office/drawing/2014/chart" uri="{C3380CC4-5D6E-409C-BE32-E72D297353CC}">
              <c16:uniqueId val="{00000003-79C9-4AA9-AB4D-EA7897C3D981}"/>
            </c:ext>
          </c:extLst>
        </c:ser>
        <c:ser>
          <c:idx val="4"/>
          <c:order val="4"/>
          <c:tx>
            <c:strRef>
              <c:f>'final porov I.tr.'!$C$23</c:f>
              <c:strCache>
                <c:ptCount val="1"/>
                <c:pt idx="0">
                  <c:v>2014</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I.tr.'!$D$23:$G$23</c:f>
              <c:numCache>
                <c:formatCode>#,##0.00\ "€"</c:formatCode>
                <c:ptCount val="4"/>
                <c:pt idx="0">
                  <c:v>7.1999999999999995E-2</c:v>
                </c:pt>
                <c:pt idx="1">
                  <c:v>0.16900000000000001</c:v>
                </c:pt>
                <c:pt idx="2">
                  <c:v>4.4648999999999987E-2</c:v>
                </c:pt>
                <c:pt idx="3">
                  <c:v>5.2581261950286957E-2</c:v>
                </c:pt>
              </c:numCache>
            </c:numRef>
          </c:val>
          <c:extLst>
            <c:ext xmlns:c16="http://schemas.microsoft.com/office/drawing/2014/chart" uri="{C3380CC4-5D6E-409C-BE32-E72D297353CC}">
              <c16:uniqueId val="{00000004-79C9-4AA9-AB4D-EA7897C3D981}"/>
            </c:ext>
          </c:extLst>
        </c:ser>
        <c:ser>
          <c:idx val="5"/>
          <c:order val="5"/>
          <c:tx>
            <c:strRef>
              <c:f>'final porov I.tr.'!$C$24</c:f>
              <c:strCache>
                <c:ptCount val="1"/>
                <c:pt idx="0">
                  <c:v>2015</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I.tr.'!$D$24:$G$24</c:f>
              <c:numCache>
                <c:formatCode>#,##0.00\ "€"</c:formatCode>
                <c:ptCount val="4"/>
                <c:pt idx="0">
                  <c:v>7.1999999999999995E-2</c:v>
                </c:pt>
                <c:pt idx="1">
                  <c:v>0.15700000000000028</c:v>
                </c:pt>
                <c:pt idx="2">
                  <c:v>4.8278999999999996E-2</c:v>
                </c:pt>
                <c:pt idx="3">
                  <c:v>5.2581261950286957E-2</c:v>
                </c:pt>
              </c:numCache>
            </c:numRef>
          </c:val>
          <c:extLst>
            <c:ext xmlns:c16="http://schemas.microsoft.com/office/drawing/2014/chart" uri="{C3380CC4-5D6E-409C-BE32-E72D297353CC}">
              <c16:uniqueId val="{00000005-79C9-4AA9-AB4D-EA7897C3D981}"/>
            </c:ext>
          </c:extLst>
        </c:ser>
        <c:ser>
          <c:idx val="6"/>
          <c:order val="6"/>
          <c:tx>
            <c:strRef>
              <c:f>'final porov I.tr.'!$C$25</c:f>
              <c:strCache>
                <c:ptCount val="1"/>
                <c:pt idx="0">
                  <c:v>2016</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I.tr.'!$D$25:$G$25</c:f>
              <c:numCache>
                <c:formatCode>#,##0.00\ "€"</c:formatCode>
                <c:ptCount val="4"/>
                <c:pt idx="0">
                  <c:v>7.1999999999999995E-2</c:v>
                </c:pt>
                <c:pt idx="1">
                  <c:v>0.113</c:v>
                </c:pt>
                <c:pt idx="2">
                  <c:v>4.9209999999999997E-2</c:v>
                </c:pt>
                <c:pt idx="3">
                  <c:v>5.0424020169608064E-2</c:v>
                </c:pt>
              </c:numCache>
            </c:numRef>
          </c:val>
          <c:extLst>
            <c:ext xmlns:c16="http://schemas.microsoft.com/office/drawing/2014/chart" uri="{C3380CC4-5D6E-409C-BE32-E72D297353CC}">
              <c16:uniqueId val="{00000006-79C9-4AA9-AB4D-EA7897C3D981}"/>
            </c:ext>
          </c:extLst>
        </c:ser>
        <c:ser>
          <c:idx val="7"/>
          <c:order val="7"/>
          <c:tx>
            <c:strRef>
              <c:f>'final porov I.tr.'!$C$26</c:f>
              <c:strCache>
                <c:ptCount val="1"/>
                <c:pt idx="0">
                  <c:v>2017</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I.tr.'!$D$26:$G$26</c:f>
              <c:numCache>
                <c:formatCode>#,##0.00\ "€"</c:formatCode>
                <c:ptCount val="4"/>
                <c:pt idx="0">
                  <c:v>7.1999999999999995E-2</c:v>
                </c:pt>
                <c:pt idx="1">
                  <c:v>0.113</c:v>
                </c:pt>
                <c:pt idx="2">
                  <c:v>5.0939000000000012E-2</c:v>
                </c:pt>
                <c:pt idx="3">
                  <c:v>5.1679586563307359E-2</c:v>
                </c:pt>
              </c:numCache>
            </c:numRef>
          </c:val>
          <c:extLst>
            <c:ext xmlns:c16="http://schemas.microsoft.com/office/drawing/2014/chart" uri="{C3380CC4-5D6E-409C-BE32-E72D297353CC}">
              <c16:uniqueId val="{00000007-79C9-4AA9-AB4D-EA7897C3D981}"/>
            </c:ext>
          </c:extLst>
        </c:ser>
        <c:ser>
          <c:idx val="8"/>
          <c:order val="8"/>
          <c:tx>
            <c:strRef>
              <c:f>'final porov I.tr.'!$C$27</c:f>
              <c:strCache>
                <c:ptCount val="1"/>
                <c:pt idx="0">
                  <c:v>2018</c:v>
                </c:pt>
              </c:strCache>
            </c:strRef>
          </c:tx>
          <c:invertIfNegative val="0"/>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I.tr.'!$D$27:$G$27</c:f>
              <c:numCache>
                <c:formatCode>#,##0.00\ "€"</c:formatCode>
                <c:ptCount val="4"/>
                <c:pt idx="0">
                  <c:v>7.3999999999999996E-2</c:v>
                </c:pt>
                <c:pt idx="1">
                  <c:v>0.113</c:v>
                </c:pt>
                <c:pt idx="2">
                  <c:v>5.2269000000000003E-2</c:v>
                </c:pt>
                <c:pt idx="3">
                  <c:v>5.1631072518188215E-2</c:v>
                </c:pt>
              </c:numCache>
            </c:numRef>
          </c:val>
          <c:extLst>
            <c:ext xmlns:c16="http://schemas.microsoft.com/office/drawing/2014/chart" uri="{C3380CC4-5D6E-409C-BE32-E72D297353CC}">
              <c16:uniqueId val="{00000008-79C9-4AA9-AB4D-EA7897C3D981}"/>
            </c:ext>
          </c:extLst>
        </c:ser>
        <c:ser>
          <c:idx val="9"/>
          <c:order val="9"/>
          <c:tx>
            <c:strRef>
              <c:f>'final porov I.tr.'!$C$28</c:f>
              <c:strCache>
                <c:ptCount val="1"/>
                <c:pt idx="0">
                  <c:v>priemer</c:v>
                </c:pt>
              </c:strCache>
            </c:strRef>
          </c:tx>
          <c:spPr>
            <a:solidFill>
              <a:schemeClr val="accent4">
                <a:lumMod val="75000"/>
              </a:scheme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'final porov I.tr.'!$D$17:$G$18</c:f>
              <c:multiLvlStrCache>
                <c:ptCount val="4"/>
                <c:lvl>
                  <c:pt idx="0">
                    <c:v>SR </c:v>
                  </c:pt>
                  <c:pt idx="1">
                    <c:v>DE</c:v>
                  </c:pt>
                  <c:pt idx="2">
                    <c:v>ČR</c:v>
                  </c:pt>
                  <c:pt idx="3">
                    <c:v>PL</c:v>
                  </c:pt>
                </c:lvl>
                <c:lvl>
                  <c:pt idx="0">
                    <c:v>NV 3,5 - 12t/ 2 nápravy</c:v>
                  </c:pt>
                </c:lvl>
              </c:multiLvlStrCache>
            </c:multiLvlStrRef>
          </c:cat>
          <c:val>
            <c:numRef>
              <c:f>'final porov I.tr.'!$D$28:$G$28</c:f>
              <c:numCache>
                <c:formatCode>#,##0.00\ "€"</c:formatCode>
                <c:ptCount val="4"/>
                <c:pt idx="0">
                  <c:v>6.8222222222222323E-2</c:v>
                </c:pt>
                <c:pt idx="1">
                  <c:v>0.14900000000000024</c:v>
                </c:pt>
                <c:pt idx="2">
                  <c:v>4.6111333333333414E-2</c:v>
                </c:pt>
                <c:pt idx="3">
                  <c:v>5.2158674459549567E-2</c:v>
                </c:pt>
              </c:numCache>
            </c:numRef>
          </c:val>
          <c:extLst>
            <c:ext xmlns:c16="http://schemas.microsoft.com/office/drawing/2014/chart" uri="{C3380CC4-5D6E-409C-BE32-E72D297353CC}">
              <c16:uniqueId val="{00000009-79C9-4AA9-AB4D-EA7897C3D981}"/>
            </c:ext>
          </c:extLst>
        </c:ser>
        <c:dLbls>
          <c:showLegendKey val="0"/>
          <c:showVal val="0"/>
          <c:showCatName val="0"/>
          <c:showSerName val="0"/>
          <c:showPercent val="0"/>
          <c:showBubbleSize val="0"/>
        </c:dLbls>
        <c:gapWidth val="150"/>
        <c:axId val="705091840"/>
        <c:axId val="705122304"/>
      </c:barChart>
      <c:catAx>
        <c:axId val="705091840"/>
        <c:scaling>
          <c:orientation val="minMax"/>
        </c:scaling>
        <c:delete val="0"/>
        <c:axPos val="b"/>
        <c:numFmt formatCode="General" sourceLinked="0"/>
        <c:majorTickMark val="out"/>
        <c:minorTickMark val="none"/>
        <c:tickLblPos val="nextTo"/>
        <c:crossAx val="705122304"/>
        <c:crosses val="autoZero"/>
        <c:auto val="1"/>
        <c:lblAlgn val="ctr"/>
        <c:lblOffset val="100"/>
        <c:noMultiLvlLbl val="0"/>
      </c:catAx>
      <c:valAx>
        <c:axId val="705122304"/>
        <c:scaling>
          <c:orientation val="minMax"/>
          <c:max val="0.4"/>
        </c:scaling>
        <c:delete val="0"/>
        <c:axPos val="l"/>
        <c:numFmt formatCode="#,##0.0\ &quot;€&quot;" sourceLinked="0"/>
        <c:majorTickMark val="out"/>
        <c:minorTickMark val="none"/>
        <c:tickLblPos val="nextTo"/>
        <c:crossAx val="705091840"/>
        <c:crosses val="autoZero"/>
        <c:crossBetween val="between"/>
      </c:valAx>
    </c:plotArea>
    <c:legend>
      <c:legendPos val="r"/>
      <c:layout>
        <c:manualLayout>
          <c:xMode val="edge"/>
          <c:yMode val="edge"/>
          <c:x val="0.87313326749873565"/>
          <c:y val="0.20986984510498491"/>
          <c:w val="0.10398497515347443"/>
          <c:h val="0.73325118777494047"/>
        </c:manualLayout>
      </c:layout>
      <c:overlay val="0"/>
    </c:legend>
    <c:plotVisOnly val="1"/>
    <c:dispBlanksAs val="gap"/>
    <c:showDLblsOverMax val="0"/>
  </c:chart>
  <c:externalData r:id="rId1">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5"/>
    </mc:Choice>
    <mc:Fallback>
      <c:style val="15"/>
    </mc:Fallback>
  </mc:AlternateContent>
  <c:chart>
    <c:autoTitleDeleted val="1"/>
    <c:plotArea>
      <c:layout/>
      <c:barChart>
        <c:barDir val="col"/>
        <c:grouping val="clustered"/>
        <c:varyColors val="0"/>
        <c:ser>
          <c:idx val="0"/>
          <c:order val="0"/>
          <c:tx>
            <c:strRef>
              <c:f>'final porov I.tr.'!$I$19</c:f>
              <c:strCache>
                <c:ptCount val="1"/>
                <c:pt idx="0">
                  <c:v>2010</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I.tr.'!$J$19:$M$19</c:f>
              <c:numCache>
                <c:formatCode>#,##0.00\ "€"</c:formatCode>
                <c:ptCount val="4"/>
                <c:pt idx="0">
                  <c:v>0.14600000000000021</c:v>
                </c:pt>
                <c:pt idx="1">
                  <c:v>0.16900000000000001</c:v>
                </c:pt>
                <c:pt idx="2">
                  <c:v>5.5485000000000013E-2</c:v>
                </c:pt>
              </c:numCache>
            </c:numRef>
          </c:val>
          <c:extLst>
            <c:ext xmlns:c16="http://schemas.microsoft.com/office/drawing/2014/chart" uri="{C3380CC4-5D6E-409C-BE32-E72D297353CC}">
              <c16:uniqueId val="{00000000-D447-4217-A9BE-BCF97BA59569}"/>
            </c:ext>
          </c:extLst>
        </c:ser>
        <c:ser>
          <c:idx val="1"/>
          <c:order val="1"/>
          <c:tx>
            <c:strRef>
              <c:f>'final porov I.tr.'!$I$20</c:f>
              <c:strCache>
                <c:ptCount val="1"/>
                <c:pt idx="0">
                  <c:v>2011</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I.tr.'!$J$20:$M$20</c:f>
              <c:numCache>
                <c:formatCode>#,##0.00\ "€"</c:formatCode>
                <c:ptCount val="4"/>
                <c:pt idx="0">
                  <c:v>0.14600000000000021</c:v>
                </c:pt>
                <c:pt idx="1">
                  <c:v>0.16900000000000001</c:v>
                </c:pt>
                <c:pt idx="2">
                  <c:v>6.9939000000000001E-2</c:v>
                </c:pt>
                <c:pt idx="3">
                  <c:v>7.0371269109439444E-2</c:v>
                </c:pt>
              </c:numCache>
            </c:numRef>
          </c:val>
          <c:extLst>
            <c:ext xmlns:c16="http://schemas.microsoft.com/office/drawing/2014/chart" uri="{C3380CC4-5D6E-409C-BE32-E72D297353CC}">
              <c16:uniqueId val="{00000001-D447-4217-A9BE-BCF97BA59569}"/>
            </c:ext>
          </c:extLst>
        </c:ser>
        <c:ser>
          <c:idx val="2"/>
          <c:order val="2"/>
          <c:tx>
            <c:strRef>
              <c:f>'final porov I.tr.'!$I$21</c:f>
              <c:strCache>
                <c:ptCount val="1"/>
                <c:pt idx="0">
                  <c:v>2012</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I.tr.'!$J$21:$M$21</c:f>
              <c:numCache>
                <c:formatCode>#,##0.00\ "€"</c:formatCode>
                <c:ptCount val="4"/>
                <c:pt idx="0">
                  <c:v>0.14600000000000021</c:v>
                </c:pt>
                <c:pt idx="1">
                  <c:v>0.16900000000000001</c:v>
                </c:pt>
                <c:pt idx="2">
                  <c:v>8.6242000000000013E-2</c:v>
                </c:pt>
                <c:pt idx="3">
                  <c:v>6.9295101553166094E-2</c:v>
                </c:pt>
              </c:numCache>
            </c:numRef>
          </c:val>
          <c:extLst>
            <c:ext xmlns:c16="http://schemas.microsoft.com/office/drawing/2014/chart" uri="{C3380CC4-5D6E-409C-BE32-E72D297353CC}">
              <c16:uniqueId val="{00000002-D447-4217-A9BE-BCF97BA59569}"/>
            </c:ext>
          </c:extLst>
        </c:ser>
        <c:ser>
          <c:idx val="3"/>
          <c:order val="3"/>
          <c:tx>
            <c:strRef>
              <c:f>'final porov I.tr.'!$I$22</c:f>
              <c:strCache>
                <c:ptCount val="1"/>
                <c:pt idx="0">
                  <c:v>2013</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I.tr.'!$J$22:$M$22</c:f>
              <c:numCache>
                <c:formatCode>#,##0.00\ "€"</c:formatCode>
                <c:ptCount val="4"/>
                <c:pt idx="0">
                  <c:v>0.14600000000000021</c:v>
                </c:pt>
                <c:pt idx="1">
                  <c:v>0.16900000000000001</c:v>
                </c:pt>
                <c:pt idx="2">
                  <c:v>8.2818000000000003E-2</c:v>
                </c:pt>
                <c:pt idx="3">
                  <c:v>6.9096974029068586E-2</c:v>
                </c:pt>
              </c:numCache>
            </c:numRef>
          </c:val>
          <c:extLst>
            <c:ext xmlns:c16="http://schemas.microsoft.com/office/drawing/2014/chart" uri="{C3380CC4-5D6E-409C-BE32-E72D297353CC}">
              <c16:uniqueId val="{00000003-D447-4217-A9BE-BCF97BA59569}"/>
            </c:ext>
          </c:extLst>
        </c:ser>
        <c:ser>
          <c:idx val="4"/>
          <c:order val="4"/>
          <c:tx>
            <c:strRef>
              <c:f>'final porov I.tr.'!$I$23</c:f>
              <c:strCache>
                <c:ptCount val="1"/>
                <c:pt idx="0">
                  <c:v>2014</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I.tr.'!$J$23:$M$23</c:f>
              <c:numCache>
                <c:formatCode>#,##0.00\ "€"</c:formatCode>
                <c:ptCount val="4"/>
                <c:pt idx="0">
                  <c:v>0.16400000000000001</c:v>
                </c:pt>
                <c:pt idx="1">
                  <c:v>0.16900000000000001</c:v>
                </c:pt>
                <c:pt idx="2">
                  <c:v>7.7682000000000084E-2</c:v>
                </c:pt>
                <c:pt idx="3">
                  <c:v>6.9311663479923652E-2</c:v>
                </c:pt>
              </c:numCache>
            </c:numRef>
          </c:val>
          <c:extLst>
            <c:ext xmlns:c16="http://schemas.microsoft.com/office/drawing/2014/chart" uri="{C3380CC4-5D6E-409C-BE32-E72D297353CC}">
              <c16:uniqueId val="{00000004-D447-4217-A9BE-BCF97BA59569}"/>
            </c:ext>
          </c:extLst>
        </c:ser>
        <c:ser>
          <c:idx val="5"/>
          <c:order val="5"/>
          <c:tx>
            <c:strRef>
              <c:f>'final porov I.tr.'!$I$24</c:f>
              <c:strCache>
                <c:ptCount val="1"/>
                <c:pt idx="0">
                  <c:v>2015</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I.tr.'!$J$24:$M$24</c:f>
              <c:numCache>
                <c:formatCode>#,##0.00\ "€"</c:formatCode>
                <c:ptCount val="4"/>
                <c:pt idx="0">
                  <c:v>0.16400000000000001</c:v>
                </c:pt>
                <c:pt idx="1">
                  <c:v>0.15700000000000028</c:v>
                </c:pt>
                <c:pt idx="2">
                  <c:v>8.3853000000000066E-2</c:v>
                </c:pt>
                <c:pt idx="3">
                  <c:v>6.9311663479923652E-2</c:v>
                </c:pt>
              </c:numCache>
            </c:numRef>
          </c:val>
          <c:extLst>
            <c:ext xmlns:c16="http://schemas.microsoft.com/office/drawing/2014/chart" uri="{C3380CC4-5D6E-409C-BE32-E72D297353CC}">
              <c16:uniqueId val="{00000005-D447-4217-A9BE-BCF97BA59569}"/>
            </c:ext>
          </c:extLst>
        </c:ser>
        <c:ser>
          <c:idx val="6"/>
          <c:order val="6"/>
          <c:tx>
            <c:strRef>
              <c:f>'final porov I.tr.'!$I$25</c:f>
              <c:strCache>
                <c:ptCount val="1"/>
                <c:pt idx="0">
                  <c:v>2016</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I.tr.'!$J$25:$M$25</c:f>
              <c:numCache>
                <c:formatCode>#,##0.00\ "€"</c:formatCode>
                <c:ptCount val="4"/>
                <c:pt idx="0">
                  <c:v>0.16400000000000001</c:v>
                </c:pt>
                <c:pt idx="1">
                  <c:v>0.14500000000000021</c:v>
                </c:pt>
                <c:pt idx="2">
                  <c:v>8.5470000000000004E-2</c:v>
                </c:pt>
                <c:pt idx="3">
                  <c:v>6.6468026587210682E-2</c:v>
                </c:pt>
              </c:numCache>
            </c:numRef>
          </c:val>
          <c:extLst>
            <c:ext xmlns:c16="http://schemas.microsoft.com/office/drawing/2014/chart" uri="{C3380CC4-5D6E-409C-BE32-E72D297353CC}">
              <c16:uniqueId val="{00000006-D447-4217-A9BE-BCF97BA59569}"/>
            </c:ext>
          </c:extLst>
        </c:ser>
        <c:ser>
          <c:idx val="7"/>
          <c:order val="7"/>
          <c:tx>
            <c:strRef>
              <c:f>'final porov I.tr.'!$I$26</c:f>
              <c:strCache>
                <c:ptCount val="1"/>
                <c:pt idx="0">
                  <c:v>2017</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I.tr.'!$J$26:$M$26</c:f>
              <c:numCache>
                <c:formatCode>#,##0.00\ "€"</c:formatCode>
                <c:ptCount val="4"/>
                <c:pt idx="0">
                  <c:v>0.16400000000000001</c:v>
                </c:pt>
                <c:pt idx="1">
                  <c:v>0.14500000000000021</c:v>
                </c:pt>
                <c:pt idx="2">
                  <c:v>8.847300000000001E-2</c:v>
                </c:pt>
                <c:pt idx="3">
                  <c:v>6.8123091378905334E-2</c:v>
                </c:pt>
              </c:numCache>
            </c:numRef>
          </c:val>
          <c:extLst>
            <c:ext xmlns:c16="http://schemas.microsoft.com/office/drawing/2014/chart" uri="{C3380CC4-5D6E-409C-BE32-E72D297353CC}">
              <c16:uniqueId val="{00000007-D447-4217-A9BE-BCF97BA59569}"/>
            </c:ext>
          </c:extLst>
        </c:ser>
        <c:ser>
          <c:idx val="8"/>
          <c:order val="8"/>
          <c:tx>
            <c:strRef>
              <c:f>'final porov I.tr.'!$I$27</c:f>
              <c:strCache>
                <c:ptCount val="1"/>
                <c:pt idx="0">
                  <c:v>2018</c:v>
                </c:pt>
              </c:strCache>
            </c:strRef>
          </c:tx>
          <c:invertIfNegative val="0"/>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I.tr.'!$J$27:$M$27</c:f>
              <c:numCache>
                <c:formatCode>#,##0.00\ "€"</c:formatCode>
                <c:ptCount val="4"/>
                <c:pt idx="0">
                  <c:v>0.16700000000000001</c:v>
                </c:pt>
                <c:pt idx="1">
                  <c:v>0.14500000000000021</c:v>
                </c:pt>
                <c:pt idx="2">
                  <c:v>9.0783000000000003E-2</c:v>
                </c:pt>
                <c:pt idx="3">
                  <c:v>6.8059141046702659E-2</c:v>
                </c:pt>
              </c:numCache>
            </c:numRef>
          </c:val>
          <c:extLst>
            <c:ext xmlns:c16="http://schemas.microsoft.com/office/drawing/2014/chart" uri="{C3380CC4-5D6E-409C-BE32-E72D297353CC}">
              <c16:uniqueId val="{00000008-D447-4217-A9BE-BCF97BA59569}"/>
            </c:ext>
          </c:extLst>
        </c:ser>
        <c:ser>
          <c:idx val="9"/>
          <c:order val="9"/>
          <c:tx>
            <c:strRef>
              <c:f>'final porov I.tr.'!$I$28</c:f>
              <c:strCache>
                <c:ptCount val="1"/>
                <c:pt idx="0">
                  <c:v>priemer</c:v>
                </c:pt>
              </c:strCache>
            </c:strRef>
          </c:tx>
          <c:spPr>
            <a:solidFill>
              <a:schemeClr val="accent4">
                <a:lumMod val="75000"/>
              </a:scheme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'final porov I.tr.'!$J$17:$M$18</c:f>
              <c:multiLvlStrCache>
                <c:ptCount val="4"/>
                <c:lvl>
                  <c:pt idx="0">
                    <c:v>SR </c:v>
                  </c:pt>
                  <c:pt idx="1">
                    <c:v>DE</c:v>
                  </c:pt>
                  <c:pt idx="2">
                    <c:v>ČR</c:v>
                  </c:pt>
                  <c:pt idx="3">
                    <c:v>PL</c:v>
                  </c:pt>
                </c:lvl>
                <c:lvl>
                  <c:pt idx="0">
                    <c:v>NV nad 12 t/ 3 nápravy</c:v>
                  </c:pt>
                </c:lvl>
              </c:multiLvlStrCache>
            </c:multiLvlStrRef>
          </c:cat>
          <c:val>
            <c:numRef>
              <c:f>'final porov I.tr.'!$J$28:$M$28</c:f>
              <c:numCache>
                <c:formatCode>#,##0.00\ "€"</c:formatCode>
                <c:ptCount val="4"/>
                <c:pt idx="0">
                  <c:v>0.15633333333333374</c:v>
                </c:pt>
                <c:pt idx="1">
                  <c:v>0.15966666666666671</c:v>
                </c:pt>
                <c:pt idx="2">
                  <c:v>8.0082777777777739E-2</c:v>
                </c:pt>
                <c:pt idx="3">
                  <c:v>6.8754616333042584E-2</c:v>
                </c:pt>
              </c:numCache>
            </c:numRef>
          </c:val>
          <c:extLst>
            <c:ext xmlns:c16="http://schemas.microsoft.com/office/drawing/2014/chart" uri="{C3380CC4-5D6E-409C-BE32-E72D297353CC}">
              <c16:uniqueId val="{00000009-D447-4217-A9BE-BCF97BA59569}"/>
            </c:ext>
          </c:extLst>
        </c:ser>
        <c:dLbls>
          <c:showLegendKey val="0"/>
          <c:showVal val="0"/>
          <c:showCatName val="0"/>
          <c:showSerName val="0"/>
          <c:showPercent val="0"/>
          <c:showBubbleSize val="0"/>
        </c:dLbls>
        <c:gapWidth val="150"/>
        <c:axId val="705170048"/>
        <c:axId val="705192320"/>
      </c:barChart>
      <c:catAx>
        <c:axId val="705170048"/>
        <c:scaling>
          <c:orientation val="minMax"/>
        </c:scaling>
        <c:delete val="0"/>
        <c:axPos val="b"/>
        <c:numFmt formatCode="General" sourceLinked="0"/>
        <c:majorTickMark val="out"/>
        <c:minorTickMark val="none"/>
        <c:tickLblPos val="nextTo"/>
        <c:crossAx val="705192320"/>
        <c:crosses val="autoZero"/>
        <c:auto val="1"/>
        <c:lblAlgn val="ctr"/>
        <c:lblOffset val="100"/>
        <c:noMultiLvlLbl val="0"/>
      </c:catAx>
      <c:valAx>
        <c:axId val="705192320"/>
        <c:scaling>
          <c:orientation val="minMax"/>
          <c:max val="0.4"/>
        </c:scaling>
        <c:delete val="0"/>
        <c:axPos val="l"/>
        <c:numFmt formatCode="#,##0.0\ &quot;€&quot;" sourceLinked="0"/>
        <c:majorTickMark val="out"/>
        <c:minorTickMark val="none"/>
        <c:tickLblPos val="nextTo"/>
        <c:crossAx val="705170048"/>
        <c:crosses val="autoZero"/>
        <c:crossBetween val="between"/>
      </c:valAx>
    </c:plotArea>
    <c:legend>
      <c:legendPos val="r"/>
      <c:layout>
        <c:manualLayout>
          <c:xMode val="edge"/>
          <c:yMode val="edge"/>
          <c:x val="0.88139471307894701"/>
          <c:y val="7.4716666666667098E-2"/>
          <c:w val="0.10363108415417736"/>
          <c:h val="0.84468703703703762"/>
        </c:manualLayout>
      </c:layout>
      <c:overlay val="0"/>
    </c:legend>
    <c:plotVisOnly val="1"/>
    <c:dispBlanksAs val="gap"/>
    <c:showDLblsOverMax val="0"/>
  </c:chart>
  <c:externalData r:id="rId1">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5"/>
    </mc:Choice>
    <mc:Fallback>
      <c:style val="15"/>
    </mc:Fallback>
  </mc:AlternateContent>
  <c:chart>
    <c:autoTitleDeleted val="0"/>
    <c:plotArea>
      <c:layout/>
      <c:barChart>
        <c:barDir val="col"/>
        <c:grouping val="clustered"/>
        <c:varyColors val="0"/>
        <c:ser>
          <c:idx val="0"/>
          <c:order val="0"/>
          <c:tx>
            <c:strRef>
              <c:f>'final porov I.tr.'!$C$33</c:f>
              <c:strCache>
                <c:ptCount val="1"/>
                <c:pt idx="0">
                  <c:v>2010</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I.tr.'!$D$33:$G$33</c:f>
              <c:numCache>
                <c:formatCode>#,##0.00\ "€"</c:formatCode>
                <c:ptCount val="4"/>
                <c:pt idx="0">
                  <c:v>0.14900000000000024</c:v>
                </c:pt>
                <c:pt idx="1">
                  <c:v>0.18300000000000025</c:v>
                </c:pt>
                <c:pt idx="2">
                  <c:v>7.9380000000000131E-2</c:v>
                </c:pt>
              </c:numCache>
            </c:numRef>
          </c:val>
          <c:extLst>
            <c:ext xmlns:c16="http://schemas.microsoft.com/office/drawing/2014/chart" uri="{C3380CC4-5D6E-409C-BE32-E72D297353CC}">
              <c16:uniqueId val="{00000000-9F70-477A-BAAC-9495D570B4B4}"/>
            </c:ext>
          </c:extLst>
        </c:ser>
        <c:ser>
          <c:idx val="1"/>
          <c:order val="1"/>
          <c:tx>
            <c:strRef>
              <c:f>'final porov I.tr.'!$C$34</c:f>
              <c:strCache>
                <c:ptCount val="1"/>
                <c:pt idx="0">
                  <c:v>2011</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I.tr.'!$D$34:$G$34</c:f>
              <c:numCache>
                <c:formatCode>#,##0.00\ "€"</c:formatCode>
                <c:ptCount val="4"/>
                <c:pt idx="0">
                  <c:v>0.14900000000000024</c:v>
                </c:pt>
                <c:pt idx="1">
                  <c:v>0.18300000000000025</c:v>
                </c:pt>
                <c:pt idx="2">
                  <c:v>0.10020500000000013</c:v>
                </c:pt>
                <c:pt idx="3">
                  <c:v>7.0371269109439444E-2</c:v>
                </c:pt>
              </c:numCache>
            </c:numRef>
          </c:val>
          <c:extLst>
            <c:ext xmlns:c16="http://schemas.microsoft.com/office/drawing/2014/chart" uri="{C3380CC4-5D6E-409C-BE32-E72D297353CC}">
              <c16:uniqueId val="{00000001-9F70-477A-BAAC-9495D570B4B4}"/>
            </c:ext>
          </c:extLst>
        </c:ser>
        <c:ser>
          <c:idx val="2"/>
          <c:order val="2"/>
          <c:tx>
            <c:strRef>
              <c:f>'final porov I.tr.'!$C$35</c:f>
              <c:strCache>
                <c:ptCount val="1"/>
                <c:pt idx="0">
                  <c:v>2012</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I.tr.'!$D$35:$G$35</c:f>
              <c:numCache>
                <c:formatCode>#,##0.00\ "€"</c:formatCode>
                <c:ptCount val="4"/>
                <c:pt idx="0">
                  <c:v>0.14900000000000024</c:v>
                </c:pt>
                <c:pt idx="1">
                  <c:v>0.18300000000000025</c:v>
                </c:pt>
                <c:pt idx="2">
                  <c:v>0.12331800000000001</c:v>
                </c:pt>
                <c:pt idx="3">
                  <c:v>6.9295101553166094E-2</c:v>
                </c:pt>
              </c:numCache>
            </c:numRef>
          </c:val>
          <c:extLst>
            <c:ext xmlns:c16="http://schemas.microsoft.com/office/drawing/2014/chart" uri="{C3380CC4-5D6E-409C-BE32-E72D297353CC}">
              <c16:uniqueId val="{00000002-9F70-477A-BAAC-9495D570B4B4}"/>
            </c:ext>
          </c:extLst>
        </c:ser>
        <c:ser>
          <c:idx val="3"/>
          <c:order val="3"/>
          <c:tx>
            <c:strRef>
              <c:f>'final porov I.tr.'!$C$36</c:f>
              <c:strCache>
                <c:ptCount val="1"/>
                <c:pt idx="0">
                  <c:v>2013</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I.tr.'!$D$36:$G$36</c:f>
              <c:numCache>
                <c:formatCode>#,##0.00\ "€"</c:formatCode>
                <c:ptCount val="4"/>
                <c:pt idx="0">
                  <c:v>0.14900000000000024</c:v>
                </c:pt>
                <c:pt idx="1">
                  <c:v>0.18300000000000025</c:v>
                </c:pt>
                <c:pt idx="2">
                  <c:v>0.11842200000000012</c:v>
                </c:pt>
                <c:pt idx="3">
                  <c:v>6.9096974029068586E-2</c:v>
                </c:pt>
              </c:numCache>
            </c:numRef>
          </c:val>
          <c:extLst>
            <c:ext xmlns:c16="http://schemas.microsoft.com/office/drawing/2014/chart" uri="{C3380CC4-5D6E-409C-BE32-E72D297353CC}">
              <c16:uniqueId val="{00000003-9F70-477A-BAAC-9495D570B4B4}"/>
            </c:ext>
          </c:extLst>
        </c:ser>
        <c:ser>
          <c:idx val="4"/>
          <c:order val="4"/>
          <c:tx>
            <c:strRef>
              <c:f>'final porov I.tr.'!$C$37</c:f>
              <c:strCache>
                <c:ptCount val="1"/>
                <c:pt idx="0">
                  <c:v>2014</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I.tr.'!$D$37:$G$37</c:f>
              <c:numCache>
                <c:formatCode>#,##0.00\ "€"</c:formatCode>
                <c:ptCount val="4"/>
                <c:pt idx="0">
                  <c:v>0.16700000000000001</c:v>
                </c:pt>
                <c:pt idx="1">
                  <c:v>0.18300000000000025</c:v>
                </c:pt>
                <c:pt idx="2">
                  <c:v>0.111078</c:v>
                </c:pt>
                <c:pt idx="3">
                  <c:v>6.9311663479923652E-2</c:v>
                </c:pt>
              </c:numCache>
            </c:numRef>
          </c:val>
          <c:extLst>
            <c:ext xmlns:c16="http://schemas.microsoft.com/office/drawing/2014/chart" uri="{C3380CC4-5D6E-409C-BE32-E72D297353CC}">
              <c16:uniqueId val="{00000004-9F70-477A-BAAC-9495D570B4B4}"/>
            </c:ext>
          </c:extLst>
        </c:ser>
        <c:ser>
          <c:idx val="5"/>
          <c:order val="5"/>
          <c:tx>
            <c:strRef>
              <c:f>'final porov I.tr.'!$C$38</c:f>
              <c:strCache>
                <c:ptCount val="1"/>
                <c:pt idx="0">
                  <c:v>2015</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I.tr.'!$D$38:$G$38</c:f>
              <c:numCache>
                <c:formatCode>#,##0.00\ "€"</c:formatCode>
                <c:ptCount val="4"/>
                <c:pt idx="0">
                  <c:v>0.16700000000000001</c:v>
                </c:pt>
                <c:pt idx="1">
                  <c:v>0.16300000000000001</c:v>
                </c:pt>
                <c:pt idx="2">
                  <c:v>0.12015300000000002</c:v>
                </c:pt>
                <c:pt idx="3">
                  <c:v>6.9311663479923652E-2</c:v>
                </c:pt>
              </c:numCache>
            </c:numRef>
          </c:val>
          <c:extLst>
            <c:ext xmlns:c16="http://schemas.microsoft.com/office/drawing/2014/chart" uri="{C3380CC4-5D6E-409C-BE32-E72D297353CC}">
              <c16:uniqueId val="{00000005-9F70-477A-BAAC-9495D570B4B4}"/>
            </c:ext>
          </c:extLst>
        </c:ser>
        <c:ser>
          <c:idx val="6"/>
          <c:order val="6"/>
          <c:tx>
            <c:strRef>
              <c:f>'final porov I.tr.'!$C$39</c:f>
              <c:strCache>
                <c:ptCount val="1"/>
                <c:pt idx="0">
                  <c:v>2016</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I.tr.'!$D$39:$G$39</c:f>
              <c:numCache>
                <c:formatCode>#,##0.00\ "€"</c:formatCode>
                <c:ptCount val="4"/>
                <c:pt idx="0">
                  <c:v>0.16700000000000001</c:v>
                </c:pt>
                <c:pt idx="1">
                  <c:v>0.14900000000000024</c:v>
                </c:pt>
                <c:pt idx="2">
                  <c:v>0.12247000000000002</c:v>
                </c:pt>
                <c:pt idx="3">
                  <c:v>6.6468026587210682E-2</c:v>
                </c:pt>
              </c:numCache>
            </c:numRef>
          </c:val>
          <c:extLst>
            <c:ext xmlns:c16="http://schemas.microsoft.com/office/drawing/2014/chart" uri="{C3380CC4-5D6E-409C-BE32-E72D297353CC}">
              <c16:uniqueId val="{00000006-9F70-477A-BAAC-9495D570B4B4}"/>
            </c:ext>
          </c:extLst>
        </c:ser>
        <c:ser>
          <c:idx val="7"/>
          <c:order val="7"/>
          <c:tx>
            <c:strRef>
              <c:f>'final porov I.tr.'!$C$40</c:f>
              <c:strCache>
                <c:ptCount val="1"/>
                <c:pt idx="0">
                  <c:v>2017</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I.tr.'!$D$40:$G$40</c:f>
              <c:numCache>
                <c:formatCode>#,##0.00\ "€"</c:formatCode>
                <c:ptCount val="4"/>
                <c:pt idx="0">
                  <c:v>0.16700000000000001</c:v>
                </c:pt>
                <c:pt idx="1">
                  <c:v>0.14900000000000024</c:v>
                </c:pt>
                <c:pt idx="2">
                  <c:v>0.126773</c:v>
                </c:pt>
                <c:pt idx="3">
                  <c:v>6.8123091378905334E-2</c:v>
                </c:pt>
              </c:numCache>
            </c:numRef>
          </c:val>
          <c:extLst>
            <c:ext xmlns:c16="http://schemas.microsoft.com/office/drawing/2014/chart" uri="{C3380CC4-5D6E-409C-BE32-E72D297353CC}">
              <c16:uniqueId val="{00000007-9F70-477A-BAAC-9495D570B4B4}"/>
            </c:ext>
          </c:extLst>
        </c:ser>
        <c:ser>
          <c:idx val="8"/>
          <c:order val="8"/>
          <c:tx>
            <c:strRef>
              <c:f>'final porov I.tr.'!$C$41</c:f>
              <c:strCache>
                <c:ptCount val="1"/>
                <c:pt idx="0">
                  <c:v>2018</c:v>
                </c:pt>
              </c:strCache>
            </c:strRef>
          </c:tx>
          <c:invertIfNegative val="0"/>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I.tr.'!$D$41:$G$41</c:f>
              <c:numCache>
                <c:formatCode>#,##0.00\ "€"</c:formatCode>
                <c:ptCount val="4"/>
                <c:pt idx="0">
                  <c:v>0.17100000000000001</c:v>
                </c:pt>
                <c:pt idx="1">
                  <c:v>0.14900000000000024</c:v>
                </c:pt>
                <c:pt idx="2">
                  <c:v>0.130083</c:v>
                </c:pt>
                <c:pt idx="3">
                  <c:v>6.8059141046702659E-2</c:v>
                </c:pt>
              </c:numCache>
            </c:numRef>
          </c:val>
          <c:extLst>
            <c:ext xmlns:c16="http://schemas.microsoft.com/office/drawing/2014/chart" uri="{C3380CC4-5D6E-409C-BE32-E72D297353CC}">
              <c16:uniqueId val="{00000008-9F70-477A-BAAC-9495D570B4B4}"/>
            </c:ext>
          </c:extLst>
        </c:ser>
        <c:ser>
          <c:idx val="9"/>
          <c:order val="9"/>
          <c:tx>
            <c:strRef>
              <c:f>'final porov I.tr.'!$C$42</c:f>
              <c:strCache>
                <c:ptCount val="1"/>
                <c:pt idx="0">
                  <c:v>priemer</c:v>
                </c:pt>
              </c:strCache>
            </c:strRef>
          </c:tx>
          <c:spPr>
            <a:solidFill>
              <a:srgbClr val="8064A2">
                <a:lumMod val="75000"/>
              </a:srgb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'final porov I.tr.'!$D$31:$G$32</c:f>
              <c:multiLvlStrCache>
                <c:ptCount val="4"/>
                <c:lvl>
                  <c:pt idx="0">
                    <c:v>SR </c:v>
                  </c:pt>
                  <c:pt idx="1">
                    <c:v>DE</c:v>
                  </c:pt>
                  <c:pt idx="2">
                    <c:v>ČR</c:v>
                  </c:pt>
                  <c:pt idx="3">
                    <c:v>PL</c:v>
                  </c:pt>
                </c:lvl>
                <c:lvl>
                  <c:pt idx="0">
                    <c:v>NV 3,5 - 12t/ 4 nápravy</c:v>
                  </c:pt>
                </c:lvl>
              </c:multiLvlStrCache>
            </c:multiLvlStrRef>
          </c:cat>
          <c:val>
            <c:numRef>
              <c:f>'final porov I.tr.'!$D$42:$G$42</c:f>
              <c:numCache>
                <c:formatCode>#,##0.00\ "€"</c:formatCode>
                <c:ptCount val="4"/>
                <c:pt idx="0">
                  <c:v>0.15944444444444517</c:v>
                </c:pt>
                <c:pt idx="1">
                  <c:v>0.16944444444444501</c:v>
                </c:pt>
                <c:pt idx="2">
                  <c:v>0.11465355555555556</c:v>
                </c:pt>
                <c:pt idx="3">
                  <c:v>6.8754616333042584E-2</c:v>
                </c:pt>
              </c:numCache>
            </c:numRef>
          </c:val>
          <c:extLst>
            <c:ext xmlns:c16="http://schemas.microsoft.com/office/drawing/2014/chart" uri="{C3380CC4-5D6E-409C-BE32-E72D297353CC}">
              <c16:uniqueId val="{00000009-9F70-477A-BAAC-9495D570B4B4}"/>
            </c:ext>
          </c:extLst>
        </c:ser>
        <c:dLbls>
          <c:showLegendKey val="0"/>
          <c:showVal val="0"/>
          <c:showCatName val="0"/>
          <c:showSerName val="0"/>
          <c:showPercent val="0"/>
          <c:showBubbleSize val="0"/>
        </c:dLbls>
        <c:gapWidth val="150"/>
        <c:axId val="706886656"/>
        <c:axId val="706913024"/>
      </c:barChart>
      <c:catAx>
        <c:axId val="706886656"/>
        <c:scaling>
          <c:orientation val="minMax"/>
        </c:scaling>
        <c:delete val="0"/>
        <c:axPos val="b"/>
        <c:numFmt formatCode="General" sourceLinked="0"/>
        <c:majorTickMark val="out"/>
        <c:minorTickMark val="none"/>
        <c:tickLblPos val="nextTo"/>
        <c:crossAx val="706913024"/>
        <c:crosses val="autoZero"/>
        <c:auto val="1"/>
        <c:lblAlgn val="ctr"/>
        <c:lblOffset val="100"/>
        <c:noMultiLvlLbl val="0"/>
      </c:catAx>
      <c:valAx>
        <c:axId val="706913024"/>
        <c:scaling>
          <c:orientation val="minMax"/>
          <c:max val="0.4"/>
        </c:scaling>
        <c:delete val="0"/>
        <c:axPos val="l"/>
        <c:numFmt formatCode="#,##0.0\ &quot;€&quot;" sourceLinked="0"/>
        <c:majorTickMark val="out"/>
        <c:minorTickMark val="none"/>
        <c:tickLblPos val="nextTo"/>
        <c:crossAx val="706886656"/>
        <c:crosses val="autoZero"/>
        <c:crossBetween val="between"/>
      </c:valAx>
      <c:spPr>
        <a:noFill/>
        <a:ln w="25400">
          <a:noFill/>
        </a:ln>
      </c:spPr>
    </c:plotArea>
    <c:legend>
      <c:legendPos val="r"/>
      <c:layout>
        <c:manualLayout>
          <c:xMode val="edge"/>
          <c:yMode val="edge"/>
          <c:x val="0.88008188856656178"/>
          <c:y val="5.8359401709401813E-2"/>
          <c:w val="0.10477816141400662"/>
          <c:h val="0.87785341880342216"/>
        </c:manualLayout>
      </c:layout>
      <c:overlay val="0"/>
    </c:legend>
    <c:plotVisOnly val="1"/>
    <c:dispBlanksAs val="gap"/>
    <c:showDLblsOverMax val="0"/>
  </c:chart>
  <c:externalData r:id="rId1">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15"/>
    </mc:Choice>
    <mc:Fallback>
      <c:style val="15"/>
    </mc:Fallback>
  </mc:AlternateContent>
  <c:chart>
    <c:autoTitleDeleted val="0"/>
    <c:plotArea>
      <c:layout/>
      <c:barChart>
        <c:barDir val="col"/>
        <c:grouping val="clustered"/>
        <c:varyColors val="0"/>
        <c:ser>
          <c:idx val="0"/>
          <c:order val="0"/>
          <c:tx>
            <c:strRef>
              <c:f>'final porov I.tr.'!$I$33</c:f>
              <c:strCache>
                <c:ptCount val="1"/>
                <c:pt idx="0">
                  <c:v>2010</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I.tr.'!$J$33:$M$33</c:f>
              <c:numCache>
                <c:formatCode>#,##0.00\ "€"</c:formatCode>
                <c:ptCount val="4"/>
                <c:pt idx="0">
                  <c:v>0.14600000000000021</c:v>
                </c:pt>
                <c:pt idx="1">
                  <c:v>0.14600000000000021</c:v>
                </c:pt>
                <c:pt idx="2">
                  <c:v>7.9380000000000131E-2</c:v>
                </c:pt>
              </c:numCache>
            </c:numRef>
          </c:val>
          <c:extLst>
            <c:ext xmlns:c16="http://schemas.microsoft.com/office/drawing/2014/chart" uri="{C3380CC4-5D6E-409C-BE32-E72D297353CC}">
              <c16:uniqueId val="{00000000-EA90-483B-96F1-F636F2687FF3}"/>
            </c:ext>
          </c:extLst>
        </c:ser>
        <c:ser>
          <c:idx val="1"/>
          <c:order val="1"/>
          <c:tx>
            <c:strRef>
              <c:f>'final porov I.tr.'!$I$34</c:f>
              <c:strCache>
                <c:ptCount val="1"/>
                <c:pt idx="0">
                  <c:v>2011</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I.tr.'!$J$34:$M$34</c:f>
              <c:numCache>
                <c:formatCode>#,##0.00\ "€"</c:formatCode>
                <c:ptCount val="4"/>
                <c:pt idx="0">
                  <c:v>0.14600000000000021</c:v>
                </c:pt>
                <c:pt idx="1">
                  <c:v>0.14600000000000021</c:v>
                </c:pt>
                <c:pt idx="2">
                  <c:v>0.10020500000000013</c:v>
                </c:pt>
                <c:pt idx="3">
                  <c:v>7.0371269109439444E-2</c:v>
                </c:pt>
              </c:numCache>
            </c:numRef>
          </c:val>
          <c:extLst>
            <c:ext xmlns:c16="http://schemas.microsoft.com/office/drawing/2014/chart" uri="{C3380CC4-5D6E-409C-BE32-E72D297353CC}">
              <c16:uniqueId val="{00000001-EA90-483B-96F1-F636F2687FF3}"/>
            </c:ext>
          </c:extLst>
        </c:ser>
        <c:ser>
          <c:idx val="2"/>
          <c:order val="2"/>
          <c:tx>
            <c:strRef>
              <c:f>'final porov I.tr.'!$I$35</c:f>
              <c:strCache>
                <c:ptCount val="1"/>
                <c:pt idx="0">
                  <c:v>2012</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I.tr.'!$J$35:$M$35</c:f>
              <c:numCache>
                <c:formatCode>#,##0.00\ "€"</c:formatCode>
                <c:ptCount val="4"/>
                <c:pt idx="0">
                  <c:v>0.14600000000000021</c:v>
                </c:pt>
                <c:pt idx="1">
                  <c:v>0.14600000000000021</c:v>
                </c:pt>
                <c:pt idx="2">
                  <c:v>0.12331800000000001</c:v>
                </c:pt>
                <c:pt idx="3">
                  <c:v>6.9295101553166094E-2</c:v>
                </c:pt>
              </c:numCache>
            </c:numRef>
          </c:val>
          <c:extLst>
            <c:ext xmlns:c16="http://schemas.microsoft.com/office/drawing/2014/chart" uri="{C3380CC4-5D6E-409C-BE32-E72D297353CC}">
              <c16:uniqueId val="{00000002-EA90-483B-96F1-F636F2687FF3}"/>
            </c:ext>
          </c:extLst>
        </c:ser>
        <c:ser>
          <c:idx val="3"/>
          <c:order val="3"/>
          <c:tx>
            <c:strRef>
              <c:f>'final porov I.tr.'!$I$36</c:f>
              <c:strCache>
                <c:ptCount val="1"/>
                <c:pt idx="0">
                  <c:v>2013</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I.tr.'!$J$36:$M$36</c:f>
              <c:numCache>
                <c:formatCode>#,##0.00\ "€"</c:formatCode>
                <c:ptCount val="4"/>
                <c:pt idx="0">
                  <c:v>0.14600000000000021</c:v>
                </c:pt>
                <c:pt idx="1">
                  <c:v>0.14600000000000021</c:v>
                </c:pt>
                <c:pt idx="2">
                  <c:v>0.11842200000000012</c:v>
                </c:pt>
                <c:pt idx="3">
                  <c:v>6.9096974029068586E-2</c:v>
                </c:pt>
              </c:numCache>
            </c:numRef>
          </c:val>
          <c:extLst>
            <c:ext xmlns:c16="http://schemas.microsoft.com/office/drawing/2014/chart" uri="{C3380CC4-5D6E-409C-BE32-E72D297353CC}">
              <c16:uniqueId val="{00000003-EA90-483B-96F1-F636F2687FF3}"/>
            </c:ext>
          </c:extLst>
        </c:ser>
        <c:ser>
          <c:idx val="4"/>
          <c:order val="4"/>
          <c:tx>
            <c:strRef>
              <c:f>'final porov I.tr.'!$I$37</c:f>
              <c:strCache>
                <c:ptCount val="1"/>
                <c:pt idx="0">
                  <c:v>2014</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I.tr.'!$J$37:$M$37</c:f>
              <c:numCache>
                <c:formatCode>#,##0.00\ "€"</c:formatCode>
                <c:ptCount val="4"/>
                <c:pt idx="0">
                  <c:v>0.16400000000000001</c:v>
                </c:pt>
                <c:pt idx="1">
                  <c:v>0.16400000000000001</c:v>
                </c:pt>
                <c:pt idx="2">
                  <c:v>0.111078</c:v>
                </c:pt>
                <c:pt idx="3">
                  <c:v>6.9311663479923652E-2</c:v>
                </c:pt>
              </c:numCache>
            </c:numRef>
          </c:val>
          <c:extLst>
            <c:ext xmlns:c16="http://schemas.microsoft.com/office/drawing/2014/chart" uri="{C3380CC4-5D6E-409C-BE32-E72D297353CC}">
              <c16:uniqueId val="{00000004-EA90-483B-96F1-F636F2687FF3}"/>
            </c:ext>
          </c:extLst>
        </c:ser>
        <c:ser>
          <c:idx val="5"/>
          <c:order val="5"/>
          <c:tx>
            <c:strRef>
              <c:f>'final porov I.tr.'!$I$38</c:f>
              <c:strCache>
                <c:ptCount val="1"/>
                <c:pt idx="0">
                  <c:v>2015</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I.tr.'!$J$38:$M$38</c:f>
              <c:numCache>
                <c:formatCode>#,##0.00\ "€"</c:formatCode>
                <c:ptCount val="4"/>
                <c:pt idx="0">
                  <c:v>0.16400000000000001</c:v>
                </c:pt>
                <c:pt idx="1">
                  <c:v>0.16400000000000001</c:v>
                </c:pt>
                <c:pt idx="2">
                  <c:v>0.12015300000000002</c:v>
                </c:pt>
                <c:pt idx="3">
                  <c:v>6.9311663479923652E-2</c:v>
                </c:pt>
              </c:numCache>
            </c:numRef>
          </c:val>
          <c:extLst>
            <c:ext xmlns:c16="http://schemas.microsoft.com/office/drawing/2014/chart" uri="{C3380CC4-5D6E-409C-BE32-E72D297353CC}">
              <c16:uniqueId val="{00000005-EA90-483B-96F1-F636F2687FF3}"/>
            </c:ext>
          </c:extLst>
        </c:ser>
        <c:ser>
          <c:idx val="6"/>
          <c:order val="6"/>
          <c:tx>
            <c:strRef>
              <c:f>'final porov I.tr.'!$I$39</c:f>
              <c:strCache>
                <c:ptCount val="1"/>
                <c:pt idx="0">
                  <c:v>2016</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I.tr.'!$J$39:$M$39</c:f>
              <c:numCache>
                <c:formatCode>#,##0.00\ "€"</c:formatCode>
                <c:ptCount val="4"/>
                <c:pt idx="0">
                  <c:v>0.16400000000000001</c:v>
                </c:pt>
                <c:pt idx="1">
                  <c:v>0.16700000000000001</c:v>
                </c:pt>
                <c:pt idx="2">
                  <c:v>0.12247000000000002</c:v>
                </c:pt>
                <c:pt idx="3">
                  <c:v>6.6468026587210682E-2</c:v>
                </c:pt>
              </c:numCache>
            </c:numRef>
          </c:val>
          <c:extLst>
            <c:ext xmlns:c16="http://schemas.microsoft.com/office/drawing/2014/chart" uri="{C3380CC4-5D6E-409C-BE32-E72D297353CC}">
              <c16:uniqueId val="{00000006-EA90-483B-96F1-F636F2687FF3}"/>
            </c:ext>
          </c:extLst>
        </c:ser>
        <c:ser>
          <c:idx val="7"/>
          <c:order val="7"/>
          <c:tx>
            <c:strRef>
              <c:f>'final porov I.tr.'!$I$40</c:f>
              <c:strCache>
                <c:ptCount val="1"/>
                <c:pt idx="0">
                  <c:v>2017</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I.tr.'!$J$40:$M$40</c:f>
              <c:numCache>
                <c:formatCode>#,##0.00\ "€"</c:formatCode>
                <c:ptCount val="4"/>
                <c:pt idx="0">
                  <c:v>0.16400000000000001</c:v>
                </c:pt>
                <c:pt idx="1">
                  <c:v>0.16700000000000001</c:v>
                </c:pt>
                <c:pt idx="2">
                  <c:v>0.126773</c:v>
                </c:pt>
                <c:pt idx="3">
                  <c:v>6.8123091378905334E-2</c:v>
                </c:pt>
              </c:numCache>
            </c:numRef>
          </c:val>
          <c:extLst>
            <c:ext xmlns:c16="http://schemas.microsoft.com/office/drawing/2014/chart" uri="{C3380CC4-5D6E-409C-BE32-E72D297353CC}">
              <c16:uniqueId val="{00000007-EA90-483B-96F1-F636F2687FF3}"/>
            </c:ext>
          </c:extLst>
        </c:ser>
        <c:ser>
          <c:idx val="8"/>
          <c:order val="8"/>
          <c:tx>
            <c:strRef>
              <c:f>'final porov I.tr.'!$I$41</c:f>
              <c:strCache>
                <c:ptCount val="1"/>
                <c:pt idx="0">
                  <c:v>2018</c:v>
                </c:pt>
              </c:strCache>
            </c:strRef>
          </c:tx>
          <c:invertIfNegative val="0"/>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I.tr.'!$J$41:$M$41</c:f>
              <c:numCache>
                <c:formatCode>#,##0.00\ "€"</c:formatCode>
                <c:ptCount val="4"/>
                <c:pt idx="0">
                  <c:v>0.16700000000000001</c:v>
                </c:pt>
                <c:pt idx="1">
                  <c:v>0.16700000000000001</c:v>
                </c:pt>
                <c:pt idx="2">
                  <c:v>0.130083</c:v>
                </c:pt>
                <c:pt idx="3">
                  <c:v>6.8059141046702659E-2</c:v>
                </c:pt>
              </c:numCache>
            </c:numRef>
          </c:val>
          <c:extLst>
            <c:ext xmlns:c16="http://schemas.microsoft.com/office/drawing/2014/chart" uri="{C3380CC4-5D6E-409C-BE32-E72D297353CC}">
              <c16:uniqueId val="{00000008-EA90-483B-96F1-F636F2687FF3}"/>
            </c:ext>
          </c:extLst>
        </c:ser>
        <c:ser>
          <c:idx val="9"/>
          <c:order val="9"/>
          <c:tx>
            <c:strRef>
              <c:f>'final porov I.tr.'!$I$42</c:f>
              <c:strCache>
                <c:ptCount val="1"/>
                <c:pt idx="0">
                  <c:v>priemer</c:v>
                </c:pt>
              </c:strCache>
            </c:strRef>
          </c:tx>
          <c:spPr>
            <a:solidFill>
              <a:srgbClr val="8064A2">
                <a:lumMod val="75000"/>
              </a:srgbClr>
            </a:solidFill>
          </c:spPr>
          <c:invertIfNegative val="0"/>
          <c:dLbls>
            <c:spPr>
              <a:noFill/>
              <a:ln>
                <a:noFill/>
              </a:ln>
              <a:effectLst/>
            </c:spPr>
            <c:txPr>
              <a:bodyPr/>
              <a:lstStyle/>
              <a:p>
                <a:pPr>
                  <a:defRPr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'final porov I.tr.'!$J$31:$M$32</c:f>
              <c:multiLvlStrCache>
                <c:ptCount val="4"/>
                <c:lvl>
                  <c:pt idx="0">
                    <c:v>SR </c:v>
                  </c:pt>
                  <c:pt idx="1">
                    <c:v>DE</c:v>
                  </c:pt>
                  <c:pt idx="2">
                    <c:v>ČR</c:v>
                  </c:pt>
                  <c:pt idx="3">
                    <c:v>PL</c:v>
                  </c:pt>
                </c:lvl>
                <c:lvl>
                  <c:pt idx="0">
                    <c:v>NV nad 12 t/ 5 náprav</c:v>
                  </c:pt>
                </c:lvl>
              </c:multiLvlStrCache>
            </c:multiLvlStrRef>
          </c:cat>
          <c:val>
            <c:numRef>
              <c:f>'final porov I.tr.'!$J$42:$M$42</c:f>
              <c:numCache>
                <c:formatCode>#,##0.00\ "€"</c:formatCode>
                <c:ptCount val="4"/>
                <c:pt idx="0">
                  <c:v>0.15633333333333374</c:v>
                </c:pt>
                <c:pt idx="1">
                  <c:v>0.15700000000000028</c:v>
                </c:pt>
                <c:pt idx="2">
                  <c:v>0.11465355555555556</c:v>
                </c:pt>
                <c:pt idx="3">
                  <c:v>6.8754616333042584E-2</c:v>
                </c:pt>
              </c:numCache>
            </c:numRef>
          </c:val>
          <c:extLst>
            <c:ext xmlns:c16="http://schemas.microsoft.com/office/drawing/2014/chart" uri="{C3380CC4-5D6E-409C-BE32-E72D297353CC}">
              <c16:uniqueId val="{00000009-EA90-483B-96F1-F636F2687FF3}"/>
            </c:ext>
          </c:extLst>
        </c:ser>
        <c:dLbls>
          <c:showLegendKey val="0"/>
          <c:showVal val="0"/>
          <c:showCatName val="0"/>
          <c:showSerName val="0"/>
          <c:showPercent val="0"/>
          <c:showBubbleSize val="0"/>
        </c:dLbls>
        <c:gapWidth val="150"/>
        <c:axId val="706944384"/>
        <c:axId val="706958464"/>
      </c:barChart>
      <c:catAx>
        <c:axId val="706944384"/>
        <c:scaling>
          <c:orientation val="minMax"/>
        </c:scaling>
        <c:delete val="0"/>
        <c:axPos val="b"/>
        <c:numFmt formatCode="General" sourceLinked="0"/>
        <c:majorTickMark val="out"/>
        <c:minorTickMark val="none"/>
        <c:tickLblPos val="nextTo"/>
        <c:crossAx val="706958464"/>
        <c:crosses val="autoZero"/>
        <c:auto val="1"/>
        <c:lblAlgn val="ctr"/>
        <c:lblOffset val="100"/>
        <c:noMultiLvlLbl val="0"/>
      </c:catAx>
      <c:valAx>
        <c:axId val="706958464"/>
        <c:scaling>
          <c:orientation val="minMax"/>
          <c:max val="0.4"/>
        </c:scaling>
        <c:delete val="0"/>
        <c:axPos val="l"/>
        <c:numFmt formatCode="#,##0.0\ &quot;€&quot;" sourceLinked="0"/>
        <c:majorTickMark val="out"/>
        <c:minorTickMark val="none"/>
        <c:tickLblPos val="nextTo"/>
        <c:crossAx val="706944384"/>
        <c:crosses val="autoZero"/>
        <c:crossBetween val="between"/>
      </c:valAx>
    </c:plotArea>
    <c:legend>
      <c:legendPos val="r"/>
      <c:layout>
        <c:manualLayout>
          <c:xMode val="edge"/>
          <c:yMode val="edge"/>
          <c:x val="0.88145707070707058"/>
          <c:y val="7.4716666666667098E-2"/>
          <c:w val="9.9300505050505056E-2"/>
          <c:h val="0.8623259259259255"/>
        </c:manualLayout>
      </c:layout>
      <c:overlay val="0"/>
    </c:legend>
    <c:plotVisOnly val="1"/>
    <c:dispBlanksAs val="gap"/>
    <c:showDLblsOverMax val="0"/>
  </c:chart>
  <c:externalData r:id="rId1">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sk-SK" sz="1100" b="1" i="0" baseline="0">
                <a:effectLst/>
              </a:rPr>
              <a:t>Plánované  (2009) a skutočné kumulované dopravné výkony  vozidiel na D a RC (mil. vkm)</a:t>
            </a:r>
            <a:endParaRPr lang="sk-SK" sz="1100">
              <a:effectLst/>
            </a:endParaRPr>
          </a:p>
        </c:rich>
      </c:tx>
      <c:overlay val="0"/>
    </c:title>
    <c:autoTitleDeleted val="0"/>
    <c:plotArea>
      <c:layout/>
      <c:barChart>
        <c:barDir val="col"/>
        <c:grouping val="clustered"/>
        <c:varyColors val="0"/>
        <c:ser>
          <c:idx val="0"/>
          <c:order val="0"/>
          <c:tx>
            <c:strRef>
              <c:f>'[3010_prognozy NDS_intenzity_výkony.xls]Hárok2'!$C$86</c:f>
              <c:strCache>
                <c:ptCount val="1"/>
                <c:pt idx="0">
                  <c:v>plán (2009)</c:v>
                </c:pt>
              </c:strCache>
            </c:strRef>
          </c:tx>
          <c:spPr>
            <a:solidFill>
              <a:srgbClr val="C00000">
                <a:alpha val="43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'[3010_prognozy NDS_intenzity_výkony.xls]Hárok2'!$D$85:$L$85</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'[3010_prognozy NDS_intenzity_výkony.xls]Hárok2'!$D$86:$L$86</c:f>
              <c:numCache>
                <c:formatCode>0</c:formatCode>
                <c:ptCount val="9"/>
                <c:pt idx="0">
                  <c:v>605.79564321499981</c:v>
                </c:pt>
                <c:pt idx="1">
                  <c:v>663.12923257000136</c:v>
                </c:pt>
                <c:pt idx="2">
                  <c:v>757.02897299999995</c:v>
                </c:pt>
                <c:pt idx="3">
                  <c:v>805.87244099999998</c:v>
                </c:pt>
                <c:pt idx="4">
                  <c:v>896.87092199999938</c:v>
                </c:pt>
                <c:pt idx="5">
                  <c:v>940.66587200000004</c:v>
                </c:pt>
                <c:pt idx="6">
                  <c:v>995.67514000000051</c:v>
                </c:pt>
                <c:pt idx="7">
                  <c:v>1123.5385200000001</c:v>
                </c:pt>
                <c:pt idx="8">
                  <c:v>1305.20345</c:v>
                </c:pt>
              </c:numCache>
            </c:numRef>
          </c:val>
          <c:extLst>
            <c:ext xmlns:c16="http://schemas.microsoft.com/office/drawing/2014/chart" uri="{C3380CC4-5D6E-409C-BE32-E72D297353CC}">
              <c16:uniqueId val="{00000000-B9F3-41F5-B85A-F9B543BB4263}"/>
            </c:ext>
          </c:extLst>
        </c:ser>
        <c:ser>
          <c:idx val="1"/>
          <c:order val="1"/>
          <c:tx>
            <c:strRef>
              <c:f>'[3010_prognozy NDS_intenzity_výkony.xls]Hárok2'!$C$87</c:f>
              <c:strCache>
                <c:ptCount val="1"/>
                <c:pt idx="0">
                  <c:v>skutočnosť</c:v>
                </c:pt>
              </c:strCache>
            </c:strRef>
          </c:tx>
          <c:spPr>
            <a:solidFill>
              <a:srgbClr val="C00000"/>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'[3010_prognozy NDS_intenzity_výkony.xls]Hárok2'!$D$85:$L$85</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'[3010_prognozy NDS_intenzity_výkony.xls]Hárok2'!$D$87:$L$87</c:f>
              <c:numCache>
                <c:formatCode>0</c:formatCode>
                <c:ptCount val="9"/>
                <c:pt idx="0">
                  <c:v>518.38661799999807</c:v>
                </c:pt>
                <c:pt idx="1">
                  <c:v>555.18034600000055</c:v>
                </c:pt>
                <c:pt idx="2">
                  <c:v>583.43470500000001</c:v>
                </c:pt>
                <c:pt idx="3">
                  <c:v>601.92816699999946</c:v>
                </c:pt>
                <c:pt idx="4">
                  <c:v>659.36614399999769</c:v>
                </c:pt>
                <c:pt idx="5">
                  <c:v>704.82148599999948</c:v>
                </c:pt>
                <c:pt idx="6">
                  <c:v>763.04805499999998</c:v>
                </c:pt>
                <c:pt idx="7">
                  <c:v>807.83011799999781</c:v>
                </c:pt>
                <c:pt idx="8">
                  <c:v>850.76323000000002</c:v>
                </c:pt>
              </c:numCache>
            </c:numRef>
          </c:val>
          <c:extLst>
            <c:ext xmlns:c16="http://schemas.microsoft.com/office/drawing/2014/chart" uri="{C3380CC4-5D6E-409C-BE32-E72D297353CC}">
              <c16:uniqueId val="{00000001-B9F3-41F5-B85A-F9B543BB4263}"/>
            </c:ext>
          </c:extLst>
        </c:ser>
        <c:dLbls>
          <c:showLegendKey val="0"/>
          <c:showVal val="0"/>
          <c:showCatName val="0"/>
          <c:showSerName val="0"/>
          <c:showPercent val="0"/>
          <c:showBubbleSize val="0"/>
        </c:dLbls>
        <c:gapWidth val="150"/>
        <c:axId val="707013248"/>
        <c:axId val="707019136"/>
      </c:barChart>
      <c:catAx>
        <c:axId val="707013248"/>
        <c:scaling>
          <c:orientation val="minMax"/>
        </c:scaling>
        <c:delete val="0"/>
        <c:axPos val="b"/>
        <c:numFmt formatCode="0" sourceLinked="1"/>
        <c:majorTickMark val="out"/>
        <c:minorTickMark val="none"/>
        <c:tickLblPos val="nextTo"/>
        <c:crossAx val="707019136"/>
        <c:crosses val="autoZero"/>
        <c:auto val="1"/>
        <c:lblAlgn val="ctr"/>
        <c:lblOffset val="100"/>
        <c:noMultiLvlLbl val="0"/>
      </c:catAx>
      <c:valAx>
        <c:axId val="707019136"/>
        <c:scaling>
          <c:orientation val="minMax"/>
        </c:scaling>
        <c:delete val="0"/>
        <c:axPos val="l"/>
        <c:numFmt formatCode="#,##0_ ;\-#,##0\ " sourceLinked="0"/>
        <c:majorTickMark val="out"/>
        <c:minorTickMark val="none"/>
        <c:tickLblPos val="nextTo"/>
        <c:crossAx val="707013248"/>
        <c:crosses val="autoZero"/>
        <c:crossBetween val="between"/>
      </c:valAx>
    </c:plotArea>
    <c:legend>
      <c:legendPos val="b"/>
      <c:overlay val="0"/>
    </c:legend>
    <c:plotVisOnly val="1"/>
    <c:dispBlanksAs val="gap"/>
    <c:showDLblsOverMax val="0"/>
  </c:chart>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sk-SK" sz="1100" b="1" i="0" baseline="0">
                <a:effectLst/>
              </a:rPr>
              <a:t>Plánované  (2009) a skutočné  kumulované dopravné výkony vozidiel na cestách I. triedy (mil. vkm)</a:t>
            </a:r>
            <a:endParaRPr lang="sk-SK" sz="1100">
              <a:effectLst/>
            </a:endParaRPr>
          </a:p>
        </c:rich>
      </c:tx>
      <c:layout>
        <c:manualLayout>
          <c:xMode val="edge"/>
          <c:yMode val="edge"/>
          <c:x val="0.13822494848680253"/>
          <c:y val="2.9153568603397149E-2"/>
        </c:manualLayout>
      </c:layout>
      <c:overlay val="0"/>
    </c:title>
    <c:autoTitleDeleted val="0"/>
    <c:plotArea>
      <c:layout>
        <c:manualLayout>
          <c:layoutTarget val="inner"/>
          <c:xMode val="edge"/>
          <c:yMode val="edge"/>
          <c:x val="7.7111333846613325E-2"/>
          <c:y val="0.26731878303509754"/>
          <c:w val="0.89936335143283541"/>
          <c:h val="0.45445410914344436"/>
        </c:manualLayout>
      </c:layout>
      <c:barChart>
        <c:barDir val="col"/>
        <c:grouping val="clustered"/>
        <c:varyColors val="0"/>
        <c:ser>
          <c:idx val="0"/>
          <c:order val="0"/>
          <c:tx>
            <c:strRef>
              <c:f>'[3010_prognozy NDS_intenzity_výkony.xls]Hárok2'!$C$90</c:f>
              <c:strCache>
                <c:ptCount val="1"/>
                <c:pt idx="0">
                  <c:v>plán (2009)</c:v>
                </c:pt>
              </c:strCache>
            </c:strRef>
          </c:tx>
          <c:spPr>
            <a:solidFill>
              <a:srgbClr val="4BACC6">
                <a:lumMod val="75000"/>
                <a:alpha val="43000"/>
              </a:srgbClr>
            </a:solidFill>
          </c:spPr>
          <c:invertIfNegative val="0"/>
          <c:dLbls>
            <c:spPr>
              <a:noFill/>
              <a:ln>
                <a:noFill/>
              </a:ln>
              <a:effectLst/>
            </c:spPr>
            <c:txPr>
              <a:bodyPr/>
              <a:lstStyle/>
              <a:p>
                <a:pPr indent="0">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'[3010_prognozy NDS_intenzity_výkony.xls]Hárok2'!$D$89:$L$89</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'[3010_prognozy NDS_intenzity_výkony.xls]Hárok2'!$D$90:$L$90</c:f>
              <c:numCache>
                <c:formatCode>0</c:formatCode>
                <c:ptCount val="9"/>
                <c:pt idx="0">
                  <c:v>487.22194426999897</c:v>
                </c:pt>
                <c:pt idx="1">
                  <c:v>485.30708135000032</c:v>
                </c:pt>
                <c:pt idx="2">
                  <c:v>472.11759881</c:v>
                </c:pt>
                <c:pt idx="3">
                  <c:v>479.71589706999993</c:v>
                </c:pt>
                <c:pt idx="4">
                  <c:v>469.43268752</c:v>
                </c:pt>
                <c:pt idx="5">
                  <c:v>467.34678337000008</c:v>
                </c:pt>
                <c:pt idx="6">
                  <c:v>461.30236857</c:v>
                </c:pt>
                <c:pt idx="7">
                  <c:v>442.43614174999823</c:v>
                </c:pt>
                <c:pt idx="8">
                  <c:v>417.41620350999909</c:v>
                </c:pt>
              </c:numCache>
            </c:numRef>
          </c:val>
          <c:extLst>
            <c:ext xmlns:c16="http://schemas.microsoft.com/office/drawing/2014/chart" uri="{C3380CC4-5D6E-409C-BE32-E72D297353CC}">
              <c16:uniqueId val="{00000000-DA89-4147-A8C1-C7590AE87906}"/>
            </c:ext>
          </c:extLst>
        </c:ser>
        <c:ser>
          <c:idx val="1"/>
          <c:order val="1"/>
          <c:tx>
            <c:strRef>
              <c:f>'[3010_prognozy NDS_intenzity_výkony.xls]Hárok2'!$C$91</c:f>
              <c:strCache>
                <c:ptCount val="1"/>
                <c:pt idx="0">
                  <c:v>skutočnosť</c:v>
                </c:pt>
              </c:strCache>
            </c:strRef>
          </c:tx>
          <c:spPr>
            <a:solidFill>
              <a:srgbClr val="4BACC6">
                <a:lumMod val="75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'[3010_prognozy NDS_intenzity_výkony.xls]Hárok2'!$D$89:$L$89</c:f>
              <c:numCache>
                <c:formatCode>0</c:formatCode>
                <c:ptCount val="9"/>
                <c:pt idx="0">
                  <c:v>2010</c:v>
                </c:pt>
                <c:pt idx="1">
                  <c:v>2011</c:v>
                </c:pt>
                <c:pt idx="2">
                  <c:v>2012</c:v>
                </c:pt>
                <c:pt idx="3">
                  <c:v>2013</c:v>
                </c:pt>
                <c:pt idx="4">
                  <c:v>2014</c:v>
                </c:pt>
                <c:pt idx="5">
                  <c:v>2015</c:v>
                </c:pt>
                <c:pt idx="6">
                  <c:v>2016</c:v>
                </c:pt>
                <c:pt idx="7">
                  <c:v>2017</c:v>
                </c:pt>
                <c:pt idx="8">
                  <c:v>2018</c:v>
                </c:pt>
              </c:numCache>
            </c:numRef>
          </c:cat>
          <c:val>
            <c:numRef>
              <c:f>'[3010_prognozy NDS_intenzity_výkony.xls]Hárok2'!$D$91:$L$91</c:f>
              <c:numCache>
                <c:formatCode>0</c:formatCode>
                <c:ptCount val="9"/>
                <c:pt idx="0">
                  <c:v>405.83015699999891</c:v>
                </c:pt>
                <c:pt idx="1">
                  <c:v>444.37693099999922</c:v>
                </c:pt>
                <c:pt idx="2">
                  <c:v>426.98620699999873</c:v>
                </c:pt>
                <c:pt idx="3">
                  <c:v>439.07572999999923</c:v>
                </c:pt>
                <c:pt idx="4">
                  <c:v>492.83286299999997</c:v>
                </c:pt>
                <c:pt idx="5">
                  <c:v>514.13858500000003</c:v>
                </c:pt>
                <c:pt idx="6">
                  <c:v>502.21868599999999</c:v>
                </c:pt>
                <c:pt idx="7">
                  <c:v>514.03693999999996</c:v>
                </c:pt>
                <c:pt idx="8">
                  <c:v>523.31523799999832</c:v>
                </c:pt>
              </c:numCache>
            </c:numRef>
          </c:val>
          <c:extLst>
            <c:ext xmlns:c16="http://schemas.microsoft.com/office/drawing/2014/chart" uri="{C3380CC4-5D6E-409C-BE32-E72D297353CC}">
              <c16:uniqueId val="{00000001-DA89-4147-A8C1-C7590AE87906}"/>
            </c:ext>
          </c:extLst>
        </c:ser>
        <c:dLbls>
          <c:showLegendKey val="0"/>
          <c:showVal val="0"/>
          <c:showCatName val="0"/>
          <c:showSerName val="0"/>
          <c:showPercent val="0"/>
          <c:showBubbleSize val="0"/>
        </c:dLbls>
        <c:gapWidth val="150"/>
        <c:axId val="707062016"/>
        <c:axId val="707080192"/>
      </c:barChart>
      <c:catAx>
        <c:axId val="707062016"/>
        <c:scaling>
          <c:orientation val="minMax"/>
        </c:scaling>
        <c:delete val="0"/>
        <c:axPos val="b"/>
        <c:numFmt formatCode="0" sourceLinked="1"/>
        <c:majorTickMark val="out"/>
        <c:minorTickMark val="none"/>
        <c:tickLblPos val="nextTo"/>
        <c:crossAx val="707080192"/>
        <c:crosses val="autoZero"/>
        <c:auto val="1"/>
        <c:lblAlgn val="ctr"/>
        <c:lblOffset val="100"/>
        <c:noMultiLvlLbl val="0"/>
      </c:catAx>
      <c:valAx>
        <c:axId val="707080192"/>
        <c:scaling>
          <c:orientation val="minMax"/>
        </c:scaling>
        <c:delete val="0"/>
        <c:axPos val="l"/>
        <c:numFmt formatCode="0" sourceLinked="1"/>
        <c:majorTickMark val="out"/>
        <c:minorTickMark val="none"/>
        <c:tickLblPos val="nextTo"/>
        <c:crossAx val="707062016"/>
        <c:crosses val="autoZero"/>
        <c:crossBetween val="between"/>
      </c:valAx>
    </c:plotArea>
    <c:legend>
      <c:legendPos val="b"/>
      <c:layout>
        <c:manualLayout>
          <c:xMode val="edge"/>
          <c:yMode val="edge"/>
          <c:x val="0.29718855218855295"/>
          <c:y val="0.85985718883386197"/>
          <c:w val="0.43341750841750842"/>
          <c:h val="0.13791290750146701"/>
        </c:manualLayout>
      </c:layout>
      <c:overlay val="0"/>
    </c:legend>
    <c:plotVisOnly val="1"/>
    <c:dispBlanksAs val="gap"/>
    <c:showDLblsOverMax val="0"/>
  </c:chart>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pPr>
            <a:r>
              <a:rPr lang="sk-SK" sz="1100"/>
              <a:t>Plánované a skutočné kumulované dopravné výkony poviných vozidiel</a:t>
            </a:r>
            <a:r>
              <a:rPr lang="sk-SK" sz="1100" baseline="0"/>
              <a:t> na sieti (mil. vkm)</a:t>
            </a:r>
            <a:endParaRPr lang="sk-SK" sz="1100"/>
          </a:p>
        </c:rich>
      </c:tx>
      <c:overlay val="0"/>
    </c:title>
    <c:autoTitleDeleted val="0"/>
    <c:plotArea>
      <c:layout/>
      <c:barChart>
        <c:barDir val="col"/>
        <c:grouping val="clustered"/>
        <c:varyColors val="0"/>
        <c:ser>
          <c:idx val="0"/>
          <c:order val="0"/>
          <c:tx>
            <c:strRef>
              <c:f>'[3010_prognozy NDS_intenzity_výkony.xls]Hárok2'!$C$65</c:f>
              <c:strCache>
                <c:ptCount val="1"/>
                <c:pt idx="0">
                  <c:v>plán (2009)</c:v>
                </c:pt>
              </c:strCache>
            </c:strRef>
          </c:tx>
          <c:spPr>
            <a:solidFill>
              <a:srgbClr val="EEECE1">
                <a:lumMod val="50000"/>
                <a:alpha val="64000"/>
              </a:srgbClr>
            </a:solidFill>
          </c:spPr>
          <c:invertIfNegative val="0"/>
          <c:dLbls>
            <c:spPr>
              <a:noFill/>
              <a:ln>
                <a:noFill/>
              </a:ln>
              <a:effectLst/>
            </c:spPr>
            <c:txPr>
              <a:bodyPr/>
              <a:lstStyle/>
              <a:p>
                <a:pPr>
                  <a:defRPr sz="800" b="1"/>
                </a:pPr>
                <a:endParaRPr lang="sk-S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'[3010_prognozy NDS_intenzity_výkony.xls]Hárok2'!$D$64:$L$64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'[3010_prognozy NDS_intenzity_výkony.xls]Hárok2'!$D$65:$L$65</c:f>
              <c:numCache>
                <c:formatCode>0</c:formatCode>
                <c:ptCount val="9"/>
                <c:pt idx="0">
                  <c:v>1093.0175874850049</c:v>
                </c:pt>
                <c:pt idx="1">
                  <c:v>1148.4363139199997</c:v>
                </c:pt>
                <c:pt idx="2">
                  <c:v>1229.1465718100001</c:v>
                </c:pt>
                <c:pt idx="3">
                  <c:v>1285.5883380699966</c:v>
                </c:pt>
                <c:pt idx="4">
                  <c:v>1366.30360952</c:v>
                </c:pt>
                <c:pt idx="5">
                  <c:v>1408.0126553700011</c:v>
                </c:pt>
                <c:pt idx="6">
                  <c:v>1456.9775085700001</c:v>
                </c:pt>
                <c:pt idx="7">
                  <c:v>1565.9746617500011</c:v>
                </c:pt>
                <c:pt idx="8">
                  <c:v>1722.61965351</c:v>
                </c:pt>
              </c:numCache>
            </c:numRef>
          </c:val>
          <c:extLst>
            <c:ext xmlns:c16="http://schemas.microsoft.com/office/drawing/2014/chart" uri="{C3380CC4-5D6E-409C-BE32-E72D297353CC}">
              <c16:uniqueId val="{00000000-488F-4B3D-998D-C3CD4D06EF79}"/>
            </c:ext>
          </c:extLst>
        </c:ser>
        <c:ser>
          <c:idx val="1"/>
          <c:order val="1"/>
          <c:tx>
            <c:strRef>
              <c:f>'[3010_prognozy NDS_intenzity_výkony.xls]Hárok2'!$C$66</c:f>
              <c:strCache>
                <c:ptCount val="1"/>
                <c:pt idx="0">
                  <c:v>skutočnosť</c:v>
                </c:pt>
              </c:strCache>
            </c:strRef>
          </c:tx>
          <c:spPr>
            <a:solidFill>
              <a:srgbClr val="EEECE1">
                <a:lumMod val="25000"/>
                <a:alpha val="80000"/>
              </a:srgbClr>
            </a:solidFill>
          </c:spPr>
          <c:invertIfNegative val="0"/>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'[3010_prognozy NDS_intenzity_výkony.xls]Hárok2'!$D$64:$L$64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'[3010_prognozy NDS_intenzity_výkony.xls]Hárok2'!$D$66:$L$66</c:f>
              <c:numCache>
                <c:formatCode>0</c:formatCode>
                <c:ptCount val="9"/>
                <c:pt idx="0">
                  <c:v>924.21677500000055</c:v>
                </c:pt>
                <c:pt idx="1">
                  <c:v>999.55727699999807</c:v>
                </c:pt>
                <c:pt idx="2">
                  <c:v>1010.4209119999994</c:v>
                </c:pt>
                <c:pt idx="3">
                  <c:v>1041.0038970000001</c:v>
                </c:pt>
                <c:pt idx="4">
                  <c:v>1152.1990069999965</c:v>
                </c:pt>
                <c:pt idx="5">
                  <c:v>1218.9600710000011</c:v>
                </c:pt>
                <c:pt idx="6">
                  <c:v>1265.2667409999999</c:v>
                </c:pt>
                <c:pt idx="7">
                  <c:v>1321.867058</c:v>
                </c:pt>
                <c:pt idx="8">
                  <c:v>1374.0784679999999</c:v>
                </c:pt>
              </c:numCache>
            </c:numRef>
          </c:val>
          <c:extLst>
            <c:ext xmlns:c16="http://schemas.microsoft.com/office/drawing/2014/chart" uri="{C3380CC4-5D6E-409C-BE32-E72D297353CC}">
              <c16:uniqueId val="{00000001-488F-4B3D-998D-C3CD4D06EF79}"/>
            </c:ext>
          </c:extLst>
        </c:ser>
        <c:dLbls>
          <c:showLegendKey val="0"/>
          <c:showVal val="0"/>
          <c:showCatName val="0"/>
          <c:showSerName val="0"/>
          <c:showPercent val="0"/>
          <c:showBubbleSize val="0"/>
        </c:dLbls>
        <c:gapWidth val="150"/>
        <c:axId val="707045248"/>
        <c:axId val="707046784"/>
      </c:barChart>
      <c:catAx>
        <c:axId val="707045248"/>
        <c:scaling>
          <c:orientation val="minMax"/>
        </c:scaling>
        <c:delete val="0"/>
        <c:axPos val="b"/>
        <c:numFmt formatCode="General" sourceLinked="1"/>
        <c:majorTickMark val="out"/>
        <c:minorTickMark val="none"/>
        <c:tickLblPos val="nextTo"/>
        <c:crossAx val="707046784"/>
        <c:crosses val="autoZero"/>
        <c:auto val="1"/>
        <c:lblAlgn val="ctr"/>
        <c:lblOffset val="100"/>
        <c:noMultiLvlLbl val="0"/>
      </c:catAx>
      <c:valAx>
        <c:axId val="707046784"/>
        <c:scaling>
          <c:orientation val="minMax"/>
        </c:scaling>
        <c:delete val="0"/>
        <c:axPos val="l"/>
        <c:numFmt formatCode="0" sourceLinked="1"/>
        <c:majorTickMark val="out"/>
        <c:minorTickMark val="none"/>
        <c:tickLblPos val="nextTo"/>
        <c:crossAx val="707045248"/>
        <c:crosses val="autoZero"/>
        <c:crossBetween val="between"/>
      </c:valAx>
    </c:plotArea>
    <c:legend>
      <c:legendPos val="b"/>
      <c:overlay val="0"/>
    </c:legend>
    <c:plotVisOnly val="1"/>
    <c:dispBlanksAs val="gap"/>
    <c:showDLblsOverMax val="0"/>
  </c:chart>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sk-SK" sz="1050"/>
              <a:t>Teoretická výška výnosov EMS SR (mil. €) pri skutočných nákladoch (NDS, a.s.) - zahraničný model efektívnosti </a:t>
            </a:r>
          </a:p>
        </c:rich>
      </c:tx>
      <c:overlay val="0"/>
    </c:title>
    <c:autoTitleDeleted val="0"/>
    <c:plotArea>
      <c:layout>
        <c:manualLayout>
          <c:layoutTarget val="inner"/>
          <c:xMode val="edge"/>
          <c:yMode val="edge"/>
          <c:x val="3.5991552094370056E-2"/>
          <c:y val="0.22043159722222225"/>
          <c:w val="0.95049761528231469"/>
          <c:h val="0.48473090277777781"/>
        </c:manualLayout>
      </c:layout>
      <c:scatterChart>
        <c:scatterStyle val="smoothMarker"/>
        <c:varyColors val="0"/>
        <c:ser>
          <c:idx val="0"/>
          <c:order val="0"/>
          <c:tx>
            <c:strRef>
              <c:f>nds!$K$122</c:f>
              <c:strCache>
                <c:ptCount val="1"/>
                <c:pt idx="0">
                  <c:v>Skutočné náklady SR (NDS, a.s.)</c:v>
                </c:pt>
              </c:strCache>
            </c:strRef>
          </c:tx>
          <c:spPr>
            <a:ln w="19050" cmpd="sng">
              <a:solidFill>
                <a:srgbClr val="C00000"/>
              </a:solidFill>
              <a:prstDash val="dash"/>
            </a:ln>
          </c:spPr>
          <c:marker>
            <c:symbol val="none"/>
          </c:marker>
          <c:xVal>
            <c:numRef>
              <c:f>nds!$J$123:$J$131</c:f>
              <c:numCache>
                <c:formatCode>General</c:formatCode>
                <c:ptCount val="9"/>
                <c:pt idx="0">
                  <c:v>1</c:v>
                </c:pt>
                <c:pt idx="1">
                  <c:v>2</c:v>
                </c:pt>
                <c:pt idx="2">
                  <c:v>3</c:v>
                </c:pt>
                <c:pt idx="3">
                  <c:v>4</c:v>
                </c:pt>
                <c:pt idx="4">
                  <c:v>5</c:v>
                </c:pt>
                <c:pt idx="5">
                  <c:v>6</c:v>
                </c:pt>
                <c:pt idx="6">
                  <c:v>7</c:v>
                </c:pt>
                <c:pt idx="7">
                  <c:v>8</c:v>
                </c:pt>
                <c:pt idx="8">
                  <c:v>9</c:v>
                </c:pt>
              </c:numCache>
            </c:numRef>
          </c:xVal>
          <c:yVal>
            <c:numRef>
              <c:f>nds!$K$123:$K$131</c:f>
              <c:numCache>
                <c:formatCode>General</c:formatCode>
                <c:ptCount val="9"/>
                <c:pt idx="0">
                  <c:v>106.41000000000001</c:v>
                </c:pt>
                <c:pt idx="1">
                  <c:v>102.58</c:v>
                </c:pt>
                <c:pt idx="2">
                  <c:v>70.209999999999994</c:v>
                </c:pt>
                <c:pt idx="3">
                  <c:v>76.11999999999999</c:v>
                </c:pt>
                <c:pt idx="4">
                  <c:v>79.16</c:v>
                </c:pt>
                <c:pt idx="5">
                  <c:v>99.54</c:v>
                </c:pt>
                <c:pt idx="6">
                  <c:v>101.11999999999999</c:v>
                </c:pt>
                <c:pt idx="7">
                  <c:v>102.01</c:v>
                </c:pt>
                <c:pt idx="8">
                  <c:v>104.25</c:v>
                </c:pt>
              </c:numCache>
            </c:numRef>
          </c:yVal>
          <c:smooth val="1"/>
          <c:extLst>
            <c:ext xmlns:c16="http://schemas.microsoft.com/office/drawing/2014/chart" uri="{C3380CC4-5D6E-409C-BE32-E72D297353CC}">
              <c16:uniqueId val="{00000000-C7B5-4AB2-9645-6DE33EFBB7DC}"/>
            </c:ext>
          </c:extLst>
        </c:ser>
        <c:ser>
          <c:idx val="1"/>
          <c:order val="1"/>
          <c:tx>
            <c:strRef>
              <c:f>nds!$L$122</c:f>
              <c:strCache>
                <c:ptCount val="1"/>
                <c:pt idx="0">
                  <c:v>Skutočné výnosy SR (NDS, a.s.) </c:v>
                </c:pt>
              </c:strCache>
            </c:strRef>
          </c:tx>
          <c:spPr>
            <a:ln w="19050" cmpd="sng">
              <a:solidFill>
                <a:srgbClr val="C00000"/>
              </a:solidFill>
            </a:ln>
          </c:spPr>
          <c:marker>
            <c:symbol val="none"/>
          </c:marker>
          <c:xVal>
            <c:numRef>
              <c:f>nds!$J$123:$J$131</c:f>
              <c:numCache>
                <c:formatCode>General</c:formatCode>
                <c:ptCount val="9"/>
                <c:pt idx="0">
                  <c:v>1</c:v>
                </c:pt>
                <c:pt idx="1">
                  <c:v>2</c:v>
                </c:pt>
                <c:pt idx="2">
                  <c:v>3</c:v>
                </c:pt>
                <c:pt idx="3">
                  <c:v>4</c:v>
                </c:pt>
                <c:pt idx="4">
                  <c:v>5</c:v>
                </c:pt>
                <c:pt idx="5">
                  <c:v>6</c:v>
                </c:pt>
                <c:pt idx="6">
                  <c:v>7</c:v>
                </c:pt>
                <c:pt idx="7">
                  <c:v>8</c:v>
                </c:pt>
                <c:pt idx="8">
                  <c:v>9</c:v>
                </c:pt>
              </c:numCache>
            </c:numRef>
          </c:xVal>
          <c:yVal>
            <c:numRef>
              <c:f>nds!$L$123:$L$131</c:f>
              <c:numCache>
                <c:formatCode>General</c:formatCode>
                <c:ptCount val="9"/>
                <c:pt idx="0">
                  <c:v>141.63</c:v>
                </c:pt>
                <c:pt idx="1">
                  <c:v>153.94999999999999</c:v>
                </c:pt>
                <c:pt idx="2">
                  <c:v>154.80000000000001</c:v>
                </c:pt>
                <c:pt idx="3">
                  <c:v>158.66</c:v>
                </c:pt>
                <c:pt idx="4">
                  <c:v>181.54</c:v>
                </c:pt>
                <c:pt idx="5">
                  <c:v>184.92000000000002</c:v>
                </c:pt>
                <c:pt idx="6">
                  <c:v>191.10999999999999</c:v>
                </c:pt>
                <c:pt idx="7">
                  <c:v>198.91</c:v>
                </c:pt>
                <c:pt idx="8">
                  <c:v>211.13</c:v>
                </c:pt>
              </c:numCache>
            </c:numRef>
          </c:yVal>
          <c:smooth val="1"/>
          <c:extLst>
            <c:ext xmlns:c16="http://schemas.microsoft.com/office/drawing/2014/chart" uri="{C3380CC4-5D6E-409C-BE32-E72D297353CC}">
              <c16:uniqueId val="{00000001-C7B5-4AB2-9645-6DE33EFBB7DC}"/>
            </c:ext>
          </c:extLst>
        </c:ser>
        <c:ser>
          <c:idx val="2"/>
          <c:order val="2"/>
          <c:tx>
            <c:strRef>
              <c:f>nds!$M$122</c:f>
              <c:strCache>
                <c:ptCount val="1"/>
                <c:pt idx="0">
                  <c:v>Teoretické výnosy SR acc. DE efektívnosť</c:v>
                </c:pt>
              </c:strCache>
            </c:strRef>
          </c:tx>
          <c:spPr>
            <a:ln w="19050">
              <a:solidFill>
                <a:srgbClr val="FFC000"/>
              </a:solidFill>
            </a:ln>
          </c:spPr>
          <c:marker>
            <c:symbol val="none"/>
          </c:marker>
          <c:xVal>
            <c:numRef>
              <c:f>nds!$J$123:$J$131</c:f>
              <c:numCache>
                <c:formatCode>General</c:formatCode>
                <c:ptCount val="9"/>
                <c:pt idx="0">
                  <c:v>1</c:v>
                </c:pt>
                <c:pt idx="1">
                  <c:v>2</c:v>
                </c:pt>
                <c:pt idx="2">
                  <c:v>3</c:v>
                </c:pt>
                <c:pt idx="3">
                  <c:v>4</c:v>
                </c:pt>
                <c:pt idx="4">
                  <c:v>5</c:v>
                </c:pt>
                <c:pt idx="5">
                  <c:v>6</c:v>
                </c:pt>
                <c:pt idx="6">
                  <c:v>7</c:v>
                </c:pt>
                <c:pt idx="7">
                  <c:v>8</c:v>
                </c:pt>
                <c:pt idx="8">
                  <c:v>9</c:v>
                </c:pt>
              </c:numCache>
            </c:numRef>
          </c:xVal>
          <c:yVal>
            <c:numRef>
              <c:f>nds!$M$123:$M$131</c:f>
              <c:numCache>
                <c:formatCode>General</c:formatCode>
                <c:ptCount val="9"/>
                <c:pt idx="0">
                  <c:v>501.09436363636371</c:v>
                </c:pt>
                <c:pt idx="1">
                  <c:v>558.69464285714309</c:v>
                </c:pt>
                <c:pt idx="2">
                  <c:v>368.88111111111101</c:v>
                </c:pt>
                <c:pt idx="3">
                  <c:v>474.39071428571424</c:v>
                </c:pt>
                <c:pt idx="4">
                  <c:v>634.7459259259258</c:v>
                </c:pt>
                <c:pt idx="5">
                  <c:v>916.17428571428582</c:v>
                </c:pt>
                <c:pt idx="6">
                  <c:v>963.86723404255315</c:v>
                </c:pt>
                <c:pt idx="7">
                  <c:v>780.28701754385975</c:v>
                </c:pt>
                <c:pt idx="8">
                  <c:v>750.25819672131161</c:v>
                </c:pt>
              </c:numCache>
            </c:numRef>
          </c:yVal>
          <c:smooth val="1"/>
          <c:extLst>
            <c:ext xmlns:c16="http://schemas.microsoft.com/office/drawing/2014/chart" uri="{C3380CC4-5D6E-409C-BE32-E72D297353CC}">
              <c16:uniqueId val="{00000002-C7B5-4AB2-9645-6DE33EFBB7DC}"/>
            </c:ext>
          </c:extLst>
        </c:ser>
        <c:ser>
          <c:idx val="3"/>
          <c:order val="3"/>
          <c:tx>
            <c:strRef>
              <c:f>nds!$N$122</c:f>
              <c:strCache>
                <c:ptCount val="1"/>
                <c:pt idx="0">
                  <c:v>Teoretické výnosy SR acc. ČR efektívnosť</c:v>
                </c:pt>
              </c:strCache>
            </c:strRef>
          </c:tx>
          <c:spPr>
            <a:ln w="19050">
              <a:solidFill>
                <a:schemeClr val="tx2"/>
              </a:solidFill>
            </a:ln>
          </c:spPr>
          <c:marker>
            <c:symbol val="none"/>
          </c:marker>
          <c:xVal>
            <c:numRef>
              <c:f>nds!$J$123:$J$131</c:f>
              <c:numCache>
                <c:formatCode>General</c:formatCode>
                <c:ptCount val="9"/>
                <c:pt idx="0">
                  <c:v>1</c:v>
                </c:pt>
                <c:pt idx="1">
                  <c:v>2</c:v>
                </c:pt>
                <c:pt idx="2">
                  <c:v>3</c:v>
                </c:pt>
                <c:pt idx="3">
                  <c:v>4</c:v>
                </c:pt>
                <c:pt idx="4">
                  <c:v>5</c:v>
                </c:pt>
                <c:pt idx="5">
                  <c:v>6</c:v>
                </c:pt>
                <c:pt idx="6">
                  <c:v>7</c:v>
                </c:pt>
                <c:pt idx="7">
                  <c:v>8</c:v>
                </c:pt>
                <c:pt idx="8">
                  <c:v>9</c:v>
                </c:pt>
              </c:numCache>
            </c:numRef>
          </c:xVal>
          <c:yVal>
            <c:numRef>
              <c:f>nds!$N$123:$N$131</c:f>
              <c:numCache>
                <c:formatCode>General</c:formatCode>
                <c:ptCount val="9"/>
                <c:pt idx="0">
                  <c:v>309.74868524161946</c:v>
                </c:pt>
                <c:pt idx="1">
                  <c:v>183.91363278974953</c:v>
                </c:pt>
                <c:pt idx="2">
                  <c:v>81.893443826473842</c:v>
                </c:pt>
                <c:pt idx="3">
                  <c:v>180.17624931255733</c:v>
                </c:pt>
                <c:pt idx="4">
                  <c:v>245.18229471316081</c:v>
                </c:pt>
                <c:pt idx="5">
                  <c:v>536.0467405211424</c:v>
                </c:pt>
                <c:pt idx="6">
                  <c:v>488.34392611054108</c:v>
                </c:pt>
                <c:pt idx="7">
                  <c:v>489.62638771186442</c:v>
                </c:pt>
                <c:pt idx="8">
                  <c:v>582.75505090054821</c:v>
                </c:pt>
              </c:numCache>
            </c:numRef>
          </c:yVal>
          <c:smooth val="1"/>
          <c:extLst>
            <c:ext xmlns:c16="http://schemas.microsoft.com/office/drawing/2014/chart" uri="{C3380CC4-5D6E-409C-BE32-E72D297353CC}">
              <c16:uniqueId val="{00000003-C7B5-4AB2-9645-6DE33EFBB7DC}"/>
            </c:ext>
          </c:extLst>
        </c:ser>
        <c:ser>
          <c:idx val="4"/>
          <c:order val="4"/>
          <c:tx>
            <c:strRef>
              <c:f>nds!$O$122</c:f>
              <c:strCache>
                <c:ptCount val="1"/>
                <c:pt idx="0">
                  <c:v>Teoretické výnosy SR acc. AT efektívnosť</c:v>
                </c:pt>
              </c:strCache>
            </c:strRef>
          </c:tx>
          <c:spPr>
            <a:ln w="19050">
              <a:solidFill>
                <a:schemeClr val="accent3">
                  <a:lumMod val="50000"/>
                </a:schemeClr>
              </a:solidFill>
            </a:ln>
          </c:spPr>
          <c:marker>
            <c:symbol val="none"/>
          </c:marker>
          <c:xVal>
            <c:numRef>
              <c:f>nds!$J$123:$J$131</c:f>
              <c:numCache>
                <c:formatCode>General</c:formatCode>
                <c:ptCount val="9"/>
                <c:pt idx="0">
                  <c:v>1</c:v>
                </c:pt>
                <c:pt idx="1">
                  <c:v>2</c:v>
                </c:pt>
                <c:pt idx="2">
                  <c:v>3</c:v>
                </c:pt>
                <c:pt idx="3">
                  <c:v>4</c:v>
                </c:pt>
                <c:pt idx="4">
                  <c:v>5</c:v>
                </c:pt>
                <c:pt idx="5">
                  <c:v>6</c:v>
                </c:pt>
                <c:pt idx="6">
                  <c:v>7</c:v>
                </c:pt>
                <c:pt idx="7">
                  <c:v>8</c:v>
                </c:pt>
                <c:pt idx="8">
                  <c:v>9</c:v>
                </c:pt>
              </c:numCache>
            </c:numRef>
          </c:xVal>
          <c:yVal>
            <c:numRef>
              <c:f>nds!$O$123:$O$131</c:f>
              <c:numCache>
                <c:formatCode>General</c:formatCode>
                <c:ptCount val="9"/>
                <c:pt idx="0">
                  <c:v>886.79141492410588</c:v>
                </c:pt>
                <c:pt idx="1">
                  <c:v>854.80157481940137</c:v>
                </c:pt>
                <c:pt idx="2">
                  <c:v>585.09278731569373</c:v>
                </c:pt>
                <c:pt idx="3">
                  <c:v>634.33548288715679</c:v>
                </c:pt>
                <c:pt idx="4">
                  <c:v>659.67349937225367</c:v>
                </c:pt>
                <c:pt idx="5">
                  <c:v>829.501194169516</c:v>
                </c:pt>
                <c:pt idx="6">
                  <c:v>842.67483996120302</c:v>
                </c:pt>
                <c:pt idx="7">
                  <c:v>850.05399482312339</c:v>
                </c:pt>
                <c:pt idx="8">
                  <c:v>868.75787803219225</c:v>
                </c:pt>
              </c:numCache>
            </c:numRef>
          </c:yVal>
          <c:smooth val="1"/>
          <c:extLst>
            <c:ext xmlns:c16="http://schemas.microsoft.com/office/drawing/2014/chart" uri="{C3380CC4-5D6E-409C-BE32-E72D297353CC}">
              <c16:uniqueId val="{00000004-C7B5-4AB2-9645-6DE33EFBB7DC}"/>
            </c:ext>
          </c:extLst>
        </c:ser>
        <c:ser>
          <c:idx val="5"/>
          <c:order val="5"/>
          <c:tx>
            <c:strRef>
              <c:f>nds!$P$122</c:f>
              <c:strCache>
                <c:ptCount val="1"/>
                <c:pt idx="0">
                  <c:v>Teoretické výnosy SR acc. PL efektívnosť</c:v>
                </c:pt>
              </c:strCache>
            </c:strRef>
          </c:tx>
          <c:spPr>
            <a:ln w="19050">
              <a:solidFill>
                <a:schemeClr val="accent4">
                  <a:lumMod val="75000"/>
                </a:schemeClr>
              </a:solidFill>
            </a:ln>
          </c:spPr>
          <c:marker>
            <c:symbol val="none"/>
          </c:marker>
          <c:xVal>
            <c:numRef>
              <c:f>nds!$J$123:$J$131</c:f>
              <c:numCache>
                <c:formatCode>General</c:formatCode>
                <c:ptCount val="9"/>
                <c:pt idx="0">
                  <c:v>1</c:v>
                </c:pt>
                <c:pt idx="1">
                  <c:v>2</c:v>
                </c:pt>
                <c:pt idx="2">
                  <c:v>3</c:v>
                </c:pt>
                <c:pt idx="3">
                  <c:v>4</c:v>
                </c:pt>
                <c:pt idx="4">
                  <c:v>5</c:v>
                </c:pt>
                <c:pt idx="5">
                  <c:v>6</c:v>
                </c:pt>
                <c:pt idx="6">
                  <c:v>7</c:v>
                </c:pt>
                <c:pt idx="7">
                  <c:v>8</c:v>
                </c:pt>
                <c:pt idx="8">
                  <c:v>9</c:v>
                </c:pt>
              </c:numCache>
            </c:numRef>
          </c:xVal>
          <c:yVal>
            <c:numRef>
              <c:f>nds!$P$123:$P$131</c:f>
              <c:numCache>
                <c:formatCode>General</c:formatCode>
                <c:ptCount val="9"/>
                <c:pt idx="0">
                  <c:v>61.429767393561789</c:v>
                </c:pt>
                <c:pt idx="1">
                  <c:v>85.117804805189252</c:v>
                </c:pt>
                <c:pt idx="2">
                  <c:v>190.01491321009919</c:v>
                </c:pt>
                <c:pt idx="3">
                  <c:v>223.24785949506034</c:v>
                </c:pt>
                <c:pt idx="4">
                  <c:v>299.73401637426895</c:v>
                </c:pt>
                <c:pt idx="5">
                  <c:v>367.58102005607077</c:v>
                </c:pt>
                <c:pt idx="6">
                  <c:v>416.76759600210414</c:v>
                </c:pt>
                <c:pt idx="7">
                  <c:v>452.28944198778692</c:v>
                </c:pt>
              </c:numCache>
            </c:numRef>
          </c:yVal>
          <c:smooth val="1"/>
          <c:extLst>
            <c:ext xmlns:c16="http://schemas.microsoft.com/office/drawing/2014/chart" uri="{C3380CC4-5D6E-409C-BE32-E72D297353CC}">
              <c16:uniqueId val="{00000005-C7B5-4AB2-9645-6DE33EFBB7DC}"/>
            </c:ext>
          </c:extLst>
        </c:ser>
        <c:dLbls>
          <c:showLegendKey val="0"/>
          <c:showVal val="0"/>
          <c:showCatName val="0"/>
          <c:showSerName val="0"/>
          <c:showPercent val="0"/>
          <c:showBubbleSize val="0"/>
        </c:dLbls>
        <c:axId val="707226624"/>
        <c:axId val="707244800"/>
      </c:scatterChart>
      <c:valAx>
        <c:axId val="707226624"/>
        <c:scaling>
          <c:orientation val="minMax"/>
          <c:max val="9"/>
          <c:min val="1"/>
        </c:scaling>
        <c:delete val="0"/>
        <c:axPos val="b"/>
        <c:numFmt formatCode="General" sourceLinked="1"/>
        <c:majorTickMark val="out"/>
        <c:minorTickMark val="none"/>
        <c:tickLblPos val="nextTo"/>
        <c:crossAx val="707244800"/>
        <c:crosses val="autoZero"/>
        <c:crossBetween val="midCat"/>
      </c:valAx>
      <c:valAx>
        <c:axId val="707244800"/>
        <c:scaling>
          <c:orientation val="minMax"/>
        </c:scaling>
        <c:delete val="0"/>
        <c:axPos val="l"/>
        <c:numFmt formatCode="General" sourceLinked="1"/>
        <c:majorTickMark val="out"/>
        <c:minorTickMark val="none"/>
        <c:tickLblPos val="nextTo"/>
        <c:crossAx val="707226624"/>
        <c:crosses val="autoZero"/>
        <c:crossBetween val="midCat"/>
      </c:valAx>
      <c:spPr>
        <a:ln w="3175">
          <a:solidFill>
            <a:schemeClr val="bg1">
              <a:lumMod val="50000"/>
            </a:schemeClr>
          </a:solidFill>
        </a:ln>
      </c:spPr>
    </c:plotArea>
    <c:legend>
      <c:legendPos val="b"/>
      <c:layout>
        <c:manualLayout>
          <c:xMode val="edge"/>
          <c:yMode val="edge"/>
          <c:x val="2.5637896278465124E-4"/>
          <c:y val="0.81098880093823633"/>
          <c:w val="0.99521128538782988"/>
          <c:h val="0.16843868378019164"/>
        </c:manualLayout>
      </c:layout>
      <c:overlay val="0"/>
      <c:txPr>
        <a:bodyPr/>
        <a:lstStyle/>
        <a:p>
          <a:pPr>
            <a:defRPr sz="900"/>
          </a:pPr>
          <a:endParaRPr lang="sk-SK"/>
        </a:p>
      </c:txPr>
    </c:legend>
    <c:plotVisOnly val="1"/>
    <c:dispBlanksAs val="gap"/>
    <c:showDLblsOverMax val="0"/>
  </c:chart>
  <c:spPr>
    <a:solidFill>
      <a:schemeClr val="bg1">
        <a:lumMod val="85000"/>
      </a:schemeClr>
    </a:solidFill>
  </c:spPr>
  <c:externalData r:id="rId1">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780" b="1" i="0" u="none" strike="noStrike" kern="1200" baseline="0">
                <a:solidFill>
                  <a:sysClr val="windowText" lastClr="000000"/>
                </a:solidFill>
                <a:latin typeface="+mn-lt"/>
                <a:ea typeface="+mn-ea"/>
                <a:cs typeface="+mn-cs"/>
              </a:defRPr>
            </a:pPr>
            <a:r>
              <a:rPr lang="sk-SK" sz="1100"/>
              <a:t>Priemerná  ročná teoretická výška výnosov EMS SR (mil. €) pri skutočných nákladoch (NDS, a.s.)  - zahraničný model efektívnosti </a:t>
            </a:r>
          </a:p>
        </c:rich>
      </c:tx>
      <c:overlay val="0"/>
    </c:title>
    <c:autoTitleDeleted val="0"/>
    <c:plotArea>
      <c:layout>
        <c:manualLayout>
          <c:layoutTarget val="inner"/>
          <c:xMode val="edge"/>
          <c:yMode val="edge"/>
          <c:x val="6.2150604826559923E-2"/>
          <c:y val="0.2591417834145987"/>
          <c:w val="0.90178514163548917"/>
          <c:h val="0.49390648255942482"/>
        </c:manualLayout>
      </c:layout>
      <c:barChart>
        <c:barDir val="col"/>
        <c:grouping val="clustered"/>
        <c:varyColors val="0"/>
        <c:ser>
          <c:idx val="0"/>
          <c:order val="0"/>
          <c:spPr>
            <a:solidFill>
              <a:srgbClr val="C00000"/>
            </a:solidFill>
          </c:spPr>
          <c:invertIfNegative val="0"/>
          <c:dPt>
            <c:idx val="2"/>
            <c:invertIfNegative val="0"/>
            <c:bubble3D val="0"/>
            <c:spPr>
              <a:solidFill>
                <a:srgbClr val="FFC000"/>
              </a:solidFill>
            </c:spPr>
            <c:extLst>
              <c:ext xmlns:c16="http://schemas.microsoft.com/office/drawing/2014/chart" uri="{C3380CC4-5D6E-409C-BE32-E72D297353CC}">
                <c16:uniqueId val="{00000000-6D6A-4F69-8948-24C41618E01D}"/>
              </c:ext>
            </c:extLst>
          </c:dPt>
          <c:dPt>
            <c:idx val="3"/>
            <c:invertIfNegative val="0"/>
            <c:bubble3D val="0"/>
            <c:spPr>
              <a:solidFill>
                <a:schemeClr val="tx2"/>
              </a:solidFill>
            </c:spPr>
            <c:extLst>
              <c:ext xmlns:c16="http://schemas.microsoft.com/office/drawing/2014/chart" uri="{C3380CC4-5D6E-409C-BE32-E72D297353CC}">
                <c16:uniqueId val="{00000001-6D6A-4F69-8948-24C41618E01D}"/>
              </c:ext>
            </c:extLst>
          </c:dPt>
          <c:dPt>
            <c:idx val="4"/>
            <c:invertIfNegative val="0"/>
            <c:bubble3D val="0"/>
            <c:spPr>
              <a:solidFill>
                <a:schemeClr val="accent3">
                  <a:lumMod val="50000"/>
                </a:schemeClr>
              </a:solidFill>
            </c:spPr>
            <c:extLst>
              <c:ext xmlns:c16="http://schemas.microsoft.com/office/drawing/2014/chart" uri="{C3380CC4-5D6E-409C-BE32-E72D297353CC}">
                <c16:uniqueId val="{00000002-6D6A-4F69-8948-24C41618E01D}"/>
              </c:ext>
            </c:extLst>
          </c:dPt>
          <c:dPt>
            <c:idx val="5"/>
            <c:invertIfNegative val="0"/>
            <c:bubble3D val="0"/>
            <c:spPr>
              <a:solidFill>
                <a:schemeClr val="accent4">
                  <a:lumMod val="75000"/>
                </a:schemeClr>
              </a:solidFill>
            </c:spPr>
            <c:extLst>
              <c:ext xmlns:c16="http://schemas.microsoft.com/office/drawing/2014/chart" uri="{C3380CC4-5D6E-409C-BE32-E72D297353CC}">
                <c16:uniqueId val="{00000003-6D6A-4F69-8948-24C41618E01D}"/>
              </c:ext>
            </c:extLst>
          </c:dPt>
          <c:dLbls>
            <c:spPr>
              <a:noFill/>
              <a:ln>
                <a:noFill/>
              </a:ln>
              <a:effectLst/>
            </c:spPr>
            <c:txPr>
              <a:bodyPr/>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nds!$V$66:$Z$67</c:f>
              <c:multiLvlStrCache>
                <c:ptCount val="5"/>
                <c:lvl>
                  <c:pt idx="0">
                    <c:v>NDS, a.s.</c:v>
                  </c:pt>
                  <c:pt idx="1">
                    <c:v>NDS, a.s.</c:v>
                  </c:pt>
                  <c:pt idx="2">
                    <c:v>DE efektívnosť</c:v>
                  </c:pt>
                  <c:pt idx="3">
                    <c:v>ČR efektívnosť</c:v>
                  </c:pt>
                  <c:pt idx="4">
                    <c:v>AT efektívnosť</c:v>
                  </c:pt>
                </c:lvl>
                <c:lvl>
                  <c:pt idx="0">
                    <c:v>
SKUTOČNÉ NÁKLADY SR</c:v>
                  </c:pt>
                  <c:pt idx="1">
                    <c:v>
SKUTOČNÉ VÝNOSY SR</c:v>
                  </c:pt>
                  <c:pt idx="2">
                    <c:v>
TEORETICKÉ VÝNOSY SR PRI EFEKTÍVNOSTI SYSTÉMOV POROVNÁVANÝCH ŠTÁTOV </c:v>
                  </c:pt>
                </c:lvl>
              </c:multiLvlStrCache>
            </c:multiLvlStrRef>
          </c:cat>
          <c:val>
            <c:numRef>
              <c:f>nds!$V$77:$Z$77</c:f>
              <c:numCache>
                <c:formatCode>0.00</c:formatCode>
                <c:ptCount val="5"/>
                <c:pt idx="0">
                  <c:v>93.488888888888866</c:v>
                </c:pt>
                <c:pt idx="1">
                  <c:v>175.18333333333337</c:v>
                </c:pt>
                <c:pt idx="2">
                  <c:v>660.932610204252</c:v>
                </c:pt>
                <c:pt idx="3">
                  <c:v>344.18737901418405</c:v>
                </c:pt>
                <c:pt idx="4">
                  <c:v>779.07585181162733</c:v>
                </c:pt>
              </c:numCache>
            </c:numRef>
          </c:val>
          <c:extLst>
            <c:ext xmlns:c16="http://schemas.microsoft.com/office/drawing/2014/chart" uri="{C3380CC4-5D6E-409C-BE32-E72D297353CC}">
              <c16:uniqueId val="{00000004-6D6A-4F69-8948-24C41618E01D}"/>
            </c:ext>
          </c:extLst>
        </c:ser>
        <c:dLbls>
          <c:showLegendKey val="0"/>
          <c:showVal val="0"/>
          <c:showCatName val="0"/>
          <c:showSerName val="0"/>
          <c:showPercent val="0"/>
          <c:showBubbleSize val="0"/>
        </c:dLbls>
        <c:gapWidth val="150"/>
        <c:axId val="707279104"/>
        <c:axId val="707284992"/>
      </c:barChart>
      <c:catAx>
        <c:axId val="707279104"/>
        <c:scaling>
          <c:orientation val="minMax"/>
        </c:scaling>
        <c:delete val="0"/>
        <c:axPos val="b"/>
        <c:numFmt formatCode="General" sourceLinked="1"/>
        <c:majorTickMark val="out"/>
        <c:minorTickMark val="none"/>
        <c:tickLblPos val="nextTo"/>
        <c:crossAx val="707284992"/>
        <c:crosses val="autoZero"/>
        <c:auto val="0"/>
        <c:lblAlgn val="ctr"/>
        <c:lblOffset val="100"/>
        <c:noMultiLvlLbl val="0"/>
      </c:catAx>
      <c:valAx>
        <c:axId val="707284992"/>
        <c:scaling>
          <c:orientation val="minMax"/>
        </c:scaling>
        <c:delete val="0"/>
        <c:axPos val="l"/>
        <c:numFmt formatCode="0" sourceLinked="0"/>
        <c:majorTickMark val="out"/>
        <c:minorTickMark val="none"/>
        <c:tickLblPos val="nextTo"/>
        <c:crossAx val="707279104"/>
        <c:crosses val="autoZero"/>
        <c:crossBetween val="between"/>
      </c:valAx>
      <c:spPr>
        <a:ln>
          <a:noFill/>
        </a:ln>
      </c:spPr>
    </c:plotArea>
    <c:plotVisOnly val="1"/>
    <c:dispBlanksAs val="gap"/>
    <c:showDLblsOverMax val="0"/>
  </c:chart>
  <c:txPr>
    <a:bodyPr/>
    <a:lstStyle/>
    <a:p>
      <a:pPr>
        <a:defRPr sz="650"/>
      </a:pPr>
      <a:endParaRPr lang="sk-SK"/>
    </a:p>
  </c:txPr>
  <c:externalData r:id="rId1">
    <c:autoUpdate val="0"/>
  </c:externalData>
  <c:userShapes r:id="rId2"/>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sk-SK" sz="1100"/>
              <a:t>Predpokladaný nárast intenzít v jedotlivých krajoch SR v období rokov </a:t>
            </a:r>
          </a:p>
          <a:p>
            <a:pPr>
              <a:defRPr sz="1400"/>
            </a:pPr>
            <a:r>
              <a:rPr lang="sk-SK" sz="1100"/>
              <a:t>2018 - 2023</a:t>
            </a:r>
          </a:p>
        </c:rich>
      </c:tx>
      <c:layout>
        <c:manualLayout>
          <c:xMode val="edge"/>
          <c:yMode val="edge"/>
          <c:x val="0.11893215488215501"/>
          <c:y val="2.8388047579292051E-2"/>
        </c:manualLayout>
      </c:layout>
      <c:overlay val="0"/>
    </c:title>
    <c:autoTitleDeleted val="0"/>
    <c:plotArea>
      <c:layout>
        <c:manualLayout>
          <c:layoutTarget val="inner"/>
          <c:xMode val="edge"/>
          <c:yMode val="edge"/>
          <c:x val="7.6338644603253389E-2"/>
          <c:y val="0.16583920849422576"/>
          <c:w val="0.87473796914238755"/>
          <c:h val="0.6709201216924775"/>
        </c:manualLayout>
      </c:layout>
      <c:barChart>
        <c:barDir val="col"/>
        <c:grouping val="clustered"/>
        <c:varyColors val="0"/>
        <c:ser>
          <c:idx val="2"/>
          <c:order val="0"/>
          <c:tx>
            <c:strRef>
              <c:f>'Prognóza intenzít'!$B$29</c:f>
              <c:strCache>
                <c:ptCount val="1"/>
                <c:pt idx="0">
                  <c:v>nárast intenzít na I.tr.</c:v>
                </c:pt>
              </c:strCache>
            </c:strRef>
          </c:tx>
          <c:spPr>
            <a:solidFill>
              <a:srgbClr val="31859C"/>
            </a:solidFill>
          </c:spPr>
          <c:invertIfNegative val="0"/>
          <c:dLbls>
            <c:dLbl>
              <c:idx val="0"/>
              <c:layout>
                <c:manualLayout>
                  <c:x val="-4.2760942760942684E-3"/>
                  <c:y val="5.434552370470440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3CB-468F-ACE1-4F70DA41D1E2}"/>
                </c:ext>
              </c:extLst>
            </c:dLbl>
            <c:numFmt formatCode="0.0%" sourceLinked="0"/>
            <c:spPr>
              <a:noFill/>
              <a:ln>
                <a:noFill/>
              </a:ln>
              <a:effectLst/>
            </c:spPr>
            <c:txPr>
              <a:bodyPr rot="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('Prognóza intenzít'!$Q$14;'Prognóza intenzít'!$Q$16;'Prognóza intenzít'!$Q$18;'Prognóza intenzít'!$Q$20;'Prognóza intenzít'!$Q$22;'Prognóza intenzít'!$Q$24;'Prognóza intenzít'!$Q$26;'Prognóza intenzít'!$Q$28)</c:f>
              <c:numCache>
                <c:formatCode>0.00%</c:formatCode>
                <c:ptCount val="8"/>
                <c:pt idx="0">
                  <c:v>0.10000000000000003</c:v>
                </c:pt>
                <c:pt idx="1">
                  <c:v>0.21733333333333352</c:v>
                </c:pt>
                <c:pt idx="2">
                  <c:v>4.6000000000000062E-2</c:v>
                </c:pt>
                <c:pt idx="3">
                  <c:v>9.0000000000000024E-2</c:v>
                </c:pt>
                <c:pt idx="4">
                  <c:v>6.7999999999999894E-2</c:v>
                </c:pt>
                <c:pt idx="5">
                  <c:v>9.6000000000000002E-2</c:v>
                </c:pt>
                <c:pt idx="6">
                  <c:v>9.4000000000000028E-2</c:v>
                </c:pt>
                <c:pt idx="7">
                  <c:v>9.4000000000000028E-2</c:v>
                </c:pt>
              </c:numCache>
            </c:numRef>
          </c:val>
          <c:extLst>
            <c:ext xmlns:c16="http://schemas.microsoft.com/office/drawing/2014/chart" uri="{C3380CC4-5D6E-409C-BE32-E72D297353CC}">
              <c16:uniqueId val="{00000001-D3CB-468F-ACE1-4F70DA41D1E2}"/>
            </c:ext>
          </c:extLst>
        </c:ser>
        <c:ser>
          <c:idx val="0"/>
          <c:order val="1"/>
          <c:tx>
            <c:strRef>
              <c:f>'Prognóza intenzít'!$B$12</c:f>
              <c:strCache>
                <c:ptCount val="1"/>
                <c:pt idx="0">
                  <c:v>nárast intenzít na D+R</c:v>
                </c:pt>
              </c:strCache>
            </c:strRef>
          </c:tx>
          <c:spPr>
            <a:solidFill>
              <a:srgbClr val="C00000"/>
            </a:solidFill>
          </c:spPr>
          <c:invertIfNegative val="0"/>
          <c:dLbls>
            <c:dLbl>
              <c:idx val="1"/>
              <c:layout>
                <c:manualLayout>
                  <c:x val="8.4770284210733491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3CB-468F-ACE1-4F70DA41D1E2}"/>
                </c:ext>
              </c:extLst>
            </c:dLbl>
            <c:numFmt formatCode="0.0%" sourceLinked="0"/>
            <c:spPr>
              <a:noFill/>
              <a:ln>
                <a:noFill/>
              </a:ln>
              <a:effectLst/>
            </c:spPr>
            <c:txPr>
              <a:bodyPr rot="0" vert="horz"/>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('Prognóza intenzít'!$B$13;'Prognóza intenzít'!$B$15;'Prognóza intenzít'!$B$17;'Prognóza intenzít'!$B$19;'Prognóza intenzít'!$B$21;'Prognóza intenzít'!$B$23;'Prognóza intenzít'!$B$25;'Prognóza intenzít'!$B$27)</c:f>
              <c:strCache>
                <c:ptCount val="8"/>
                <c:pt idx="0">
                  <c:v>BA</c:v>
                </c:pt>
                <c:pt idx="1">
                  <c:v>TT</c:v>
                </c:pt>
                <c:pt idx="2">
                  <c:v>TN</c:v>
                </c:pt>
                <c:pt idx="3">
                  <c:v>NR</c:v>
                </c:pt>
                <c:pt idx="4">
                  <c:v>ZA</c:v>
                </c:pt>
                <c:pt idx="5">
                  <c:v>BB</c:v>
                </c:pt>
                <c:pt idx="6">
                  <c:v>PO</c:v>
                </c:pt>
                <c:pt idx="7">
                  <c:v>KE</c:v>
                </c:pt>
              </c:strCache>
            </c:strRef>
          </c:cat>
          <c:val>
            <c:numRef>
              <c:f>('Prognóza intenzít'!$Q$13;'Prognóza intenzít'!$Q$15;'Prognóza intenzít'!$Q$17;'Prognóza intenzít'!$Q$19;'Prognóza intenzít'!$Q$21;'Prognóza intenzít'!$Q$23;'Prognóza intenzít'!$Q$25;'Prognóza intenzít'!$Q$27)</c:f>
              <c:numCache>
                <c:formatCode>0.00%</c:formatCode>
                <c:ptCount val="8"/>
                <c:pt idx="0">
                  <c:v>0.12400000000000012</c:v>
                </c:pt>
                <c:pt idx="1">
                  <c:v>0.13600000000000001</c:v>
                </c:pt>
                <c:pt idx="2">
                  <c:v>8.2000000000000281E-2</c:v>
                </c:pt>
                <c:pt idx="3">
                  <c:v>0.1360000000000002</c:v>
                </c:pt>
                <c:pt idx="4">
                  <c:v>0.18300000000000016</c:v>
                </c:pt>
                <c:pt idx="5">
                  <c:v>0.125</c:v>
                </c:pt>
                <c:pt idx="6">
                  <c:v>0.126</c:v>
                </c:pt>
                <c:pt idx="7">
                  <c:v>0.13666666666666669</c:v>
                </c:pt>
              </c:numCache>
            </c:numRef>
          </c:val>
          <c:extLst>
            <c:ext xmlns:c16="http://schemas.microsoft.com/office/drawing/2014/chart" uri="{C3380CC4-5D6E-409C-BE32-E72D297353CC}">
              <c16:uniqueId val="{00000003-D3CB-468F-ACE1-4F70DA41D1E2}"/>
            </c:ext>
          </c:extLst>
        </c:ser>
        <c:dLbls>
          <c:showLegendKey val="0"/>
          <c:showVal val="0"/>
          <c:showCatName val="0"/>
          <c:showSerName val="0"/>
          <c:showPercent val="0"/>
          <c:showBubbleSize val="0"/>
        </c:dLbls>
        <c:gapWidth val="48"/>
        <c:axId val="707352832"/>
        <c:axId val="707465216"/>
      </c:barChart>
      <c:catAx>
        <c:axId val="707352832"/>
        <c:scaling>
          <c:orientation val="minMax"/>
        </c:scaling>
        <c:delete val="0"/>
        <c:axPos val="b"/>
        <c:numFmt formatCode="General" sourceLinked="1"/>
        <c:majorTickMark val="out"/>
        <c:minorTickMark val="none"/>
        <c:tickLblPos val="nextTo"/>
        <c:txPr>
          <a:bodyPr/>
          <a:lstStyle/>
          <a:p>
            <a:pPr>
              <a:defRPr sz="900"/>
            </a:pPr>
            <a:endParaRPr lang="sk-SK"/>
          </a:p>
        </c:txPr>
        <c:crossAx val="707465216"/>
        <c:crosses val="autoZero"/>
        <c:auto val="1"/>
        <c:lblAlgn val="ctr"/>
        <c:lblOffset val="100"/>
        <c:noMultiLvlLbl val="0"/>
      </c:catAx>
      <c:valAx>
        <c:axId val="707465216"/>
        <c:scaling>
          <c:orientation val="minMax"/>
          <c:max val="0.25"/>
          <c:min val="0"/>
        </c:scaling>
        <c:delete val="0"/>
        <c:axPos val="l"/>
        <c:numFmt formatCode="0%" sourceLinked="0"/>
        <c:majorTickMark val="out"/>
        <c:minorTickMark val="none"/>
        <c:tickLblPos val="nextTo"/>
        <c:txPr>
          <a:bodyPr/>
          <a:lstStyle/>
          <a:p>
            <a:pPr>
              <a:defRPr sz="900"/>
            </a:pPr>
            <a:endParaRPr lang="sk-SK"/>
          </a:p>
        </c:txPr>
        <c:crossAx val="707352832"/>
        <c:crosses val="autoZero"/>
        <c:crossBetween val="between"/>
      </c:valAx>
      <c:spPr>
        <a:noFill/>
        <a:ln w="25400">
          <a:noFill/>
        </a:ln>
      </c:spPr>
    </c:plotArea>
    <c:legend>
      <c:legendPos val="b"/>
      <c:layout>
        <c:manualLayout>
          <c:xMode val="edge"/>
          <c:yMode val="edge"/>
          <c:x val="0.31184968691140807"/>
          <c:y val="0.92543618299913677"/>
          <c:w val="0.48276977225161588"/>
          <c:h val="6.5029356879522979E-2"/>
        </c:manualLayout>
      </c:layout>
      <c:overlay val="0"/>
      <c:txPr>
        <a:bodyPr/>
        <a:lstStyle/>
        <a:p>
          <a:pPr>
            <a:defRPr sz="900"/>
          </a:pPr>
          <a:endParaRPr lang="sk-SK"/>
        </a:p>
      </c:txPr>
    </c:legend>
    <c:plotVisOnly val="1"/>
    <c:dispBlanksAs val="gap"/>
    <c:showDLblsOverMax val="0"/>
  </c:chart>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100" b="1" i="0" baseline="0"/>
              <a:t>Prepočítaný rast výnosov </a:t>
            </a:r>
            <a:r>
              <a:rPr lang="sk-SK" sz="1100" b="1" i="0" baseline="0"/>
              <a:t>(mil.€) </a:t>
            </a:r>
            <a:r>
              <a:rPr lang="en-US" sz="1100" b="1" i="0" baseline="0"/>
              <a:t>na spoplatnených </a:t>
            </a:r>
            <a:r>
              <a:rPr lang="sk-SK" sz="1100" b="1" i="0" baseline="0"/>
              <a:t>ú</a:t>
            </a:r>
            <a:r>
              <a:rPr lang="en-US" sz="1100" b="1" i="0" baseline="0"/>
              <a:t>sekoch </a:t>
            </a:r>
            <a:r>
              <a:rPr lang="sk-SK" sz="1100" b="1" i="0" baseline="0"/>
              <a:t> ciest EMS SR  v období rokov 2</a:t>
            </a:r>
            <a:r>
              <a:rPr lang="en-US" sz="1100" b="1" i="0" baseline="0"/>
              <a:t>019 - 2023</a:t>
            </a:r>
            <a:endParaRPr lang="sk-SK" sz="1100"/>
          </a:p>
        </c:rich>
      </c:tx>
      <c:overlay val="0"/>
    </c:title>
    <c:autoTitleDeleted val="0"/>
    <c:plotArea>
      <c:layout/>
      <c:barChart>
        <c:barDir val="col"/>
        <c:grouping val="clustered"/>
        <c:varyColors val="0"/>
        <c:ser>
          <c:idx val="0"/>
          <c:order val="0"/>
          <c:tx>
            <c:strRef>
              <c:f>'Prognóza intenzít'!$A$85</c:f>
              <c:strCache>
                <c:ptCount val="1"/>
                <c:pt idx="0">
                  <c:v>výnosy na D a R </c:v>
                </c:pt>
              </c:strCache>
            </c:strRef>
          </c:tx>
          <c:spPr>
            <a:solidFill>
              <a:srgbClr val="C00000"/>
            </a:solidFill>
          </c:spPr>
          <c:invertIfNegative val="0"/>
          <c:dPt>
            <c:idx val="0"/>
            <c:invertIfNegative val="0"/>
            <c:bubble3D val="0"/>
            <c:spPr>
              <a:solidFill>
                <a:srgbClr val="C00000">
                  <a:alpha val="43000"/>
                </a:srgbClr>
              </a:solidFill>
            </c:spPr>
            <c:extLst>
              <c:ext xmlns:c16="http://schemas.microsoft.com/office/drawing/2014/chart" uri="{C3380CC4-5D6E-409C-BE32-E72D297353CC}">
                <c16:uniqueId val="{00000001-A008-446A-910D-FE2715225B7A}"/>
              </c:ext>
            </c:extLst>
          </c:dPt>
          <c:dPt>
            <c:idx val="1"/>
            <c:invertIfNegative val="0"/>
            <c:bubble3D val="0"/>
            <c:spPr>
              <a:solidFill>
                <a:srgbClr val="C00000">
                  <a:alpha val="43000"/>
                </a:srgbClr>
              </a:solidFill>
            </c:spPr>
            <c:extLst>
              <c:ext xmlns:c16="http://schemas.microsoft.com/office/drawing/2014/chart" uri="{C3380CC4-5D6E-409C-BE32-E72D297353CC}">
                <c16:uniqueId val="{00000003-A008-446A-910D-FE2715225B7A}"/>
              </c:ext>
            </c:extLst>
          </c:dPt>
          <c:dPt>
            <c:idx val="2"/>
            <c:invertIfNegative val="0"/>
            <c:bubble3D val="0"/>
            <c:spPr>
              <a:solidFill>
                <a:srgbClr val="C00000">
                  <a:alpha val="43000"/>
                </a:srgbClr>
              </a:solidFill>
            </c:spPr>
            <c:extLst>
              <c:ext xmlns:c16="http://schemas.microsoft.com/office/drawing/2014/chart" uri="{C3380CC4-5D6E-409C-BE32-E72D297353CC}">
                <c16:uniqueId val="{00000005-A008-446A-910D-FE2715225B7A}"/>
              </c:ext>
            </c:extLst>
          </c:dPt>
          <c:dPt>
            <c:idx val="3"/>
            <c:invertIfNegative val="0"/>
            <c:bubble3D val="0"/>
            <c:spPr>
              <a:solidFill>
                <a:srgbClr val="C00000">
                  <a:alpha val="43000"/>
                </a:srgbClr>
              </a:solidFill>
            </c:spPr>
            <c:extLst>
              <c:ext xmlns:c16="http://schemas.microsoft.com/office/drawing/2014/chart" uri="{C3380CC4-5D6E-409C-BE32-E72D297353CC}">
                <c16:uniqueId val="{00000007-A008-446A-910D-FE2715225B7A}"/>
              </c:ext>
            </c:extLst>
          </c:dPt>
          <c:cat>
            <c:numRef>
              <c:f>'Prognóza intenzít'!$B$84:$J$84</c:f>
              <c:numCache>
                <c:formatCode>0</c:formatCode>
                <c:ptCount val="9"/>
                <c:pt idx="0">
                  <c:v>2015</c:v>
                </c:pt>
                <c:pt idx="1">
                  <c:v>2016</c:v>
                </c:pt>
                <c:pt idx="2">
                  <c:v>2017</c:v>
                </c:pt>
                <c:pt idx="3">
                  <c:v>2018</c:v>
                </c:pt>
                <c:pt idx="4">
                  <c:v>2019</c:v>
                </c:pt>
                <c:pt idx="5">
                  <c:v>2020</c:v>
                </c:pt>
                <c:pt idx="6">
                  <c:v>2021</c:v>
                </c:pt>
                <c:pt idx="7">
                  <c:v>2022</c:v>
                </c:pt>
                <c:pt idx="8">
                  <c:v>2023</c:v>
                </c:pt>
              </c:numCache>
            </c:numRef>
          </c:cat>
          <c:val>
            <c:numRef>
              <c:f>'Prognóza intenzít'!$B$85:$J$85</c:f>
              <c:numCache>
                <c:formatCode>#,##0.00\ [$€-1]</c:formatCode>
                <c:ptCount val="9"/>
                <c:pt idx="0">
                  <c:v>119.59369335000009</c:v>
                </c:pt>
                <c:pt idx="1">
                  <c:v>128.10864333000001</c:v>
                </c:pt>
                <c:pt idx="2">
                  <c:v>134.84992805000007</c:v>
                </c:pt>
                <c:pt idx="3">
                  <c:v>144.82260200000007</c:v>
                </c:pt>
                <c:pt idx="4">
                  <c:v>148.92627135167865</c:v>
                </c:pt>
                <c:pt idx="5">
                  <c:v>153.14651920819679</c:v>
                </c:pt>
                <c:pt idx="6">
                  <c:v>157.48635974509946</c:v>
                </c:pt>
                <c:pt idx="7">
                  <c:v>161.79529153863146</c:v>
                </c:pt>
                <c:pt idx="8">
                  <c:v>166.22211857865639</c:v>
                </c:pt>
              </c:numCache>
            </c:numRef>
          </c:val>
          <c:extLst>
            <c:ext xmlns:c16="http://schemas.microsoft.com/office/drawing/2014/chart" uri="{C3380CC4-5D6E-409C-BE32-E72D297353CC}">
              <c16:uniqueId val="{00000008-A008-446A-910D-FE2715225B7A}"/>
            </c:ext>
          </c:extLst>
        </c:ser>
        <c:ser>
          <c:idx val="1"/>
          <c:order val="1"/>
          <c:tx>
            <c:strRef>
              <c:f>'Prognóza intenzít'!$A$86</c:f>
              <c:strCache>
                <c:ptCount val="1"/>
                <c:pt idx="0">
                  <c:v>výnosy na cestách I.triedy</c:v>
                </c:pt>
              </c:strCache>
            </c:strRef>
          </c:tx>
          <c:spPr>
            <a:solidFill>
              <a:srgbClr val="31859C"/>
            </a:solidFill>
          </c:spPr>
          <c:invertIfNegative val="0"/>
          <c:dPt>
            <c:idx val="0"/>
            <c:invertIfNegative val="0"/>
            <c:bubble3D val="0"/>
            <c:spPr>
              <a:solidFill>
                <a:srgbClr val="31859C">
                  <a:alpha val="43000"/>
                </a:srgbClr>
              </a:solidFill>
            </c:spPr>
            <c:extLst>
              <c:ext xmlns:c16="http://schemas.microsoft.com/office/drawing/2014/chart" uri="{C3380CC4-5D6E-409C-BE32-E72D297353CC}">
                <c16:uniqueId val="{0000000A-A008-446A-910D-FE2715225B7A}"/>
              </c:ext>
            </c:extLst>
          </c:dPt>
          <c:dPt>
            <c:idx val="1"/>
            <c:invertIfNegative val="0"/>
            <c:bubble3D val="0"/>
            <c:spPr>
              <a:solidFill>
                <a:srgbClr val="31859C">
                  <a:alpha val="43000"/>
                </a:srgbClr>
              </a:solidFill>
            </c:spPr>
            <c:extLst>
              <c:ext xmlns:c16="http://schemas.microsoft.com/office/drawing/2014/chart" uri="{C3380CC4-5D6E-409C-BE32-E72D297353CC}">
                <c16:uniqueId val="{0000000C-A008-446A-910D-FE2715225B7A}"/>
              </c:ext>
            </c:extLst>
          </c:dPt>
          <c:dPt>
            <c:idx val="2"/>
            <c:invertIfNegative val="0"/>
            <c:bubble3D val="0"/>
            <c:spPr>
              <a:solidFill>
                <a:srgbClr val="31859C">
                  <a:alpha val="43000"/>
                </a:srgbClr>
              </a:solidFill>
            </c:spPr>
            <c:extLst>
              <c:ext xmlns:c16="http://schemas.microsoft.com/office/drawing/2014/chart" uri="{C3380CC4-5D6E-409C-BE32-E72D297353CC}">
                <c16:uniqueId val="{0000000E-A008-446A-910D-FE2715225B7A}"/>
              </c:ext>
            </c:extLst>
          </c:dPt>
          <c:dPt>
            <c:idx val="3"/>
            <c:invertIfNegative val="0"/>
            <c:bubble3D val="0"/>
            <c:spPr>
              <a:solidFill>
                <a:srgbClr val="31859C">
                  <a:alpha val="43000"/>
                </a:srgbClr>
              </a:solidFill>
            </c:spPr>
            <c:extLst>
              <c:ext xmlns:c16="http://schemas.microsoft.com/office/drawing/2014/chart" uri="{C3380CC4-5D6E-409C-BE32-E72D297353CC}">
                <c16:uniqueId val="{00000010-A008-446A-910D-FE2715225B7A}"/>
              </c:ext>
            </c:extLst>
          </c:dPt>
          <c:cat>
            <c:numRef>
              <c:f>'Prognóza intenzít'!$B$84:$J$84</c:f>
              <c:numCache>
                <c:formatCode>0</c:formatCode>
                <c:ptCount val="9"/>
                <c:pt idx="0">
                  <c:v>2015</c:v>
                </c:pt>
                <c:pt idx="1">
                  <c:v>2016</c:v>
                </c:pt>
                <c:pt idx="2">
                  <c:v>2017</c:v>
                </c:pt>
                <c:pt idx="3">
                  <c:v>2018</c:v>
                </c:pt>
                <c:pt idx="4">
                  <c:v>2019</c:v>
                </c:pt>
                <c:pt idx="5">
                  <c:v>2020</c:v>
                </c:pt>
                <c:pt idx="6">
                  <c:v>2021</c:v>
                </c:pt>
                <c:pt idx="7">
                  <c:v>2022</c:v>
                </c:pt>
                <c:pt idx="8">
                  <c:v>2023</c:v>
                </c:pt>
              </c:numCache>
            </c:numRef>
          </c:cat>
          <c:val>
            <c:numRef>
              <c:f>'Prognóza intenzít'!$B$86:$J$86</c:f>
              <c:numCache>
                <c:formatCode>#,##0.00\ [$€-1]</c:formatCode>
                <c:ptCount val="9"/>
                <c:pt idx="0">
                  <c:v>67.794310119999949</c:v>
                </c:pt>
                <c:pt idx="1">
                  <c:v>65.159826070000008</c:v>
                </c:pt>
                <c:pt idx="2">
                  <c:v>66.228487099999796</c:v>
                </c:pt>
                <c:pt idx="3">
                  <c:v>68.553491099999988</c:v>
                </c:pt>
                <c:pt idx="4">
                  <c:v>69.741023833121574</c:v>
                </c:pt>
                <c:pt idx="5">
                  <c:v>72.115868423694735</c:v>
                </c:pt>
                <c:pt idx="6">
                  <c:v>73.310539900001899</c:v>
                </c:pt>
                <c:pt idx="7">
                  <c:v>74.525002303985104</c:v>
                </c:pt>
                <c:pt idx="8">
                  <c:v>75.759583492153169</c:v>
                </c:pt>
              </c:numCache>
            </c:numRef>
          </c:val>
          <c:extLst>
            <c:ext xmlns:c16="http://schemas.microsoft.com/office/drawing/2014/chart" uri="{C3380CC4-5D6E-409C-BE32-E72D297353CC}">
              <c16:uniqueId val="{00000011-A008-446A-910D-FE2715225B7A}"/>
            </c:ext>
          </c:extLst>
        </c:ser>
        <c:ser>
          <c:idx val="2"/>
          <c:order val="2"/>
          <c:tx>
            <c:strRef>
              <c:f>'Prognóza intenzít'!$A$87</c:f>
              <c:strCache>
                <c:ptCount val="1"/>
                <c:pt idx="0">
                  <c:v>výnosy spolu</c:v>
                </c:pt>
              </c:strCache>
            </c:strRef>
          </c:tx>
          <c:spPr>
            <a:solidFill>
              <a:srgbClr val="4A452A">
                <a:alpha val="80000"/>
              </a:srgbClr>
            </a:solidFill>
          </c:spPr>
          <c:invertIfNegative val="0"/>
          <c:dPt>
            <c:idx val="0"/>
            <c:invertIfNegative val="0"/>
            <c:bubble3D val="0"/>
            <c:spPr>
              <a:solidFill>
                <a:srgbClr val="4A452A">
                  <a:alpha val="53000"/>
                </a:srgbClr>
              </a:solidFill>
            </c:spPr>
            <c:extLst>
              <c:ext xmlns:c16="http://schemas.microsoft.com/office/drawing/2014/chart" uri="{C3380CC4-5D6E-409C-BE32-E72D297353CC}">
                <c16:uniqueId val="{00000013-A008-446A-910D-FE2715225B7A}"/>
              </c:ext>
            </c:extLst>
          </c:dPt>
          <c:dPt>
            <c:idx val="1"/>
            <c:invertIfNegative val="0"/>
            <c:bubble3D val="0"/>
            <c:spPr>
              <a:solidFill>
                <a:srgbClr val="4A452A">
                  <a:alpha val="53000"/>
                </a:srgbClr>
              </a:solidFill>
            </c:spPr>
            <c:extLst>
              <c:ext xmlns:c16="http://schemas.microsoft.com/office/drawing/2014/chart" uri="{C3380CC4-5D6E-409C-BE32-E72D297353CC}">
                <c16:uniqueId val="{00000015-A008-446A-910D-FE2715225B7A}"/>
              </c:ext>
            </c:extLst>
          </c:dPt>
          <c:dPt>
            <c:idx val="2"/>
            <c:invertIfNegative val="0"/>
            <c:bubble3D val="0"/>
            <c:spPr>
              <a:solidFill>
                <a:srgbClr val="4A452A">
                  <a:alpha val="53000"/>
                </a:srgbClr>
              </a:solidFill>
            </c:spPr>
            <c:extLst>
              <c:ext xmlns:c16="http://schemas.microsoft.com/office/drawing/2014/chart" uri="{C3380CC4-5D6E-409C-BE32-E72D297353CC}">
                <c16:uniqueId val="{00000017-A008-446A-910D-FE2715225B7A}"/>
              </c:ext>
            </c:extLst>
          </c:dPt>
          <c:dPt>
            <c:idx val="3"/>
            <c:invertIfNegative val="0"/>
            <c:bubble3D val="0"/>
            <c:spPr>
              <a:solidFill>
                <a:srgbClr val="4A452A">
                  <a:alpha val="53000"/>
                </a:srgbClr>
              </a:solidFill>
            </c:spPr>
            <c:extLst>
              <c:ext xmlns:c16="http://schemas.microsoft.com/office/drawing/2014/chart" uri="{C3380CC4-5D6E-409C-BE32-E72D297353CC}">
                <c16:uniqueId val="{00000019-A008-446A-910D-FE2715225B7A}"/>
              </c:ext>
            </c:extLst>
          </c:dPt>
          <c:dLbls>
            <c:spPr>
              <a:noFill/>
              <a:ln>
                <a:noFill/>
              </a:ln>
              <a:effectLst/>
            </c:spPr>
            <c:txPr>
              <a:bodyPr/>
              <a:lstStyle/>
              <a:p>
                <a:pPr>
                  <a:defRPr sz="800" b="1"/>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'Prognóza intenzít'!$B$84:$J$84</c:f>
              <c:numCache>
                <c:formatCode>0</c:formatCode>
                <c:ptCount val="9"/>
                <c:pt idx="0">
                  <c:v>2015</c:v>
                </c:pt>
                <c:pt idx="1">
                  <c:v>2016</c:v>
                </c:pt>
                <c:pt idx="2">
                  <c:v>2017</c:v>
                </c:pt>
                <c:pt idx="3">
                  <c:v>2018</c:v>
                </c:pt>
                <c:pt idx="4">
                  <c:v>2019</c:v>
                </c:pt>
                <c:pt idx="5">
                  <c:v>2020</c:v>
                </c:pt>
                <c:pt idx="6">
                  <c:v>2021</c:v>
                </c:pt>
                <c:pt idx="7">
                  <c:v>2022</c:v>
                </c:pt>
                <c:pt idx="8">
                  <c:v>2023</c:v>
                </c:pt>
              </c:numCache>
            </c:numRef>
          </c:cat>
          <c:val>
            <c:numRef>
              <c:f>'Prognóza intenzít'!$B$87:$J$87</c:f>
              <c:numCache>
                <c:formatCode>#,##0.00\ [$€-1]</c:formatCode>
                <c:ptCount val="9"/>
                <c:pt idx="0">
                  <c:v>187.38800347000029</c:v>
                </c:pt>
                <c:pt idx="1">
                  <c:v>193.26846940000001</c:v>
                </c:pt>
                <c:pt idx="2">
                  <c:v>201.07841515000004</c:v>
                </c:pt>
                <c:pt idx="3">
                  <c:v>213.37609310000002</c:v>
                </c:pt>
                <c:pt idx="4">
                  <c:v>218.66729518479997</c:v>
                </c:pt>
                <c:pt idx="5">
                  <c:v>225.26238763189198</c:v>
                </c:pt>
                <c:pt idx="6">
                  <c:v>230.79689964510098</c:v>
                </c:pt>
                <c:pt idx="7">
                  <c:v>236.3202938426173</c:v>
                </c:pt>
                <c:pt idx="8">
                  <c:v>241.98170207080929</c:v>
                </c:pt>
              </c:numCache>
            </c:numRef>
          </c:val>
          <c:extLst>
            <c:ext xmlns:c16="http://schemas.microsoft.com/office/drawing/2014/chart" uri="{C3380CC4-5D6E-409C-BE32-E72D297353CC}">
              <c16:uniqueId val="{0000001A-A008-446A-910D-FE2715225B7A}"/>
            </c:ext>
          </c:extLst>
        </c:ser>
        <c:dLbls>
          <c:showLegendKey val="0"/>
          <c:showVal val="0"/>
          <c:showCatName val="0"/>
          <c:showSerName val="0"/>
          <c:showPercent val="0"/>
          <c:showBubbleSize val="0"/>
        </c:dLbls>
        <c:gapWidth val="150"/>
        <c:axId val="707498368"/>
        <c:axId val="707499904"/>
      </c:barChart>
      <c:catAx>
        <c:axId val="707498368"/>
        <c:scaling>
          <c:orientation val="minMax"/>
        </c:scaling>
        <c:delete val="0"/>
        <c:axPos val="b"/>
        <c:numFmt formatCode="0" sourceLinked="1"/>
        <c:majorTickMark val="out"/>
        <c:minorTickMark val="none"/>
        <c:tickLblPos val="nextTo"/>
        <c:crossAx val="707499904"/>
        <c:crosses val="autoZero"/>
        <c:auto val="1"/>
        <c:lblAlgn val="ctr"/>
        <c:lblOffset val="100"/>
        <c:noMultiLvlLbl val="0"/>
      </c:catAx>
      <c:valAx>
        <c:axId val="707499904"/>
        <c:scaling>
          <c:orientation val="minMax"/>
        </c:scaling>
        <c:delete val="0"/>
        <c:axPos val="l"/>
        <c:numFmt formatCode="#,##0\ [$€-803]" sourceLinked="0"/>
        <c:majorTickMark val="out"/>
        <c:minorTickMark val="none"/>
        <c:tickLblPos val="nextTo"/>
        <c:crossAx val="707498368"/>
        <c:crosses val="autoZero"/>
        <c:crossBetween val="between"/>
      </c:valAx>
    </c:plotArea>
    <c:legend>
      <c:legendPos val="b"/>
      <c:overlay val="0"/>
    </c:legend>
    <c:plotVisOnly val="1"/>
    <c:dispBlanksAs val="gap"/>
    <c:showDLblsOverMax val="0"/>
  </c:chart>
  <c:externalData r:id="rId1">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sk-SK" sz="1100"/>
              <a:t>Porovnanie podielu</a:t>
            </a:r>
            <a:r>
              <a:rPr lang="sk-SK" sz="1100" baseline="0"/>
              <a:t> nákladov na mýto k celkovým nákladom autodopravcov</a:t>
            </a:r>
            <a:endParaRPr lang="sk-SK" sz="1100"/>
          </a:p>
        </c:rich>
      </c:tx>
      <c:overlay val="0"/>
    </c:title>
    <c:autoTitleDeleted val="0"/>
    <c:plotArea>
      <c:layout/>
      <c:barChart>
        <c:barDir val="col"/>
        <c:grouping val="clustered"/>
        <c:varyColors val="0"/>
        <c:ser>
          <c:idx val="0"/>
          <c:order val="0"/>
          <c:tx>
            <c:strRef>
              <c:f>List8!$C$47</c:f>
              <c:strCache>
                <c:ptCount val="1"/>
                <c:pt idx="0">
                  <c:v>Slovenský autodopravca</c:v>
                </c:pt>
              </c:strCache>
            </c:strRef>
          </c:tx>
          <c:spPr>
            <a:solidFill>
              <a:srgbClr val="C00000"/>
            </a:solidFill>
          </c:spPr>
          <c:invertIfNegative val="0"/>
          <c:dLbls>
            <c:dLbl>
              <c:idx val="0"/>
              <c:layout>
                <c:manualLayout>
                  <c:x val="-1.666666666666668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754-45D3-8A67-F7742E4ADE45}"/>
                </c:ext>
              </c:extLst>
            </c:dLbl>
            <c:dLbl>
              <c:idx val="1"/>
              <c:layout>
                <c:manualLayout>
                  <c:x val="-1.944444444444440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754-45D3-8A67-F7742E4ADE45}"/>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List8!$B$48:$B$49</c:f>
              <c:strCache>
                <c:ptCount val="2"/>
                <c:pt idx="0">
                  <c:v>celkové náklady bez mýta</c:v>
                </c:pt>
                <c:pt idx="1">
                  <c:v>náklady na mýto (priemerná sadzba mýta 0,154 €/vkm)</c:v>
                </c:pt>
              </c:strCache>
            </c:strRef>
          </c:cat>
          <c:val>
            <c:numRef>
              <c:f>List8!$C$48:$C$49</c:f>
              <c:numCache>
                <c:formatCode>0.00%</c:formatCode>
                <c:ptCount val="2"/>
                <c:pt idx="0">
                  <c:v>0.85780240073868885</c:v>
                </c:pt>
                <c:pt idx="1">
                  <c:v>0.1421975992613112</c:v>
                </c:pt>
              </c:numCache>
            </c:numRef>
          </c:val>
          <c:extLst>
            <c:ext xmlns:c16="http://schemas.microsoft.com/office/drawing/2014/chart" uri="{C3380CC4-5D6E-409C-BE32-E72D297353CC}">
              <c16:uniqueId val="{00000002-D754-45D3-8A67-F7742E4ADE45}"/>
            </c:ext>
          </c:extLst>
        </c:ser>
        <c:ser>
          <c:idx val="1"/>
          <c:order val="1"/>
          <c:tx>
            <c:strRef>
              <c:f>List8!$D$47</c:f>
              <c:strCache>
                <c:ptCount val="1"/>
                <c:pt idx="0">
                  <c:v>Český autodopravca</c:v>
                </c:pt>
              </c:strCache>
            </c:strRef>
          </c:tx>
          <c:spPr>
            <a:solidFill>
              <a:srgbClr val="0070C0"/>
            </a:solidFill>
          </c:spPr>
          <c:invertIfNegative val="0"/>
          <c:dLbls>
            <c:dLbl>
              <c:idx val="0"/>
              <c:layout>
                <c:manualLayout>
                  <c:x val="1.111111111111112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754-45D3-8A67-F7742E4ADE45}"/>
                </c:ext>
              </c:extLst>
            </c:dLbl>
            <c:dLbl>
              <c:idx val="1"/>
              <c:layout>
                <c:manualLayout>
                  <c:x val="1.388888888888890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754-45D3-8A67-F7742E4ADE45}"/>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List8!$B$48:$B$49</c:f>
              <c:strCache>
                <c:ptCount val="2"/>
                <c:pt idx="0">
                  <c:v>celkové náklady bez mýta</c:v>
                </c:pt>
                <c:pt idx="1">
                  <c:v>náklady na mýto (priemerná sadzba mýta 0,154 €/vkm)</c:v>
                </c:pt>
              </c:strCache>
            </c:strRef>
          </c:cat>
          <c:val>
            <c:numRef>
              <c:f>List8!$D$48:$D$49</c:f>
              <c:numCache>
                <c:formatCode>0.00%</c:formatCode>
                <c:ptCount val="2"/>
                <c:pt idx="0">
                  <c:v>0.85832566697332124</c:v>
                </c:pt>
                <c:pt idx="1">
                  <c:v>0.14167433302667892</c:v>
                </c:pt>
              </c:numCache>
            </c:numRef>
          </c:val>
          <c:extLst>
            <c:ext xmlns:c16="http://schemas.microsoft.com/office/drawing/2014/chart" uri="{C3380CC4-5D6E-409C-BE32-E72D297353CC}">
              <c16:uniqueId val="{00000005-D754-45D3-8A67-F7742E4ADE45}"/>
            </c:ext>
          </c:extLst>
        </c:ser>
        <c:dLbls>
          <c:showLegendKey val="0"/>
          <c:showVal val="0"/>
          <c:showCatName val="0"/>
          <c:showSerName val="0"/>
          <c:showPercent val="0"/>
          <c:showBubbleSize val="0"/>
        </c:dLbls>
        <c:gapWidth val="150"/>
        <c:axId val="707327872"/>
        <c:axId val="707329408"/>
      </c:barChart>
      <c:catAx>
        <c:axId val="707327872"/>
        <c:scaling>
          <c:orientation val="minMax"/>
        </c:scaling>
        <c:delete val="0"/>
        <c:axPos val="b"/>
        <c:numFmt formatCode="General" sourceLinked="0"/>
        <c:majorTickMark val="out"/>
        <c:minorTickMark val="none"/>
        <c:tickLblPos val="nextTo"/>
        <c:crossAx val="707329408"/>
        <c:crosses val="autoZero"/>
        <c:auto val="1"/>
        <c:lblAlgn val="ctr"/>
        <c:lblOffset val="100"/>
        <c:noMultiLvlLbl val="0"/>
      </c:catAx>
      <c:valAx>
        <c:axId val="707329408"/>
        <c:scaling>
          <c:orientation val="minMax"/>
        </c:scaling>
        <c:delete val="0"/>
        <c:axPos val="l"/>
        <c:numFmt formatCode="0%" sourceLinked="0"/>
        <c:majorTickMark val="out"/>
        <c:minorTickMark val="none"/>
        <c:tickLblPos val="nextTo"/>
        <c:crossAx val="707327872"/>
        <c:crosses val="autoZero"/>
        <c:crossBetween val="between"/>
      </c:valAx>
    </c:plotArea>
    <c:legend>
      <c:legendPos val="b"/>
      <c:overlay val="0"/>
    </c:legend>
    <c:plotVisOnly val="1"/>
    <c:dispBlanksAs val="gap"/>
    <c:showDLblsOverMax val="0"/>
  </c:chart>
  <c:externalData r:id="rId1">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sk-SK" sz="1100"/>
              <a:t>Porovnanie</a:t>
            </a:r>
            <a:r>
              <a:rPr lang="sk-SK" sz="1100" baseline="0"/>
              <a:t> vybraných nákladových položiek na 1km jazdy návesovej súpravy (</a:t>
            </a:r>
            <a:r>
              <a:rPr lang="sk-SK" sz="1100"/>
              <a:t>€/km)</a:t>
            </a:r>
          </a:p>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endParaRPr lang="sk-SK"/>
          </a:p>
        </c:rich>
      </c:tx>
      <c:overlay val="0"/>
    </c:title>
    <c:autoTitleDeleted val="0"/>
    <c:plotArea>
      <c:layout>
        <c:manualLayout>
          <c:layoutTarget val="inner"/>
          <c:xMode val="edge"/>
          <c:yMode val="edge"/>
          <c:x val="9.7942094373776017E-2"/>
          <c:y val="0.25770162594897184"/>
          <c:w val="0.87857615541724976"/>
          <c:h val="0.44923179366022853"/>
        </c:manualLayout>
      </c:layout>
      <c:barChart>
        <c:barDir val="col"/>
        <c:grouping val="clustered"/>
        <c:varyColors val="0"/>
        <c:ser>
          <c:idx val="0"/>
          <c:order val="0"/>
          <c:tx>
            <c:strRef>
              <c:f>List8!$C$62</c:f>
              <c:strCache>
                <c:ptCount val="1"/>
                <c:pt idx="0">
                  <c:v>SR</c:v>
                </c:pt>
              </c:strCache>
            </c:strRef>
          </c:tx>
          <c:spPr>
            <a:solidFill>
              <a:srgbClr val="C00000"/>
            </a:solidFill>
          </c:spPr>
          <c:invertIfNegative val="0"/>
          <c:dLbls>
            <c:dLbl>
              <c:idx val="0"/>
              <c:layout>
                <c:manualLayout>
                  <c:x val="-1.3288665082590025E-2"/>
                  <c:y val="9.251701274950004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B53-4089-A2F7-F3A48B05B7C4}"/>
                </c:ext>
              </c:extLst>
            </c:dLbl>
            <c:dLbl>
              <c:idx val="1"/>
              <c:layout>
                <c:manualLayout>
                  <c:x val="-2.2780568713011481E-2"/>
                  <c:y val="1.38775519124250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B53-4089-A2F7-F3A48B05B7C4}"/>
                </c:ext>
              </c:extLst>
            </c:dLbl>
            <c:dLbl>
              <c:idx val="2"/>
              <c:layout>
                <c:manualLayout>
                  <c:x val="-1.5187045808674315E-2"/>
                  <c:y val="9.251701274950004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B53-4089-A2F7-F3A48B05B7C4}"/>
                </c:ext>
              </c:extLst>
            </c:dLbl>
            <c:dLbl>
              <c:idx val="3"/>
              <c:layout>
                <c:manualLayout>
                  <c:x val="-1.5187045808674315E-2"/>
                  <c:y val="1.85034025499000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B53-4089-A2F7-F3A48B05B7C4}"/>
                </c:ext>
              </c:extLst>
            </c:dLbl>
            <c:spPr>
              <a:noFill/>
              <a:ln>
                <a:noFill/>
              </a:ln>
              <a:effectLst/>
            </c:spPr>
            <c:txPr>
              <a:bodyPr/>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List8!$B$63:$B$66</c:f>
              <c:strCache>
                <c:ptCount val="4"/>
                <c:pt idx="0">
                  <c:v>náklady na zákonné poistenie vozidla €/km</c:v>
                </c:pt>
                <c:pt idx="1">
                  <c:v>náklady na cestnú daň vozidla €/km</c:v>
                </c:pt>
                <c:pt idx="2">
                  <c:v>náklady na cestovné náhrady €/km</c:v>
                </c:pt>
                <c:pt idx="3">
                  <c:v>náklady spolu</c:v>
                </c:pt>
              </c:strCache>
            </c:strRef>
          </c:cat>
          <c:val>
            <c:numRef>
              <c:f>List8!$C$63:$C$66</c:f>
              <c:numCache>
                <c:formatCode>#,##0.000\ "€"</c:formatCode>
                <c:ptCount val="4"/>
                <c:pt idx="0">
                  <c:v>5.000000000000001E-3</c:v>
                </c:pt>
                <c:pt idx="1">
                  <c:v>1.7999999999999999E-2</c:v>
                </c:pt>
                <c:pt idx="2">
                  <c:v>7.3999999999999996E-2</c:v>
                </c:pt>
                <c:pt idx="3">
                  <c:v>9.7000000000000003E-2</c:v>
                </c:pt>
              </c:numCache>
            </c:numRef>
          </c:val>
          <c:extLst>
            <c:ext xmlns:c16="http://schemas.microsoft.com/office/drawing/2014/chart" uri="{C3380CC4-5D6E-409C-BE32-E72D297353CC}">
              <c16:uniqueId val="{00000004-0B53-4089-A2F7-F3A48B05B7C4}"/>
            </c:ext>
          </c:extLst>
        </c:ser>
        <c:ser>
          <c:idx val="1"/>
          <c:order val="1"/>
          <c:tx>
            <c:strRef>
              <c:f>List8!$D$62</c:f>
              <c:strCache>
                <c:ptCount val="1"/>
                <c:pt idx="0">
                  <c:v>ČR</c:v>
                </c:pt>
              </c:strCache>
            </c:strRef>
          </c:tx>
          <c:spPr>
            <a:solidFill>
              <a:srgbClr val="0070C0"/>
            </a:solidFill>
          </c:spPr>
          <c:invertIfNegative val="0"/>
          <c:dLbls>
            <c:spPr>
              <a:noFill/>
              <a:ln>
                <a:noFill/>
              </a:ln>
              <a:effectLst/>
            </c:spPr>
            <c:txPr>
              <a:bodyPr/>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List8!$B$63:$B$66</c:f>
              <c:strCache>
                <c:ptCount val="4"/>
                <c:pt idx="0">
                  <c:v>náklady na zákonné poistenie vozidla €/km</c:v>
                </c:pt>
                <c:pt idx="1">
                  <c:v>náklady na cestnú daň vozidla €/km</c:v>
                </c:pt>
                <c:pt idx="2">
                  <c:v>náklady na cestovné náhrady €/km</c:v>
                </c:pt>
                <c:pt idx="3">
                  <c:v>náklady spolu</c:v>
                </c:pt>
              </c:strCache>
            </c:strRef>
          </c:cat>
          <c:val>
            <c:numRef>
              <c:f>List8!$D$63:$D$66</c:f>
              <c:numCache>
                <c:formatCode>#,##0.000\ "€"</c:formatCode>
                <c:ptCount val="4"/>
                <c:pt idx="0">
                  <c:v>9.0000000000000028E-3</c:v>
                </c:pt>
                <c:pt idx="1">
                  <c:v>1.4999999999999998E-2</c:v>
                </c:pt>
                <c:pt idx="2">
                  <c:v>0.1</c:v>
                </c:pt>
                <c:pt idx="3">
                  <c:v>0.12300000000000001</c:v>
                </c:pt>
              </c:numCache>
            </c:numRef>
          </c:val>
          <c:extLst>
            <c:ext xmlns:c16="http://schemas.microsoft.com/office/drawing/2014/chart" uri="{C3380CC4-5D6E-409C-BE32-E72D297353CC}">
              <c16:uniqueId val="{00000005-0B53-4089-A2F7-F3A48B05B7C4}"/>
            </c:ext>
          </c:extLst>
        </c:ser>
        <c:ser>
          <c:idx val="2"/>
          <c:order val="2"/>
          <c:tx>
            <c:strRef>
              <c:f>List8!$E$62</c:f>
              <c:strCache>
                <c:ptCount val="1"/>
                <c:pt idx="0">
                  <c:v>PL</c:v>
                </c:pt>
              </c:strCache>
            </c:strRef>
          </c:tx>
          <c:spPr>
            <a:solidFill>
              <a:srgbClr val="7030A0"/>
            </a:solidFill>
          </c:spPr>
          <c:invertIfNegative val="0"/>
          <c:dLbls>
            <c:dLbl>
              <c:idx val="0"/>
              <c:layout>
                <c:manualLayout>
                  <c:x val="1.5187045808674315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B53-4089-A2F7-F3A48B05B7C4}"/>
                </c:ext>
              </c:extLst>
            </c:dLbl>
            <c:dLbl>
              <c:idx val="1"/>
              <c:layout>
                <c:manualLayout>
                  <c:x val="1.139028435650574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B53-4089-A2F7-F3A48B05B7C4}"/>
                </c:ext>
              </c:extLst>
            </c:dLbl>
            <c:dLbl>
              <c:idx val="2"/>
              <c:layout>
                <c:manualLayout>
                  <c:x val="1.708542653475860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B53-4089-A2F7-F3A48B05B7C4}"/>
                </c:ext>
              </c:extLst>
            </c:dLbl>
            <c:dLbl>
              <c:idx val="3"/>
              <c:layout>
                <c:manualLayout>
                  <c:x val="1.3288665082590025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B53-4089-A2F7-F3A48B05B7C4}"/>
                </c:ext>
              </c:extLst>
            </c:dLbl>
            <c:spPr>
              <a:noFill/>
              <a:ln>
                <a:noFill/>
              </a:ln>
              <a:effectLst/>
            </c:spPr>
            <c:txPr>
              <a:bodyPr/>
              <a:lstStyle/>
              <a:p>
                <a:pPr>
                  <a:defRPr sz="900"/>
                </a:pPr>
                <a:endParaRPr lang="sk-SK"/>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List8!$B$63:$B$66</c:f>
              <c:strCache>
                <c:ptCount val="4"/>
                <c:pt idx="0">
                  <c:v>náklady na zákonné poistenie vozidla €/km</c:v>
                </c:pt>
                <c:pt idx="1">
                  <c:v>náklady na cestnú daň vozidla €/km</c:v>
                </c:pt>
                <c:pt idx="2">
                  <c:v>náklady na cestovné náhrady €/km</c:v>
                </c:pt>
                <c:pt idx="3">
                  <c:v>náklady spolu</c:v>
                </c:pt>
              </c:strCache>
            </c:strRef>
          </c:cat>
          <c:val>
            <c:numRef>
              <c:f>List8!$E$63:$E$66</c:f>
              <c:numCache>
                <c:formatCode>#,##0.000\ "€"</c:formatCode>
                <c:ptCount val="4"/>
                <c:pt idx="0">
                  <c:v>5.000000000000001E-3</c:v>
                </c:pt>
                <c:pt idx="1">
                  <c:v>6.000000000000001E-3</c:v>
                </c:pt>
                <c:pt idx="2">
                  <c:v>2.0000000000000004E-2</c:v>
                </c:pt>
                <c:pt idx="3">
                  <c:v>3.1000000000000003E-2</c:v>
                </c:pt>
              </c:numCache>
            </c:numRef>
          </c:val>
          <c:extLst>
            <c:ext xmlns:c16="http://schemas.microsoft.com/office/drawing/2014/chart" uri="{C3380CC4-5D6E-409C-BE32-E72D297353CC}">
              <c16:uniqueId val="{0000000A-0B53-4089-A2F7-F3A48B05B7C4}"/>
            </c:ext>
          </c:extLst>
        </c:ser>
        <c:dLbls>
          <c:showLegendKey val="0"/>
          <c:showVal val="0"/>
          <c:showCatName val="0"/>
          <c:showSerName val="0"/>
          <c:showPercent val="0"/>
          <c:showBubbleSize val="0"/>
        </c:dLbls>
        <c:gapWidth val="150"/>
        <c:axId val="707632128"/>
        <c:axId val="707658496"/>
      </c:barChart>
      <c:catAx>
        <c:axId val="707632128"/>
        <c:scaling>
          <c:orientation val="minMax"/>
        </c:scaling>
        <c:delete val="0"/>
        <c:axPos val="b"/>
        <c:numFmt formatCode="General" sourceLinked="0"/>
        <c:majorTickMark val="out"/>
        <c:minorTickMark val="none"/>
        <c:tickLblPos val="nextTo"/>
        <c:crossAx val="707658496"/>
        <c:crosses val="autoZero"/>
        <c:auto val="1"/>
        <c:lblAlgn val="ctr"/>
        <c:lblOffset val="100"/>
        <c:noMultiLvlLbl val="0"/>
      </c:catAx>
      <c:valAx>
        <c:axId val="707658496"/>
        <c:scaling>
          <c:orientation val="minMax"/>
        </c:scaling>
        <c:delete val="0"/>
        <c:axPos val="l"/>
        <c:numFmt formatCode="#,##0.000\ &quot;€&quot;" sourceLinked="1"/>
        <c:majorTickMark val="out"/>
        <c:minorTickMark val="none"/>
        <c:tickLblPos val="nextTo"/>
        <c:crossAx val="707632128"/>
        <c:crosses val="autoZero"/>
        <c:crossBetween val="between"/>
      </c:valAx>
    </c:plotArea>
    <c:legend>
      <c:legendPos val="b"/>
      <c:overlay val="0"/>
    </c:legend>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0.42235</cdr:x>
      <cdr:y>0.285</cdr:y>
    </cdr:from>
    <cdr:to>
      <cdr:x>0.42259</cdr:x>
      <cdr:y>0.75804</cdr:y>
    </cdr:to>
    <cdr:sp macro="" textlink="">
      <cdr:nvSpPr>
        <cdr:cNvPr id="3" name="Přímá spojovací čára 2"/>
        <cdr:cNvSpPr/>
      </cdr:nvSpPr>
      <cdr:spPr>
        <a:xfrm xmlns:a="http://schemas.openxmlformats.org/drawingml/2006/main">
          <a:off x="2510394" y="676893"/>
          <a:ext cx="1462" cy="1123494"/>
        </a:xfrm>
        <a:prstGeom xmlns:a="http://schemas.openxmlformats.org/drawingml/2006/main" prst="line">
          <a:avLst/>
        </a:prstGeom>
        <a:ln xmlns:a="http://schemas.openxmlformats.org/drawingml/2006/main" w="1905">
          <a:solidFill>
            <a:schemeClr val="bg1">
              <a:lumMod val="50000"/>
            </a:schemeClr>
          </a:solidFill>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sk-SK"/>
        </a:p>
      </cdr:txBody>
    </cdr:sp>
  </cdr:relSizeAnchor>
</c:userShape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8E47D0-DD01-44A5-86EE-0CD16B39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45120</Words>
  <Characters>257185</Characters>
  <Application>Microsoft Office Word</Application>
  <DocSecurity>0</DocSecurity>
  <Lines>2143</Lines>
  <Paragraphs>603</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LinksUpToDate>false</LinksUpToDate>
  <CharactersWithSpaces>301702</CharactersWithSpaces>
  <SharedDoc>false</SharedDoc>
  <HLinks>
    <vt:vector size="132" baseType="variant">
      <vt:variant>
        <vt:i4>1048629</vt:i4>
      </vt:variant>
      <vt:variant>
        <vt:i4>143</vt:i4>
      </vt:variant>
      <vt:variant>
        <vt:i4>0</vt:i4>
      </vt:variant>
      <vt:variant>
        <vt:i4>5</vt:i4>
      </vt:variant>
      <vt:variant>
        <vt:lpwstr/>
      </vt:variant>
      <vt:variant>
        <vt:lpwstr>_Toc421617140</vt:lpwstr>
      </vt:variant>
      <vt:variant>
        <vt:i4>1507381</vt:i4>
      </vt:variant>
      <vt:variant>
        <vt:i4>137</vt:i4>
      </vt:variant>
      <vt:variant>
        <vt:i4>0</vt:i4>
      </vt:variant>
      <vt:variant>
        <vt:i4>5</vt:i4>
      </vt:variant>
      <vt:variant>
        <vt:lpwstr/>
      </vt:variant>
      <vt:variant>
        <vt:lpwstr>_Toc421617139</vt:lpwstr>
      </vt:variant>
      <vt:variant>
        <vt:i4>1507381</vt:i4>
      </vt:variant>
      <vt:variant>
        <vt:i4>131</vt:i4>
      </vt:variant>
      <vt:variant>
        <vt:i4>0</vt:i4>
      </vt:variant>
      <vt:variant>
        <vt:i4>5</vt:i4>
      </vt:variant>
      <vt:variant>
        <vt:lpwstr/>
      </vt:variant>
      <vt:variant>
        <vt:lpwstr>_Toc421617138</vt:lpwstr>
      </vt:variant>
      <vt:variant>
        <vt:i4>1507381</vt:i4>
      </vt:variant>
      <vt:variant>
        <vt:i4>125</vt:i4>
      </vt:variant>
      <vt:variant>
        <vt:i4>0</vt:i4>
      </vt:variant>
      <vt:variant>
        <vt:i4>5</vt:i4>
      </vt:variant>
      <vt:variant>
        <vt:lpwstr/>
      </vt:variant>
      <vt:variant>
        <vt:lpwstr>_Toc421617137</vt:lpwstr>
      </vt:variant>
      <vt:variant>
        <vt:i4>1507381</vt:i4>
      </vt:variant>
      <vt:variant>
        <vt:i4>116</vt:i4>
      </vt:variant>
      <vt:variant>
        <vt:i4>0</vt:i4>
      </vt:variant>
      <vt:variant>
        <vt:i4>5</vt:i4>
      </vt:variant>
      <vt:variant>
        <vt:lpwstr/>
      </vt:variant>
      <vt:variant>
        <vt:lpwstr>_Toc421617136</vt:lpwstr>
      </vt:variant>
      <vt:variant>
        <vt:i4>1507381</vt:i4>
      </vt:variant>
      <vt:variant>
        <vt:i4>110</vt:i4>
      </vt:variant>
      <vt:variant>
        <vt:i4>0</vt:i4>
      </vt:variant>
      <vt:variant>
        <vt:i4>5</vt:i4>
      </vt:variant>
      <vt:variant>
        <vt:lpwstr/>
      </vt:variant>
      <vt:variant>
        <vt:lpwstr>_Toc421617135</vt:lpwstr>
      </vt:variant>
      <vt:variant>
        <vt:i4>1507381</vt:i4>
      </vt:variant>
      <vt:variant>
        <vt:i4>101</vt:i4>
      </vt:variant>
      <vt:variant>
        <vt:i4>0</vt:i4>
      </vt:variant>
      <vt:variant>
        <vt:i4>5</vt:i4>
      </vt:variant>
      <vt:variant>
        <vt:lpwstr/>
      </vt:variant>
      <vt:variant>
        <vt:lpwstr>_Toc421617134</vt:lpwstr>
      </vt:variant>
      <vt:variant>
        <vt:i4>1507381</vt:i4>
      </vt:variant>
      <vt:variant>
        <vt:i4>95</vt:i4>
      </vt:variant>
      <vt:variant>
        <vt:i4>0</vt:i4>
      </vt:variant>
      <vt:variant>
        <vt:i4>5</vt:i4>
      </vt:variant>
      <vt:variant>
        <vt:lpwstr/>
      </vt:variant>
      <vt:variant>
        <vt:lpwstr>_Toc421617133</vt:lpwstr>
      </vt:variant>
      <vt:variant>
        <vt:i4>1507381</vt:i4>
      </vt:variant>
      <vt:variant>
        <vt:i4>89</vt:i4>
      </vt:variant>
      <vt:variant>
        <vt:i4>0</vt:i4>
      </vt:variant>
      <vt:variant>
        <vt:i4>5</vt:i4>
      </vt:variant>
      <vt:variant>
        <vt:lpwstr/>
      </vt:variant>
      <vt:variant>
        <vt:lpwstr>_Toc421617132</vt:lpwstr>
      </vt:variant>
      <vt:variant>
        <vt:i4>1507381</vt:i4>
      </vt:variant>
      <vt:variant>
        <vt:i4>83</vt:i4>
      </vt:variant>
      <vt:variant>
        <vt:i4>0</vt:i4>
      </vt:variant>
      <vt:variant>
        <vt:i4>5</vt:i4>
      </vt:variant>
      <vt:variant>
        <vt:lpwstr/>
      </vt:variant>
      <vt:variant>
        <vt:lpwstr>_Toc421617131</vt:lpwstr>
      </vt:variant>
      <vt:variant>
        <vt:i4>1507381</vt:i4>
      </vt:variant>
      <vt:variant>
        <vt:i4>77</vt:i4>
      </vt:variant>
      <vt:variant>
        <vt:i4>0</vt:i4>
      </vt:variant>
      <vt:variant>
        <vt:i4>5</vt:i4>
      </vt:variant>
      <vt:variant>
        <vt:lpwstr/>
      </vt:variant>
      <vt:variant>
        <vt:lpwstr>_Toc421617130</vt:lpwstr>
      </vt:variant>
      <vt:variant>
        <vt:i4>1441845</vt:i4>
      </vt:variant>
      <vt:variant>
        <vt:i4>71</vt:i4>
      </vt:variant>
      <vt:variant>
        <vt:i4>0</vt:i4>
      </vt:variant>
      <vt:variant>
        <vt:i4>5</vt:i4>
      </vt:variant>
      <vt:variant>
        <vt:lpwstr/>
      </vt:variant>
      <vt:variant>
        <vt:lpwstr>_Toc421617129</vt:lpwstr>
      </vt:variant>
      <vt:variant>
        <vt:i4>1441845</vt:i4>
      </vt:variant>
      <vt:variant>
        <vt:i4>65</vt:i4>
      </vt:variant>
      <vt:variant>
        <vt:i4>0</vt:i4>
      </vt:variant>
      <vt:variant>
        <vt:i4>5</vt:i4>
      </vt:variant>
      <vt:variant>
        <vt:lpwstr/>
      </vt:variant>
      <vt:variant>
        <vt:lpwstr>_Toc421617128</vt:lpwstr>
      </vt:variant>
      <vt:variant>
        <vt:i4>1441845</vt:i4>
      </vt:variant>
      <vt:variant>
        <vt:i4>59</vt:i4>
      </vt:variant>
      <vt:variant>
        <vt:i4>0</vt:i4>
      </vt:variant>
      <vt:variant>
        <vt:i4>5</vt:i4>
      </vt:variant>
      <vt:variant>
        <vt:lpwstr/>
      </vt:variant>
      <vt:variant>
        <vt:lpwstr>_Toc421617127</vt:lpwstr>
      </vt:variant>
      <vt:variant>
        <vt:i4>1441845</vt:i4>
      </vt:variant>
      <vt:variant>
        <vt:i4>53</vt:i4>
      </vt:variant>
      <vt:variant>
        <vt:i4>0</vt:i4>
      </vt:variant>
      <vt:variant>
        <vt:i4>5</vt:i4>
      </vt:variant>
      <vt:variant>
        <vt:lpwstr/>
      </vt:variant>
      <vt:variant>
        <vt:lpwstr>_Toc421617126</vt:lpwstr>
      </vt:variant>
      <vt:variant>
        <vt:i4>1441845</vt:i4>
      </vt:variant>
      <vt:variant>
        <vt:i4>47</vt:i4>
      </vt:variant>
      <vt:variant>
        <vt:i4>0</vt:i4>
      </vt:variant>
      <vt:variant>
        <vt:i4>5</vt:i4>
      </vt:variant>
      <vt:variant>
        <vt:lpwstr/>
      </vt:variant>
      <vt:variant>
        <vt:lpwstr>_Toc421617125</vt:lpwstr>
      </vt:variant>
      <vt:variant>
        <vt:i4>1441845</vt:i4>
      </vt:variant>
      <vt:variant>
        <vt:i4>41</vt:i4>
      </vt:variant>
      <vt:variant>
        <vt:i4>0</vt:i4>
      </vt:variant>
      <vt:variant>
        <vt:i4>5</vt:i4>
      </vt:variant>
      <vt:variant>
        <vt:lpwstr/>
      </vt:variant>
      <vt:variant>
        <vt:lpwstr>_Toc421617124</vt:lpwstr>
      </vt:variant>
      <vt:variant>
        <vt:i4>1441845</vt:i4>
      </vt:variant>
      <vt:variant>
        <vt:i4>35</vt:i4>
      </vt:variant>
      <vt:variant>
        <vt:i4>0</vt:i4>
      </vt:variant>
      <vt:variant>
        <vt:i4>5</vt:i4>
      </vt:variant>
      <vt:variant>
        <vt:lpwstr/>
      </vt:variant>
      <vt:variant>
        <vt:lpwstr>_Toc421617123</vt:lpwstr>
      </vt:variant>
      <vt:variant>
        <vt:i4>1441845</vt:i4>
      </vt:variant>
      <vt:variant>
        <vt:i4>29</vt:i4>
      </vt:variant>
      <vt:variant>
        <vt:i4>0</vt:i4>
      </vt:variant>
      <vt:variant>
        <vt:i4>5</vt:i4>
      </vt:variant>
      <vt:variant>
        <vt:lpwstr/>
      </vt:variant>
      <vt:variant>
        <vt:lpwstr>_Toc421617122</vt:lpwstr>
      </vt:variant>
      <vt:variant>
        <vt:i4>1441845</vt:i4>
      </vt:variant>
      <vt:variant>
        <vt:i4>23</vt:i4>
      </vt:variant>
      <vt:variant>
        <vt:i4>0</vt:i4>
      </vt:variant>
      <vt:variant>
        <vt:i4>5</vt:i4>
      </vt:variant>
      <vt:variant>
        <vt:lpwstr/>
      </vt:variant>
      <vt:variant>
        <vt:lpwstr>_Toc421617121</vt:lpwstr>
      </vt:variant>
      <vt:variant>
        <vt:i4>1441845</vt:i4>
      </vt:variant>
      <vt:variant>
        <vt:i4>17</vt:i4>
      </vt:variant>
      <vt:variant>
        <vt:i4>0</vt:i4>
      </vt:variant>
      <vt:variant>
        <vt:i4>5</vt:i4>
      </vt:variant>
      <vt:variant>
        <vt:lpwstr/>
      </vt:variant>
      <vt:variant>
        <vt:lpwstr>_Toc421617120</vt:lpwstr>
      </vt:variant>
      <vt:variant>
        <vt:i4>1376309</vt:i4>
      </vt:variant>
      <vt:variant>
        <vt:i4>11</vt:i4>
      </vt:variant>
      <vt:variant>
        <vt:i4>0</vt:i4>
      </vt:variant>
      <vt:variant>
        <vt:i4>5</vt:i4>
      </vt:variant>
      <vt:variant>
        <vt:lpwstr/>
      </vt:variant>
      <vt:variant>
        <vt:lpwstr>_Toc421617119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2020-06-22T09:28:00Z</dcterms:created>
  <dcterms:modified xsi:type="dcterms:W3CDTF">2020-06-22T09:28:00Z</dcterms:modified>
</cp:coreProperties>
</file>